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0" w:firstLineChars="0"/>
        <w:rPr>
          <w:rFonts w:asciiTheme="minorEastAsia" w:hAnsiTheme="minorEastAsia" w:eastAsiaTheme="minorEastAsia"/>
          <w:szCs w:val="24"/>
        </w:rPr>
      </w:pPr>
    </w:p>
    <w:p>
      <w:pPr>
        <w:spacing w:line="720" w:lineRule="auto"/>
        <w:ind w:firstLine="0" w:firstLineChars="0"/>
        <w:jc w:val="center"/>
        <w:rPr>
          <w:rFonts w:ascii="黑体" w:hAnsi="黑体" w:eastAsia="黑体"/>
          <w:b/>
          <w:sz w:val="48"/>
          <w:szCs w:val="48"/>
        </w:rPr>
      </w:pPr>
      <w:bookmarkStart w:id="0" w:name="_Toc471401267"/>
      <w:bookmarkStart w:id="1" w:name="_Toc468795994"/>
      <w:bookmarkStart w:id="2" w:name="_Toc89169661"/>
      <w:bookmarkStart w:id="3" w:name="_Toc95191335"/>
      <w:bookmarkStart w:id="4" w:name="_Toc89232467"/>
      <w:bookmarkStart w:id="5" w:name="_Toc89344027"/>
      <w:bookmarkStart w:id="6" w:name="_Toc95132106"/>
      <w:bookmarkStart w:id="7" w:name="_Toc88996094"/>
      <w:r>
        <w:rPr>
          <w:rFonts w:hint="eastAsia" w:ascii="黑体" w:hAnsi="黑体" w:eastAsia="黑体"/>
          <w:b/>
          <w:sz w:val="48"/>
          <w:szCs w:val="48"/>
        </w:rPr>
        <w:t>阿拉善盟绿能环保科技有限公司</w:t>
      </w:r>
      <w:bookmarkEnd w:id="0"/>
    </w:p>
    <w:p>
      <w:pPr>
        <w:spacing w:line="720" w:lineRule="auto"/>
        <w:ind w:firstLine="0" w:firstLineChars="0"/>
        <w:jc w:val="center"/>
        <w:rPr>
          <w:rFonts w:ascii="黑体" w:hAnsi="黑体" w:eastAsia="黑体"/>
          <w:b/>
          <w:sz w:val="48"/>
          <w:szCs w:val="48"/>
        </w:rPr>
      </w:pPr>
      <w:bookmarkStart w:id="8" w:name="_Toc471401268"/>
      <w:r>
        <w:rPr>
          <w:rFonts w:hint="eastAsia" w:ascii="黑体" w:hAnsi="黑体" w:eastAsia="黑体"/>
          <w:b/>
          <w:sz w:val="48"/>
          <w:szCs w:val="48"/>
        </w:rPr>
        <w:t>危险废弃物处置中心改扩建项目</w:t>
      </w:r>
      <w:bookmarkEnd w:id="1"/>
      <w:bookmarkEnd w:id="8"/>
    </w:p>
    <w:p>
      <w:pPr>
        <w:ind w:firstLine="166" w:firstLineChars="23"/>
        <w:jc w:val="center"/>
        <w:rPr>
          <w:rFonts w:ascii="黑体" w:hAnsi="黑体" w:eastAsia="黑体"/>
          <w:b/>
          <w:sz w:val="72"/>
          <w:szCs w:val="72"/>
        </w:rPr>
      </w:pPr>
      <w:bookmarkStart w:id="9" w:name="_Toc319941391"/>
      <w:bookmarkStart w:id="10" w:name="_Toc251683217"/>
      <w:bookmarkStart w:id="11" w:name="_Toc319932527"/>
      <w:bookmarkStart w:id="12" w:name="_Toc283567642"/>
      <w:bookmarkStart w:id="13" w:name="_Toc292960211"/>
      <w:bookmarkStart w:id="14" w:name="_Toc224927848"/>
      <w:bookmarkStart w:id="15" w:name="_Toc226660077"/>
      <w:bookmarkStart w:id="16" w:name="_Toc249354688"/>
      <w:bookmarkStart w:id="17" w:name="_Toc287018612"/>
      <w:bookmarkStart w:id="18" w:name="_Toc249963915"/>
      <w:bookmarkStart w:id="19" w:name="_Toc249407333"/>
      <w:bookmarkStart w:id="20" w:name="_Toc224617077"/>
      <w:bookmarkStart w:id="21" w:name="_Toc296323832"/>
      <w:bookmarkStart w:id="22" w:name="_Toc249964224"/>
      <w:bookmarkStart w:id="23" w:name="_Toc287018320"/>
      <w:bookmarkStart w:id="24" w:name="_Toc224959306"/>
      <w:bookmarkStart w:id="25" w:name="_Toc225053516"/>
      <w:bookmarkStart w:id="26" w:name="_Toc231058673"/>
      <w:r>
        <w:rPr>
          <w:rFonts w:hint="eastAsia" w:ascii="黑体" w:hAnsi="黑体" w:eastAsia="黑体"/>
          <w:b/>
          <w:sz w:val="72"/>
          <w:szCs w:val="72"/>
        </w:rPr>
        <w:t>环境影响报告</w:t>
      </w:r>
      <w:bookmarkEnd w:id="2"/>
      <w:bookmarkEnd w:id="3"/>
      <w:bookmarkEnd w:id="4"/>
      <w:bookmarkEnd w:id="5"/>
      <w:bookmarkEnd w:id="6"/>
      <w:bookmarkEnd w:id="7"/>
      <w:r>
        <w:rPr>
          <w:rFonts w:hint="eastAsia" w:ascii="黑体" w:hAnsi="黑体" w:eastAsia="黑体"/>
          <w:b/>
          <w:sz w:val="72"/>
          <w:szCs w:val="72"/>
        </w:rPr>
        <w:t>书</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ind w:firstLine="640"/>
        <w:jc w:val="center"/>
        <w:rPr>
          <w:sz w:val="32"/>
          <w:szCs w:val="20"/>
        </w:rPr>
      </w:pPr>
    </w:p>
    <w:p>
      <w:pPr>
        <w:ind w:firstLine="880"/>
        <w:jc w:val="center"/>
        <w:rPr>
          <w:sz w:val="44"/>
        </w:rPr>
      </w:pPr>
    </w:p>
    <w:p>
      <w:pPr>
        <w:ind w:firstLine="880"/>
        <w:jc w:val="center"/>
        <w:rPr>
          <w:sz w:val="44"/>
        </w:rPr>
      </w:pPr>
    </w:p>
    <w:p>
      <w:pPr>
        <w:ind w:firstLine="880"/>
        <w:jc w:val="center"/>
        <w:rPr>
          <w:sz w:val="44"/>
        </w:rPr>
      </w:pPr>
    </w:p>
    <w:p>
      <w:pPr>
        <w:ind w:firstLine="880"/>
        <w:jc w:val="center"/>
        <w:rPr>
          <w:sz w:val="44"/>
        </w:rPr>
      </w:pPr>
    </w:p>
    <w:p>
      <w:pPr>
        <w:ind w:firstLine="880"/>
        <w:jc w:val="center"/>
        <w:rPr>
          <w:sz w:val="44"/>
        </w:rPr>
      </w:pPr>
    </w:p>
    <w:p>
      <w:pPr>
        <w:ind w:firstLine="880"/>
        <w:jc w:val="center"/>
        <w:rPr>
          <w:sz w:val="44"/>
        </w:rPr>
      </w:pPr>
    </w:p>
    <w:p>
      <w:pPr>
        <w:ind w:firstLine="480"/>
        <w:rPr>
          <w:rFonts w:asciiTheme="minorEastAsia" w:hAnsiTheme="minorEastAsia" w:eastAsiaTheme="minorEastAsia"/>
          <w:szCs w:val="24"/>
        </w:rPr>
      </w:pPr>
    </w:p>
    <w:p>
      <w:pPr>
        <w:ind w:firstLine="480"/>
        <w:rPr>
          <w:rFonts w:asciiTheme="minorEastAsia" w:hAnsiTheme="minorEastAsia"/>
          <w:szCs w:val="24"/>
        </w:rPr>
      </w:pPr>
    </w:p>
    <w:p>
      <w:pPr>
        <w:ind w:firstLine="199" w:firstLineChars="66"/>
        <w:jc w:val="center"/>
        <w:rPr>
          <w:rFonts w:ascii="黑体" w:hAnsi="黑体" w:eastAsia="黑体"/>
          <w:b/>
          <w:sz w:val="30"/>
          <w:szCs w:val="30"/>
        </w:rPr>
      </w:pPr>
      <w:r>
        <w:rPr>
          <w:rFonts w:hint="eastAsia" w:ascii="黑体" w:hAnsi="黑体" w:eastAsia="黑体"/>
          <w:b/>
          <w:sz w:val="30"/>
          <w:szCs w:val="30"/>
        </w:rPr>
        <w:t>内蒙古生态环境科学研究院有限公司</w:t>
      </w:r>
    </w:p>
    <w:p>
      <w:pPr>
        <w:ind w:firstLineChars="71"/>
        <w:jc w:val="center"/>
        <w:rPr>
          <w:rFonts w:ascii="黑体" w:hAnsi="黑体" w:eastAsia="黑体"/>
          <w:b/>
          <w:sz w:val="28"/>
          <w:szCs w:val="28"/>
        </w:rPr>
      </w:pPr>
      <w:r>
        <w:rPr>
          <w:rFonts w:hint="eastAsia" w:ascii="黑体" w:hAnsi="黑体" w:eastAsia="黑体"/>
          <w:b/>
          <w:bCs/>
          <w:sz w:val="28"/>
          <w:szCs w:val="28"/>
        </w:rPr>
        <w:t>二○一九年六月</w:t>
      </w: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40" w:right="1800" w:bottom="1440" w:left="1800" w:header="851" w:footer="992" w:gutter="0"/>
          <w:cols w:space="425" w:num="1"/>
          <w:docGrid w:type="lines" w:linePitch="312" w:charSpace="0"/>
        </w:sectPr>
      </w:pPr>
    </w:p>
    <w:p>
      <w:pPr>
        <w:ind w:firstLine="480"/>
        <w:rPr>
          <w:rFonts w:asciiTheme="minorEastAsia" w:hAnsiTheme="minorEastAsia"/>
          <w:szCs w:val="24"/>
        </w:rPr>
      </w:pPr>
    </w:p>
    <w:p>
      <w:pPr>
        <w:ind w:firstLine="480"/>
        <w:rPr>
          <w:rFonts w:asciiTheme="minorEastAsia" w:hAnsiTheme="minorEastAsia"/>
          <w:szCs w:val="24"/>
        </w:rPr>
      </w:pPr>
    </w:p>
    <w:p>
      <w:pPr>
        <w:ind w:firstLine="0" w:firstLineChars="0"/>
        <w:jc w:val="center"/>
        <w:rPr>
          <w:rFonts w:asciiTheme="minorEastAsia" w:hAnsiTheme="minorEastAsia"/>
          <w:szCs w:val="24"/>
        </w:rPr>
      </w:pPr>
    </w:p>
    <w:p>
      <w:pPr>
        <w:ind w:firstLine="0" w:firstLineChars="0"/>
        <w:jc w:val="center"/>
        <w:rPr>
          <w:rFonts w:asciiTheme="minorEastAsia" w:hAnsiTheme="minorEastAsia"/>
          <w:szCs w:val="24"/>
        </w:rPr>
      </w:pPr>
    </w:p>
    <w:p>
      <w:pPr>
        <w:ind w:firstLine="0" w:firstLineChars="0"/>
        <w:jc w:val="center"/>
        <w:rPr>
          <w:rFonts w:asciiTheme="minorEastAsia" w:hAnsiTheme="minorEastAsia"/>
          <w:szCs w:val="24"/>
        </w:rPr>
      </w:pPr>
    </w:p>
    <w:p>
      <w:pPr>
        <w:ind w:firstLine="0" w:firstLineChars="0"/>
        <w:jc w:val="center"/>
        <w:rPr>
          <w:rFonts w:asciiTheme="minorEastAsia" w:hAnsiTheme="minorEastAsia"/>
          <w:szCs w:val="24"/>
        </w:rPr>
      </w:pPr>
      <w:r>
        <w:rPr>
          <w:rFonts w:asciiTheme="minorEastAsia" w:hAnsiTheme="minorEastAsia"/>
          <w:szCs w:val="24"/>
        </w:rPr>
        <w:drawing>
          <wp:inline distT="0" distB="0" distL="0" distR="0">
            <wp:extent cx="5759450" cy="7748270"/>
            <wp:effectExtent l="19050" t="0" r="0" b="0"/>
            <wp:docPr id="1" name="图片 41" descr="D:\HT\后评价项目\阿拉善绿能环保危废处置中心项目 报批修改4\签字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descr="D:\HT\后评价项目\阿拉善绿能环保危废处置中心项目 报批修改4\签字页.jpg"/>
                    <pic:cNvPicPr>
                      <a:picLocks noChangeAspect="1" noChangeArrowheads="1"/>
                    </pic:cNvPicPr>
                  </pic:nvPicPr>
                  <pic:blipFill>
                    <a:blip r:embed="rId15" cstate="print"/>
                    <a:srcRect/>
                    <a:stretch>
                      <a:fillRect/>
                    </a:stretch>
                  </pic:blipFill>
                  <pic:spPr>
                    <a:xfrm>
                      <a:off x="0" y="0"/>
                      <a:ext cx="5759450" cy="7748362"/>
                    </a:xfrm>
                    <a:prstGeom prst="rect">
                      <a:avLst/>
                    </a:prstGeom>
                    <a:noFill/>
                    <a:ln w="9525">
                      <a:noFill/>
                      <a:miter lim="800000"/>
                      <a:headEnd/>
                      <a:tailEnd/>
                    </a:ln>
                  </pic:spPr>
                </pic:pic>
              </a:graphicData>
            </a:graphic>
          </wp:inline>
        </w:drawing>
      </w:r>
    </w:p>
    <w:p>
      <w:pPr>
        <w:ind w:firstLine="480"/>
        <w:rPr>
          <w:rFonts w:asciiTheme="minorEastAsia" w:hAnsiTheme="minorEastAsia"/>
          <w:szCs w:val="24"/>
        </w:rPr>
        <w:sectPr>
          <w:headerReference r:id="rId9" w:type="default"/>
          <w:footerReference r:id="rId10" w:type="default"/>
          <w:type w:val="continuous"/>
          <w:pgSz w:w="11906" w:h="16838"/>
          <w:pgMar w:top="1134" w:right="1418" w:bottom="1134" w:left="1418" w:header="851" w:footer="851" w:gutter="0"/>
          <w:cols w:space="425" w:num="1"/>
          <w:docGrid w:type="lines" w:linePitch="326" w:charSpace="0"/>
        </w:sectPr>
      </w:pPr>
    </w:p>
    <w:p>
      <w:pPr>
        <w:ind w:firstLine="0" w:firstLineChars="0"/>
        <w:jc w:val="center"/>
      </w:pPr>
      <w:r>
        <w:rPr>
          <w:rFonts w:hint="eastAsia" w:ascii="黑体" w:hAnsi="黑体" w:eastAsia="黑体"/>
          <w:b/>
          <w:sz w:val="36"/>
          <w:szCs w:val="36"/>
        </w:rPr>
        <w:t>目      录</w:t>
      </w:r>
    </w:p>
    <w:sdt>
      <w:sdtPr>
        <w:rPr>
          <w:rFonts w:ascii="Times New Roman" w:hAnsi="Times New Roman" w:eastAsia="宋体" w:cstheme="minorBidi"/>
          <w:b w:val="0"/>
          <w:bCs w:val="0"/>
          <w:color w:val="auto"/>
          <w:kern w:val="2"/>
          <w:sz w:val="24"/>
          <w:szCs w:val="22"/>
          <w:lang w:val="zh-CN"/>
        </w:rPr>
        <w:id w:val="20344996"/>
        <w:docPartObj>
          <w:docPartGallery w:val="Table of Contents"/>
          <w:docPartUnique/>
        </w:docPartObj>
      </w:sdtPr>
      <w:sdtEndPr>
        <w:rPr>
          <w:rFonts w:ascii="Times New Roman" w:hAnsi="Times New Roman" w:eastAsia="宋体" w:cstheme="minorBidi"/>
          <w:b w:val="0"/>
          <w:bCs w:val="0"/>
          <w:color w:val="auto"/>
          <w:kern w:val="2"/>
          <w:sz w:val="24"/>
          <w:szCs w:val="24"/>
          <w:lang w:val="en-US"/>
        </w:rPr>
      </w:sdtEndPr>
      <w:sdtContent>
        <w:p>
          <w:pPr>
            <w:pStyle w:val="173"/>
            <w:spacing w:line="240" w:lineRule="auto"/>
            <w:ind w:firstLine="480"/>
            <w:jc w:val="center"/>
            <w:rPr>
              <w:sz w:val="24"/>
              <w:szCs w:val="24"/>
            </w:rPr>
          </w:pPr>
        </w:p>
        <w:p>
          <w:pPr>
            <w:pStyle w:val="59"/>
            <w:tabs>
              <w:tab w:val="right" w:leader="dot" w:pos="9060"/>
            </w:tabs>
            <w:spacing w:line="240" w:lineRule="auto"/>
            <w:ind w:firstLine="480"/>
            <w:rPr>
              <w:rFonts w:asciiTheme="minorHAnsi" w:hAnsiTheme="minorHAnsi" w:eastAsiaTheme="minorEastAsia"/>
              <w:szCs w:val="24"/>
            </w:rPr>
          </w:pPr>
          <w:r>
            <w:rPr>
              <w:szCs w:val="24"/>
            </w:rPr>
            <w:fldChar w:fldCharType="begin"/>
          </w:r>
          <w:r>
            <w:rPr>
              <w:szCs w:val="24"/>
            </w:rPr>
            <w:instrText xml:space="preserve"> TOC \o "1-3" \h \z \u </w:instrText>
          </w:r>
          <w:r>
            <w:rPr>
              <w:szCs w:val="24"/>
            </w:rPr>
            <w:fldChar w:fldCharType="separate"/>
          </w:r>
          <w:r>
            <w:fldChar w:fldCharType="begin"/>
          </w:r>
          <w:r>
            <w:instrText xml:space="preserve"> HYPERLINK \l "_Toc13760050" </w:instrText>
          </w:r>
          <w:r>
            <w:fldChar w:fldCharType="separate"/>
          </w:r>
          <w:r>
            <w:rPr>
              <w:rStyle w:val="137"/>
              <w:szCs w:val="24"/>
            </w:rPr>
            <w:t>1.</w:t>
          </w:r>
          <w:r>
            <w:rPr>
              <w:rStyle w:val="137"/>
              <w:rFonts w:hint="eastAsia"/>
              <w:szCs w:val="24"/>
            </w:rPr>
            <w:t>前言</w:t>
          </w:r>
          <w:r>
            <w:rPr>
              <w:szCs w:val="24"/>
            </w:rPr>
            <w:tab/>
          </w:r>
          <w:r>
            <w:rPr>
              <w:szCs w:val="24"/>
            </w:rPr>
            <w:fldChar w:fldCharType="begin"/>
          </w:r>
          <w:r>
            <w:rPr>
              <w:szCs w:val="24"/>
            </w:rPr>
            <w:instrText xml:space="preserve"> PAGEREF _Toc13760050 \h </w:instrText>
          </w:r>
          <w:r>
            <w:rPr>
              <w:szCs w:val="24"/>
            </w:rPr>
            <w:fldChar w:fldCharType="separate"/>
          </w:r>
          <w:r>
            <w:rPr>
              <w:szCs w:val="24"/>
            </w:rPr>
            <w:t>1</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"_Toc13760051" </w:instrText>
          </w:r>
          <w:r>
            <w:fldChar w:fldCharType="separate"/>
          </w:r>
          <w:r>
            <w:rPr>
              <w:rStyle w:val="137"/>
              <w:szCs w:val="24"/>
            </w:rPr>
            <w:t>1.1</w:t>
          </w:r>
          <w:r>
            <w:rPr>
              <w:rStyle w:val="137"/>
              <w:rFonts w:hint="eastAsia"/>
              <w:szCs w:val="24"/>
            </w:rPr>
            <w:t>项目背景</w:t>
          </w:r>
          <w:r>
            <w:rPr>
              <w:szCs w:val="24"/>
            </w:rPr>
            <w:tab/>
          </w:r>
          <w:r>
            <w:rPr>
              <w:szCs w:val="24"/>
            </w:rPr>
            <w:fldChar w:fldCharType="begin"/>
          </w:r>
          <w:r>
            <w:rPr>
              <w:szCs w:val="24"/>
            </w:rPr>
            <w:instrText xml:space="preserve"> PAGEREF _Toc13760051 \h </w:instrText>
          </w:r>
          <w:r>
            <w:rPr>
              <w:szCs w:val="24"/>
            </w:rPr>
            <w:fldChar w:fldCharType="separate"/>
          </w:r>
          <w:r>
            <w:rPr>
              <w:szCs w:val="24"/>
            </w:rPr>
            <w:t>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"_Toc13760052" </w:instrText>
          </w:r>
          <w:r>
            <w:fldChar w:fldCharType="separate"/>
          </w:r>
          <w:r>
            <w:rPr>
              <w:rStyle w:val="137"/>
              <w:szCs w:val="24"/>
            </w:rPr>
            <w:t>1.1.1</w:t>
          </w:r>
          <w:r>
            <w:rPr>
              <w:rStyle w:val="137"/>
              <w:rFonts w:hint="eastAsia"/>
              <w:szCs w:val="24"/>
            </w:rPr>
            <w:t>项目原环评批复及改扩建原因</w:t>
          </w:r>
          <w:r>
            <w:rPr>
              <w:szCs w:val="24"/>
            </w:rPr>
            <w:tab/>
          </w:r>
          <w:r>
            <w:rPr>
              <w:szCs w:val="24"/>
            </w:rPr>
            <w:fldChar w:fldCharType="begin"/>
          </w:r>
          <w:r>
            <w:rPr>
              <w:szCs w:val="24"/>
            </w:rPr>
            <w:instrText xml:space="preserve"> PAGEREF _Toc13760052 \h </w:instrText>
          </w:r>
          <w:r>
            <w:rPr>
              <w:szCs w:val="24"/>
            </w:rPr>
            <w:fldChar w:fldCharType="separate"/>
          </w:r>
          <w:r>
            <w:rPr>
              <w:szCs w:val="24"/>
            </w:rPr>
            <w:t>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"_Toc13760053" </w:instrText>
          </w:r>
          <w:r>
            <w:fldChar w:fldCharType="separate"/>
          </w:r>
          <w:r>
            <w:rPr>
              <w:rStyle w:val="137"/>
              <w:szCs w:val="24"/>
            </w:rPr>
            <w:t>1.1.2</w:t>
          </w:r>
          <w:r>
            <w:rPr>
              <w:rStyle w:val="137"/>
              <w:rFonts w:hint="eastAsia"/>
              <w:szCs w:val="24"/>
            </w:rPr>
            <w:t>项目改扩建内容</w:t>
          </w:r>
          <w:r>
            <w:rPr>
              <w:szCs w:val="24"/>
            </w:rPr>
            <w:tab/>
          </w:r>
          <w:r>
            <w:rPr>
              <w:szCs w:val="24"/>
            </w:rPr>
            <w:fldChar w:fldCharType="begin"/>
          </w:r>
          <w:r>
            <w:rPr>
              <w:szCs w:val="24"/>
            </w:rPr>
            <w:instrText xml:space="preserve"> PAGEREF _Toc13760053 \h </w:instrText>
          </w:r>
          <w:r>
            <w:rPr>
              <w:szCs w:val="24"/>
            </w:rPr>
            <w:fldChar w:fldCharType="separate"/>
          </w:r>
          <w:r>
            <w:rPr>
              <w:szCs w:val="24"/>
            </w:rPr>
            <w:t>1</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"_Toc13760057" </w:instrText>
          </w:r>
          <w:r>
            <w:fldChar w:fldCharType="separate"/>
          </w:r>
          <w:r>
            <w:rPr>
              <w:rStyle w:val="137"/>
              <w:szCs w:val="24"/>
            </w:rPr>
            <w:t>1.2</w:t>
          </w:r>
          <w:r>
            <w:rPr>
              <w:rStyle w:val="137"/>
              <w:rFonts w:hint="eastAsia"/>
              <w:szCs w:val="24"/>
            </w:rPr>
            <w:t>评价工作过程</w:t>
          </w:r>
          <w:r>
            <w:rPr>
              <w:szCs w:val="24"/>
            </w:rPr>
            <w:tab/>
          </w:r>
          <w:r>
            <w:rPr>
              <w:szCs w:val="24"/>
            </w:rPr>
            <w:fldChar w:fldCharType="begin"/>
          </w:r>
          <w:r>
            <w:rPr>
              <w:szCs w:val="24"/>
            </w:rPr>
            <w:instrText xml:space="preserve"> PAGEREF _Toc13760057 \h </w:instrText>
          </w:r>
          <w:r>
            <w:rPr>
              <w:szCs w:val="24"/>
            </w:rPr>
            <w:fldChar w:fldCharType="separate"/>
          </w:r>
          <w:r>
            <w:rPr>
              <w:szCs w:val="24"/>
            </w:rPr>
            <w:t>5</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"_Toc13760058" </w:instrText>
          </w:r>
          <w:r>
            <w:fldChar w:fldCharType="separate"/>
          </w:r>
          <w:r>
            <w:rPr>
              <w:rStyle w:val="137"/>
              <w:szCs w:val="24"/>
            </w:rPr>
            <w:t>1.3</w:t>
          </w:r>
          <w:r>
            <w:rPr>
              <w:rStyle w:val="137"/>
              <w:rFonts w:hint="eastAsia"/>
              <w:szCs w:val="24"/>
            </w:rPr>
            <w:t>分析判定相关情况</w:t>
          </w:r>
          <w:r>
            <w:rPr>
              <w:szCs w:val="24"/>
            </w:rPr>
            <w:tab/>
          </w:r>
          <w:r>
            <w:rPr>
              <w:szCs w:val="24"/>
            </w:rPr>
            <w:fldChar w:fldCharType="begin"/>
          </w:r>
          <w:r>
            <w:rPr>
              <w:szCs w:val="24"/>
            </w:rPr>
            <w:instrText xml:space="preserve"> PAGEREF _Toc13760058 \h </w:instrText>
          </w:r>
          <w:r>
            <w:rPr>
              <w:szCs w:val="24"/>
            </w:rPr>
            <w:fldChar w:fldCharType="separate"/>
          </w:r>
          <w:r>
            <w:rPr>
              <w:szCs w:val="24"/>
            </w:rPr>
            <w:t>6</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"_Toc13760061" </w:instrText>
          </w:r>
          <w:r>
            <w:fldChar w:fldCharType="separate"/>
          </w:r>
          <w:r>
            <w:rPr>
              <w:rStyle w:val="137"/>
              <w:szCs w:val="24"/>
            </w:rPr>
            <w:t>1.4</w:t>
          </w:r>
          <w:r>
            <w:rPr>
              <w:rStyle w:val="137"/>
              <w:rFonts w:hint="eastAsia"/>
              <w:szCs w:val="24"/>
            </w:rPr>
            <w:t>关注的主要环境问题</w:t>
          </w:r>
          <w:r>
            <w:rPr>
              <w:szCs w:val="24"/>
            </w:rPr>
            <w:tab/>
          </w:r>
          <w:r>
            <w:rPr>
              <w:szCs w:val="24"/>
            </w:rPr>
            <w:fldChar w:fldCharType="begin"/>
          </w:r>
          <w:r>
            <w:rPr>
              <w:szCs w:val="24"/>
            </w:rPr>
            <w:instrText xml:space="preserve"> PAGEREF _Toc13760061 \h </w:instrText>
          </w:r>
          <w:r>
            <w:rPr>
              <w:szCs w:val="24"/>
            </w:rPr>
            <w:fldChar w:fldCharType="separate"/>
          </w:r>
          <w:r>
            <w:rPr>
              <w:szCs w:val="24"/>
            </w:rPr>
            <w:t>8</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"_Toc13760062" </w:instrText>
          </w:r>
          <w:r>
            <w:fldChar w:fldCharType="separate"/>
          </w:r>
          <w:r>
            <w:rPr>
              <w:rStyle w:val="137"/>
              <w:szCs w:val="24"/>
            </w:rPr>
            <w:t>1.5</w:t>
          </w:r>
          <w:r>
            <w:rPr>
              <w:rStyle w:val="137"/>
              <w:rFonts w:hint="eastAsia"/>
              <w:szCs w:val="24"/>
            </w:rPr>
            <w:t>主要结论</w:t>
          </w:r>
          <w:r>
            <w:rPr>
              <w:szCs w:val="24"/>
            </w:rPr>
            <w:tab/>
          </w:r>
          <w:r>
            <w:rPr>
              <w:szCs w:val="24"/>
            </w:rPr>
            <w:fldChar w:fldCharType="begin"/>
          </w:r>
          <w:r>
            <w:rPr>
              <w:szCs w:val="24"/>
            </w:rPr>
            <w:instrText xml:space="preserve"> PAGEREF _Toc13760062 \h </w:instrText>
          </w:r>
          <w:r>
            <w:rPr>
              <w:szCs w:val="24"/>
            </w:rPr>
            <w:fldChar w:fldCharType="separate"/>
          </w:r>
          <w:r>
            <w:rPr>
              <w:szCs w:val="24"/>
            </w:rPr>
            <w:t>8</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"_Toc13760063" </w:instrText>
          </w:r>
          <w:r>
            <w:fldChar w:fldCharType="separate"/>
          </w:r>
          <w:r>
            <w:rPr>
              <w:rStyle w:val="137"/>
              <w:szCs w:val="24"/>
            </w:rPr>
            <w:t>2.</w:t>
          </w:r>
          <w:r>
            <w:rPr>
              <w:rStyle w:val="137"/>
              <w:rFonts w:hint="eastAsia"/>
              <w:szCs w:val="24"/>
            </w:rPr>
            <w:t>总则</w:t>
          </w:r>
          <w:r>
            <w:rPr>
              <w:szCs w:val="24"/>
            </w:rPr>
            <w:tab/>
          </w:r>
          <w:r>
            <w:rPr>
              <w:szCs w:val="24"/>
            </w:rPr>
            <w:fldChar w:fldCharType="begin"/>
          </w:r>
          <w:r>
            <w:rPr>
              <w:szCs w:val="24"/>
            </w:rPr>
            <w:instrText xml:space="preserve"> PAGEREF _Toc13760063 \h </w:instrText>
          </w:r>
          <w:r>
            <w:rPr>
              <w:szCs w:val="24"/>
            </w:rPr>
            <w:fldChar w:fldCharType="separate"/>
          </w:r>
          <w:r>
            <w:rPr>
              <w:szCs w:val="24"/>
            </w:rPr>
            <w:t>10</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"_Toc13760064" </w:instrText>
          </w:r>
          <w:r>
            <w:fldChar w:fldCharType="separate"/>
          </w:r>
          <w:r>
            <w:rPr>
              <w:rStyle w:val="137"/>
              <w:szCs w:val="24"/>
            </w:rPr>
            <w:t>2.1</w:t>
          </w:r>
          <w:r>
            <w:rPr>
              <w:rStyle w:val="137"/>
              <w:rFonts w:hint="eastAsia"/>
              <w:szCs w:val="24"/>
            </w:rPr>
            <w:t>评价目的和指导思想</w:t>
          </w:r>
          <w:r>
            <w:rPr>
              <w:szCs w:val="24"/>
            </w:rPr>
            <w:tab/>
          </w:r>
          <w:r>
            <w:rPr>
              <w:szCs w:val="24"/>
            </w:rPr>
            <w:fldChar w:fldCharType="begin"/>
          </w:r>
          <w:r>
            <w:rPr>
              <w:szCs w:val="24"/>
            </w:rPr>
            <w:instrText xml:space="preserve"> PAGEREF _Toc13760064 \h </w:instrText>
          </w:r>
          <w:r>
            <w:rPr>
              <w:szCs w:val="24"/>
            </w:rPr>
            <w:fldChar w:fldCharType="separate"/>
          </w:r>
          <w:r>
            <w:rPr>
              <w:szCs w:val="24"/>
            </w:rPr>
            <w:t>10</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"_Toc13760065" </w:instrText>
          </w:r>
          <w:r>
            <w:fldChar w:fldCharType="separate"/>
          </w:r>
          <w:r>
            <w:rPr>
              <w:rStyle w:val="137"/>
              <w:szCs w:val="24"/>
            </w:rPr>
            <w:t>2.1.1</w:t>
          </w:r>
          <w:r>
            <w:rPr>
              <w:rStyle w:val="137"/>
              <w:rFonts w:hint="eastAsia"/>
              <w:szCs w:val="24"/>
            </w:rPr>
            <w:t>评价目的</w:t>
          </w:r>
          <w:r>
            <w:rPr>
              <w:szCs w:val="24"/>
            </w:rPr>
            <w:tab/>
          </w:r>
          <w:r>
            <w:rPr>
              <w:szCs w:val="24"/>
            </w:rPr>
            <w:fldChar w:fldCharType="begin"/>
          </w:r>
          <w:r>
            <w:rPr>
              <w:szCs w:val="24"/>
            </w:rPr>
            <w:instrText xml:space="preserve"> PAGEREF _Toc13760065 \h </w:instrText>
          </w:r>
          <w:r>
            <w:rPr>
              <w:szCs w:val="24"/>
            </w:rPr>
            <w:fldChar w:fldCharType="separate"/>
          </w:r>
          <w:r>
            <w:rPr>
              <w:szCs w:val="24"/>
            </w:rPr>
            <w:t>10</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"_Toc13760066" </w:instrText>
          </w:r>
          <w:r>
            <w:fldChar w:fldCharType="separate"/>
          </w:r>
          <w:r>
            <w:rPr>
              <w:rStyle w:val="137"/>
              <w:szCs w:val="24"/>
            </w:rPr>
            <w:t>2.1.2</w:t>
          </w:r>
          <w:r>
            <w:rPr>
              <w:rStyle w:val="137"/>
              <w:rFonts w:hint="eastAsia"/>
              <w:szCs w:val="24"/>
            </w:rPr>
            <w:t>评价原则</w:t>
          </w:r>
          <w:r>
            <w:rPr>
              <w:szCs w:val="24"/>
            </w:rPr>
            <w:tab/>
          </w:r>
          <w:r>
            <w:rPr>
              <w:szCs w:val="24"/>
            </w:rPr>
            <w:fldChar w:fldCharType="begin"/>
          </w:r>
          <w:r>
            <w:rPr>
              <w:szCs w:val="24"/>
            </w:rPr>
            <w:instrText xml:space="preserve"> PAGEREF _Toc13760066 \h </w:instrText>
          </w:r>
          <w:r>
            <w:rPr>
              <w:szCs w:val="24"/>
            </w:rPr>
            <w:fldChar w:fldCharType="separate"/>
          </w:r>
          <w:r>
            <w:rPr>
              <w:szCs w:val="24"/>
            </w:rPr>
            <w:t>10</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"_Toc13760071" </w:instrText>
          </w:r>
          <w:r>
            <w:fldChar w:fldCharType="separate"/>
          </w:r>
          <w:r>
            <w:rPr>
              <w:rStyle w:val="137"/>
              <w:szCs w:val="24"/>
            </w:rPr>
            <w:t>2.1.3</w:t>
          </w:r>
          <w:r>
            <w:rPr>
              <w:rStyle w:val="137"/>
              <w:rFonts w:hint="eastAsia"/>
              <w:szCs w:val="24"/>
            </w:rPr>
            <w:t>指导思想</w:t>
          </w:r>
          <w:r>
            <w:rPr>
              <w:szCs w:val="24"/>
            </w:rPr>
            <w:tab/>
          </w:r>
          <w:r>
            <w:rPr>
              <w:szCs w:val="24"/>
            </w:rPr>
            <w:fldChar w:fldCharType="begin"/>
          </w:r>
          <w:r>
            <w:rPr>
              <w:szCs w:val="24"/>
            </w:rPr>
            <w:instrText xml:space="preserve"> PAGEREF _Toc13760071 \h </w:instrText>
          </w:r>
          <w:r>
            <w:rPr>
              <w:szCs w:val="24"/>
            </w:rPr>
            <w:fldChar w:fldCharType="separate"/>
          </w:r>
          <w:r>
            <w:rPr>
              <w:szCs w:val="24"/>
            </w:rPr>
            <w:t>10</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"_Toc13760072" </w:instrText>
          </w:r>
          <w:r>
            <w:fldChar w:fldCharType="separate"/>
          </w:r>
          <w:r>
            <w:rPr>
              <w:rStyle w:val="137"/>
              <w:szCs w:val="24"/>
            </w:rPr>
            <w:t>2.2</w:t>
          </w:r>
          <w:r>
            <w:rPr>
              <w:rStyle w:val="137"/>
              <w:rFonts w:hint="eastAsia"/>
              <w:szCs w:val="24"/>
            </w:rPr>
            <w:t>编制依据</w:t>
          </w:r>
          <w:r>
            <w:rPr>
              <w:szCs w:val="24"/>
            </w:rPr>
            <w:tab/>
          </w:r>
          <w:r>
            <w:rPr>
              <w:szCs w:val="24"/>
            </w:rPr>
            <w:fldChar w:fldCharType="begin"/>
          </w:r>
          <w:r>
            <w:rPr>
              <w:szCs w:val="24"/>
            </w:rPr>
            <w:instrText xml:space="preserve"> PAGEREF _Toc13760072 \h </w:instrText>
          </w:r>
          <w:r>
            <w:rPr>
              <w:szCs w:val="24"/>
            </w:rPr>
            <w:fldChar w:fldCharType="separate"/>
          </w:r>
          <w:r>
            <w:rPr>
              <w:szCs w:val="24"/>
            </w:rPr>
            <w:t>11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"_Toc13760073" </w:instrText>
          </w:r>
          <w:r>
            <w:fldChar w:fldCharType="separate"/>
          </w:r>
          <w:r>
            <w:rPr>
              <w:rStyle w:val="137"/>
              <w:szCs w:val="24"/>
            </w:rPr>
            <w:t>2.2.1</w:t>
          </w:r>
          <w:r>
            <w:rPr>
              <w:rStyle w:val="137"/>
              <w:rFonts w:hint="eastAsia"/>
              <w:szCs w:val="24"/>
            </w:rPr>
            <w:t>法律法规依据</w:t>
          </w:r>
          <w:r>
            <w:rPr>
              <w:szCs w:val="24"/>
            </w:rPr>
            <w:tab/>
          </w:r>
          <w:r>
            <w:rPr>
              <w:szCs w:val="24"/>
            </w:rPr>
            <w:fldChar w:fldCharType="begin"/>
          </w:r>
          <w:r>
            <w:rPr>
              <w:szCs w:val="24"/>
            </w:rPr>
            <w:instrText xml:space="preserve"> PAGEREF _Toc13760073 \h </w:instrText>
          </w:r>
          <w:r>
            <w:rPr>
              <w:szCs w:val="24"/>
            </w:rPr>
            <w:fldChar w:fldCharType="separate"/>
          </w:r>
          <w:r>
            <w:rPr>
              <w:szCs w:val="24"/>
            </w:rPr>
            <w:t>11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"_Toc13760074" </w:instrText>
          </w:r>
          <w:r>
            <w:fldChar w:fldCharType="separate"/>
          </w:r>
          <w:r>
            <w:rPr>
              <w:rStyle w:val="137"/>
              <w:szCs w:val="24"/>
            </w:rPr>
            <w:t>2.2.2</w:t>
          </w:r>
          <w:r>
            <w:rPr>
              <w:rStyle w:val="137"/>
              <w:rFonts w:hint="eastAsia"/>
              <w:szCs w:val="24"/>
            </w:rPr>
            <w:t>地方法规、规章及政策</w:t>
          </w:r>
          <w:r>
            <w:rPr>
              <w:szCs w:val="24"/>
            </w:rPr>
            <w:tab/>
          </w:r>
          <w:r>
            <w:rPr>
              <w:szCs w:val="24"/>
            </w:rPr>
            <w:fldChar w:fldCharType="begin"/>
          </w:r>
          <w:r>
            <w:rPr>
              <w:szCs w:val="24"/>
            </w:rPr>
            <w:instrText xml:space="preserve"> PAGEREF _Toc13760074 \h </w:instrText>
          </w:r>
          <w:r>
            <w:rPr>
              <w:szCs w:val="24"/>
            </w:rPr>
            <w:fldChar w:fldCharType="separate"/>
          </w:r>
          <w:r>
            <w:rPr>
              <w:szCs w:val="24"/>
            </w:rPr>
            <w:t>12</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"_Toc13760075" </w:instrText>
          </w:r>
          <w:r>
            <w:fldChar w:fldCharType="separate"/>
          </w:r>
          <w:r>
            <w:rPr>
              <w:rStyle w:val="137"/>
              <w:szCs w:val="24"/>
            </w:rPr>
            <w:t>2.2.3</w:t>
          </w:r>
          <w:r>
            <w:rPr>
              <w:rStyle w:val="137"/>
              <w:rFonts w:hint="eastAsia"/>
              <w:szCs w:val="24"/>
            </w:rPr>
            <w:t>相关规划</w:t>
          </w:r>
          <w:r>
            <w:rPr>
              <w:szCs w:val="24"/>
            </w:rPr>
            <w:tab/>
          </w:r>
          <w:r>
            <w:rPr>
              <w:szCs w:val="24"/>
            </w:rPr>
            <w:fldChar w:fldCharType="begin"/>
          </w:r>
          <w:r>
            <w:rPr>
              <w:szCs w:val="24"/>
            </w:rPr>
            <w:instrText xml:space="preserve"> PAGEREF _Toc13760075 \h </w:instrText>
          </w:r>
          <w:r>
            <w:rPr>
              <w:szCs w:val="24"/>
            </w:rPr>
            <w:fldChar w:fldCharType="separate"/>
          </w:r>
          <w:r>
            <w:rPr>
              <w:szCs w:val="24"/>
            </w:rPr>
            <w:t>12</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"_Toc13760076" </w:instrText>
          </w:r>
          <w:r>
            <w:fldChar w:fldCharType="separate"/>
          </w:r>
          <w:r>
            <w:rPr>
              <w:rStyle w:val="137"/>
              <w:szCs w:val="24"/>
            </w:rPr>
            <w:t>2.2.4</w:t>
          </w:r>
          <w:r>
            <w:rPr>
              <w:rStyle w:val="137"/>
              <w:rFonts w:hint="eastAsia"/>
              <w:szCs w:val="24"/>
            </w:rPr>
            <w:t>技术依据</w:t>
          </w:r>
          <w:r>
            <w:rPr>
              <w:szCs w:val="24"/>
            </w:rPr>
            <w:tab/>
          </w:r>
          <w:r>
            <w:rPr>
              <w:szCs w:val="24"/>
            </w:rPr>
            <w:fldChar w:fldCharType="begin"/>
          </w:r>
          <w:r>
            <w:rPr>
              <w:szCs w:val="24"/>
            </w:rPr>
            <w:instrText xml:space="preserve"> PAGEREF _Toc13760076 \h </w:instrText>
          </w:r>
          <w:r>
            <w:rPr>
              <w:szCs w:val="24"/>
            </w:rPr>
            <w:fldChar w:fldCharType="separate"/>
          </w:r>
          <w:r>
            <w:rPr>
              <w:szCs w:val="24"/>
            </w:rPr>
            <w:t>13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"_Toc13760077" </w:instrText>
          </w:r>
          <w:r>
            <w:fldChar w:fldCharType="separate"/>
          </w:r>
          <w:r>
            <w:rPr>
              <w:rStyle w:val="137"/>
              <w:szCs w:val="24"/>
            </w:rPr>
            <w:t>2.2.5</w:t>
          </w:r>
          <w:r>
            <w:rPr>
              <w:rStyle w:val="137"/>
              <w:rFonts w:hint="eastAsia"/>
              <w:szCs w:val="24"/>
            </w:rPr>
            <w:t>项目编制依据文件及技术参考资料</w:t>
          </w:r>
          <w:r>
            <w:rPr>
              <w:szCs w:val="24"/>
            </w:rPr>
            <w:tab/>
          </w:r>
          <w:r>
            <w:rPr>
              <w:szCs w:val="24"/>
            </w:rPr>
            <w:fldChar w:fldCharType="begin"/>
          </w:r>
          <w:r>
            <w:rPr>
              <w:szCs w:val="24"/>
            </w:rPr>
            <w:instrText xml:space="preserve"> PAGEREF _Toc13760077 \h </w:instrText>
          </w:r>
          <w:r>
            <w:rPr>
              <w:szCs w:val="24"/>
            </w:rPr>
            <w:fldChar w:fldCharType="separate"/>
          </w:r>
          <w:r>
            <w:rPr>
              <w:szCs w:val="24"/>
            </w:rPr>
            <w:t>13</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"_Toc13760078" </w:instrText>
          </w:r>
          <w:r>
            <w:fldChar w:fldCharType="separate"/>
          </w:r>
          <w:r>
            <w:rPr>
              <w:rStyle w:val="137"/>
              <w:szCs w:val="24"/>
              <w:lang w:val="zh-CN"/>
            </w:rPr>
            <w:t>2.3</w:t>
          </w:r>
          <w:r>
            <w:rPr>
              <w:rStyle w:val="137"/>
              <w:rFonts w:hint="eastAsia"/>
              <w:szCs w:val="24"/>
              <w:lang w:val="zh-CN"/>
            </w:rPr>
            <w:t>评价因子</w:t>
          </w:r>
          <w:r>
            <w:rPr>
              <w:szCs w:val="24"/>
            </w:rPr>
            <w:tab/>
          </w:r>
          <w:r>
            <w:rPr>
              <w:szCs w:val="24"/>
            </w:rPr>
            <w:fldChar w:fldCharType="begin"/>
          </w:r>
          <w:r>
            <w:rPr>
              <w:szCs w:val="24"/>
            </w:rPr>
            <w:instrText xml:space="preserve"> PAGEREF _Toc13760078 \h </w:instrText>
          </w:r>
          <w:r>
            <w:rPr>
              <w:szCs w:val="24"/>
            </w:rPr>
            <w:fldChar w:fldCharType="separate"/>
          </w:r>
          <w:r>
            <w:rPr>
              <w:szCs w:val="24"/>
            </w:rPr>
            <w:t>14</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"_Toc13760085" </w:instrText>
          </w:r>
          <w:r>
            <w:fldChar w:fldCharType="separate"/>
          </w:r>
          <w:r>
            <w:rPr>
              <w:rStyle w:val="137"/>
              <w:szCs w:val="24"/>
            </w:rPr>
            <w:t>2.4</w:t>
          </w:r>
          <w:r>
            <w:rPr>
              <w:rStyle w:val="137"/>
              <w:rFonts w:hint="eastAsia"/>
              <w:szCs w:val="24"/>
            </w:rPr>
            <w:t>执行标准</w:t>
          </w:r>
          <w:r>
            <w:rPr>
              <w:szCs w:val="24"/>
            </w:rPr>
            <w:tab/>
          </w:r>
          <w:r>
            <w:rPr>
              <w:szCs w:val="24"/>
            </w:rPr>
            <w:fldChar w:fldCharType="begin"/>
          </w:r>
          <w:r>
            <w:rPr>
              <w:szCs w:val="24"/>
            </w:rPr>
            <w:instrText xml:space="preserve"> PAGEREF _Toc13760085 \h </w:instrText>
          </w:r>
          <w:r>
            <w:rPr>
              <w:szCs w:val="24"/>
            </w:rPr>
            <w:fldChar w:fldCharType="separate"/>
          </w:r>
          <w:r>
            <w:rPr>
              <w:szCs w:val="24"/>
            </w:rPr>
            <w:t>15</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"_Toc13760086" </w:instrText>
          </w:r>
          <w:r>
            <w:fldChar w:fldCharType="separate"/>
          </w:r>
          <w:r>
            <w:rPr>
              <w:rStyle w:val="137"/>
              <w:szCs w:val="24"/>
            </w:rPr>
            <w:t>2.4.1</w:t>
          </w:r>
          <w:r>
            <w:rPr>
              <w:rStyle w:val="137"/>
              <w:rFonts w:hint="eastAsia"/>
              <w:szCs w:val="24"/>
            </w:rPr>
            <w:t>环境质量标准</w:t>
          </w:r>
          <w:r>
            <w:rPr>
              <w:szCs w:val="24"/>
            </w:rPr>
            <w:tab/>
          </w:r>
          <w:r>
            <w:rPr>
              <w:szCs w:val="24"/>
            </w:rPr>
            <w:fldChar w:fldCharType="begin"/>
          </w:r>
          <w:r>
            <w:rPr>
              <w:szCs w:val="24"/>
            </w:rPr>
            <w:instrText xml:space="preserve"> PAGEREF _Toc13760086 \h </w:instrText>
          </w:r>
          <w:r>
            <w:rPr>
              <w:szCs w:val="24"/>
            </w:rPr>
            <w:fldChar w:fldCharType="separate"/>
          </w:r>
          <w:r>
            <w:rPr>
              <w:szCs w:val="24"/>
            </w:rPr>
            <w:t>15</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"_Toc13760091" </w:instrText>
          </w:r>
          <w:r>
            <w:fldChar w:fldCharType="separate"/>
          </w:r>
          <w:r>
            <w:rPr>
              <w:rStyle w:val="137"/>
              <w:szCs w:val="24"/>
            </w:rPr>
            <w:t>2.4.2</w:t>
          </w:r>
          <w:r>
            <w:rPr>
              <w:rStyle w:val="137"/>
              <w:rFonts w:hint="eastAsia"/>
              <w:szCs w:val="24"/>
            </w:rPr>
            <w:t>污染物排放标准</w:t>
          </w:r>
          <w:r>
            <w:rPr>
              <w:szCs w:val="24"/>
            </w:rPr>
            <w:tab/>
          </w:r>
          <w:r>
            <w:rPr>
              <w:szCs w:val="24"/>
            </w:rPr>
            <w:fldChar w:fldCharType="begin"/>
          </w:r>
          <w:r>
            <w:rPr>
              <w:szCs w:val="24"/>
            </w:rPr>
            <w:instrText xml:space="preserve"> PAGEREF _Toc13760091 \h </w:instrText>
          </w:r>
          <w:r>
            <w:rPr>
              <w:szCs w:val="24"/>
            </w:rPr>
            <w:fldChar w:fldCharType="separate"/>
          </w:r>
          <w:r>
            <w:rPr>
              <w:szCs w:val="24"/>
            </w:rPr>
            <w:t>18</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"_Toc13760094" </w:instrText>
          </w:r>
          <w:r>
            <w:fldChar w:fldCharType="separate"/>
          </w:r>
          <w:r>
            <w:rPr>
              <w:rStyle w:val="137"/>
              <w:szCs w:val="24"/>
            </w:rPr>
            <w:t>2.5</w:t>
          </w:r>
          <w:r>
            <w:rPr>
              <w:rStyle w:val="137"/>
              <w:rFonts w:hint="eastAsia"/>
              <w:szCs w:val="24"/>
            </w:rPr>
            <w:t>评价等级</w:t>
          </w:r>
          <w:r>
            <w:rPr>
              <w:szCs w:val="24"/>
            </w:rPr>
            <w:tab/>
          </w:r>
          <w:r>
            <w:rPr>
              <w:szCs w:val="24"/>
            </w:rPr>
            <w:fldChar w:fldCharType="begin"/>
          </w:r>
          <w:r>
            <w:rPr>
              <w:szCs w:val="24"/>
            </w:rPr>
            <w:instrText xml:space="preserve"> PAGEREF _Toc13760094 \h </w:instrText>
          </w:r>
          <w:r>
            <w:rPr>
              <w:szCs w:val="24"/>
            </w:rPr>
            <w:fldChar w:fldCharType="separate"/>
          </w:r>
          <w:r>
            <w:rPr>
              <w:szCs w:val="24"/>
            </w:rPr>
            <w:t>21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"_Toc13760095" </w:instrText>
          </w:r>
          <w:r>
            <w:fldChar w:fldCharType="separate"/>
          </w:r>
          <w:r>
            <w:rPr>
              <w:rStyle w:val="137"/>
              <w:szCs w:val="24"/>
            </w:rPr>
            <w:t>2.5.1</w:t>
          </w:r>
          <w:r>
            <w:rPr>
              <w:rStyle w:val="137"/>
              <w:rFonts w:hint="eastAsia"/>
              <w:szCs w:val="24"/>
            </w:rPr>
            <w:t>环境空气</w:t>
          </w:r>
          <w:r>
            <w:rPr>
              <w:szCs w:val="24"/>
            </w:rPr>
            <w:tab/>
          </w:r>
          <w:r>
            <w:rPr>
              <w:szCs w:val="24"/>
            </w:rPr>
            <w:fldChar w:fldCharType="begin"/>
          </w:r>
          <w:r>
            <w:rPr>
              <w:szCs w:val="24"/>
            </w:rPr>
            <w:instrText xml:space="preserve"> PAGEREF _Toc13760095 \h </w:instrText>
          </w:r>
          <w:r>
            <w:rPr>
              <w:szCs w:val="24"/>
            </w:rPr>
            <w:fldChar w:fldCharType="separate"/>
          </w:r>
          <w:r>
            <w:rPr>
              <w:szCs w:val="24"/>
            </w:rPr>
            <w:t>21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"_Toc13760096" </w:instrText>
          </w:r>
          <w:r>
            <w:fldChar w:fldCharType="separate"/>
          </w:r>
          <w:r>
            <w:rPr>
              <w:rStyle w:val="137"/>
              <w:szCs w:val="24"/>
              <w:lang w:val="zh-CN"/>
            </w:rPr>
            <w:t>2.5.2</w:t>
          </w:r>
          <w:r>
            <w:rPr>
              <w:rStyle w:val="137"/>
              <w:rFonts w:hint="eastAsia"/>
              <w:szCs w:val="24"/>
              <w:lang w:val="zh-CN"/>
            </w:rPr>
            <w:t>地表水</w:t>
          </w:r>
          <w:r>
            <w:rPr>
              <w:szCs w:val="24"/>
            </w:rPr>
            <w:tab/>
          </w:r>
          <w:r>
            <w:rPr>
              <w:szCs w:val="24"/>
            </w:rPr>
            <w:fldChar w:fldCharType="begin"/>
          </w:r>
          <w:r>
            <w:rPr>
              <w:szCs w:val="24"/>
            </w:rPr>
            <w:instrText xml:space="preserve"> PAGEREF _Toc13760096 \h </w:instrText>
          </w:r>
          <w:r>
            <w:rPr>
              <w:szCs w:val="24"/>
            </w:rPr>
            <w:fldChar w:fldCharType="separate"/>
          </w:r>
          <w:r>
            <w:rPr>
              <w:szCs w:val="24"/>
            </w:rPr>
            <w:t>25</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"_Toc13760097" </w:instrText>
          </w:r>
          <w:r>
            <w:fldChar w:fldCharType="separate"/>
          </w:r>
          <w:r>
            <w:rPr>
              <w:rStyle w:val="137"/>
              <w:szCs w:val="24"/>
              <w:lang w:val="zh-CN"/>
            </w:rPr>
            <w:t>2.5.3</w:t>
          </w:r>
          <w:r>
            <w:rPr>
              <w:rStyle w:val="137"/>
              <w:rFonts w:hint="eastAsia"/>
              <w:szCs w:val="24"/>
              <w:lang w:val="zh-CN"/>
            </w:rPr>
            <w:t>地下水</w:t>
          </w:r>
          <w:r>
            <w:rPr>
              <w:szCs w:val="24"/>
            </w:rPr>
            <w:tab/>
          </w:r>
          <w:r>
            <w:rPr>
              <w:szCs w:val="24"/>
            </w:rPr>
            <w:fldChar w:fldCharType="begin"/>
          </w:r>
          <w:r>
            <w:rPr>
              <w:szCs w:val="24"/>
            </w:rPr>
            <w:instrText xml:space="preserve"> PAGEREF _Toc13760097 \h </w:instrText>
          </w:r>
          <w:r>
            <w:rPr>
              <w:szCs w:val="24"/>
            </w:rPr>
            <w:fldChar w:fldCharType="separate"/>
          </w:r>
          <w:r>
            <w:rPr>
              <w:szCs w:val="24"/>
            </w:rPr>
            <w:t>25</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"_Toc13760098" </w:instrText>
          </w:r>
          <w:r>
            <w:fldChar w:fldCharType="separate"/>
          </w:r>
          <w:r>
            <w:rPr>
              <w:rStyle w:val="137"/>
              <w:szCs w:val="24"/>
            </w:rPr>
            <w:t>2.5.4</w:t>
          </w:r>
          <w:r>
            <w:rPr>
              <w:rStyle w:val="137"/>
              <w:rFonts w:hint="eastAsia"/>
              <w:szCs w:val="24"/>
            </w:rPr>
            <w:t>环境噪声</w:t>
          </w:r>
          <w:r>
            <w:rPr>
              <w:szCs w:val="24"/>
            </w:rPr>
            <w:tab/>
          </w:r>
          <w:r>
            <w:rPr>
              <w:szCs w:val="24"/>
            </w:rPr>
            <w:fldChar w:fldCharType="begin"/>
          </w:r>
          <w:r>
            <w:rPr>
              <w:szCs w:val="24"/>
            </w:rPr>
            <w:instrText xml:space="preserve"> PAGEREF _Toc13760098 \h </w:instrText>
          </w:r>
          <w:r>
            <w:rPr>
              <w:szCs w:val="24"/>
            </w:rPr>
            <w:fldChar w:fldCharType="separate"/>
          </w:r>
          <w:r>
            <w:rPr>
              <w:szCs w:val="24"/>
            </w:rPr>
            <w:t>25</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"_Toc13760099" </w:instrText>
          </w:r>
          <w:r>
            <w:fldChar w:fldCharType="separate"/>
          </w:r>
          <w:r>
            <w:rPr>
              <w:rStyle w:val="137"/>
              <w:szCs w:val="24"/>
            </w:rPr>
            <w:t>2.5.5</w:t>
          </w:r>
          <w:r>
            <w:rPr>
              <w:rStyle w:val="137"/>
              <w:rFonts w:hint="eastAsia"/>
              <w:szCs w:val="24"/>
            </w:rPr>
            <w:t>风险环境评价</w:t>
          </w:r>
          <w:r>
            <w:rPr>
              <w:szCs w:val="24"/>
            </w:rPr>
            <w:tab/>
          </w:r>
          <w:r>
            <w:rPr>
              <w:szCs w:val="24"/>
            </w:rPr>
            <w:fldChar w:fldCharType="begin"/>
          </w:r>
          <w:r>
            <w:rPr>
              <w:szCs w:val="24"/>
            </w:rPr>
            <w:instrText xml:space="preserve"> PAGEREF _Toc13760099 \h </w:instrText>
          </w:r>
          <w:r>
            <w:rPr>
              <w:szCs w:val="24"/>
            </w:rPr>
            <w:fldChar w:fldCharType="separate"/>
          </w:r>
          <w:r>
            <w:rPr>
              <w:szCs w:val="24"/>
            </w:rPr>
            <w:t>26</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"_Toc13760100" </w:instrText>
          </w:r>
          <w:r>
            <w:fldChar w:fldCharType="separate"/>
          </w:r>
          <w:r>
            <w:rPr>
              <w:rStyle w:val="137"/>
              <w:szCs w:val="24"/>
            </w:rPr>
            <w:t>2.5.6</w:t>
          </w:r>
          <w:r>
            <w:rPr>
              <w:rStyle w:val="137"/>
              <w:rFonts w:hint="eastAsia"/>
              <w:szCs w:val="24"/>
            </w:rPr>
            <w:t>生态环境</w:t>
          </w:r>
          <w:r>
            <w:rPr>
              <w:szCs w:val="24"/>
            </w:rPr>
            <w:tab/>
          </w:r>
          <w:r>
            <w:rPr>
              <w:szCs w:val="24"/>
            </w:rPr>
            <w:fldChar w:fldCharType="begin"/>
          </w:r>
          <w:r>
            <w:rPr>
              <w:szCs w:val="24"/>
            </w:rPr>
            <w:instrText xml:space="preserve"> PAGEREF _Toc13760100 \h </w:instrText>
          </w:r>
          <w:r>
            <w:rPr>
              <w:szCs w:val="24"/>
            </w:rPr>
            <w:fldChar w:fldCharType="separate"/>
          </w:r>
          <w:r>
            <w:rPr>
              <w:szCs w:val="24"/>
            </w:rPr>
            <w:t>26</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"_Toc13760101" </w:instrText>
          </w:r>
          <w:r>
            <w:fldChar w:fldCharType="separate"/>
          </w:r>
          <w:r>
            <w:rPr>
              <w:rStyle w:val="137"/>
              <w:szCs w:val="24"/>
            </w:rPr>
            <w:t>2.6</w:t>
          </w:r>
          <w:r>
            <w:rPr>
              <w:rStyle w:val="137"/>
              <w:rFonts w:hint="eastAsia"/>
              <w:szCs w:val="24"/>
            </w:rPr>
            <w:t>评价范围</w:t>
          </w:r>
          <w:r>
            <w:rPr>
              <w:szCs w:val="24"/>
            </w:rPr>
            <w:tab/>
          </w:r>
          <w:r>
            <w:rPr>
              <w:szCs w:val="24"/>
            </w:rPr>
            <w:fldChar w:fldCharType="begin"/>
          </w:r>
          <w:r>
            <w:rPr>
              <w:szCs w:val="24"/>
            </w:rPr>
            <w:instrText xml:space="preserve"> PAGEREF _Toc13760101 \h </w:instrText>
          </w:r>
          <w:r>
            <w:rPr>
              <w:szCs w:val="24"/>
            </w:rPr>
            <w:fldChar w:fldCharType="separate"/>
          </w:r>
          <w:r>
            <w:rPr>
              <w:szCs w:val="24"/>
            </w:rPr>
            <w:t>26</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"_Toc13760106" </w:instrText>
          </w:r>
          <w:r>
            <w:fldChar w:fldCharType="separate"/>
          </w:r>
          <w:r>
            <w:rPr>
              <w:rStyle w:val="137"/>
              <w:szCs w:val="24"/>
            </w:rPr>
            <w:t>2.7</w:t>
          </w:r>
          <w:r>
            <w:rPr>
              <w:rStyle w:val="137"/>
              <w:rFonts w:hint="eastAsia"/>
              <w:szCs w:val="24"/>
            </w:rPr>
            <w:t>环境保护目标</w:t>
          </w:r>
          <w:r>
            <w:rPr>
              <w:szCs w:val="24"/>
            </w:rPr>
            <w:tab/>
          </w:r>
          <w:r>
            <w:rPr>
              <w:szCs w:val="24"/>
            </w:rPr>
            <w:fldChar w:fldCharType="begin"/>
          </w:r>
          <w:r>
            <w:rPr>
              <w:szCs w:val="24"/>
            </w:rPr>
            <w:instrText xml:space="preserve"> PAGEREF _Toc13760106 \h </w:instrText>
          </w:r>
          <w:r>
            <w:rPr>
              <w:szCs w:val="24"/>
            </w:rPr>
            <w:fldChar w:fldCharType="separate"/>
          </w:r>
          <w:r>
            <w:rPr>
              <w:szCs w:val="24"/>
            </w:rPr>
            <w:t>28</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"_Toc13760107" </w:instrText>
          </w:r>
          <w:r>
            <w:fldChar w:fldCharType="separate"/>
          </w:r>
          <w:r>
            <w:rPr>
              <w:rStyle w:val="137"/>
              <w:szCs w:val="24"/>
            </w:rPr>
            <w:t>3.</w:t>
          </w:r>
          <w:r>
            <w:rPr>
              <w:rStyle w:val="137"/>
              <w:rFonts w:hint="eastAsia"/>
              <w:szCs w:val="24"/>
            </w:rPr>
            <w:t>原批复环评概况</w:t>
          </w:r>
          <w:r>
            <w:rPr>
              <w:szCs w:val="24"/>
            </w:rPr>
            <w:tab/>
          </w:r>
          <w:r>
            <w:rPr>
              <w:szCs w:val="24"/>
            </w:rPr>
            <w:fldChar w:fldCharType="begin"/>
          </w:r>
          <w:r>
            <w:rPr>
              <w:szCs w:val="24"/>
            </w:rPr>
            <w:instrText xml:space="preserve"> PAGEREF _Toc13760107 \h </w:instrText>
          </w:r>
          <w:r>
            <w:rPr>
              <w:szCs w:val="24"/>
            </w:rPr>
            <w:fldChar w:fldCharType="separate"/>
          </w:r>
          <w:r>
            <w:rPr>
              <w:szCs w:val="24"/>
            </w:rPr>
            <w:t>31</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"_Toc13760108" </w:instrText>
          </w:r>
          <w:r>
            <w:fldChar w:fldCharType="separate"/>
          </w:r>
          <w:r>
            <w:rPr>
              <w:rStyle w:val="137"/>
              <w:szCs w:val="24"/>
            </w:rPr>
            <w:t>3.1</w:t>
          </w:r>
          <w:r>
            <w:rPr>
              <w:rStyle w:val="137"/>
              <w:rFonts w:hint="eastAsia"/>
              <w:szCs w:val="24"/>
            </w:rPr>
            <w:t>项目名称、建设单位及建设地点</w:t>
          </w:r>
          <w:r>
            <w:rPr>
              <w:szCs w:val="24"/>
            </w:rPr>
            <w:tab/>
          </w:r>
          <w:r>
            <w:rPr>
              <w:szCs w:val="24"/>
            </w:rPr>
            <w:fldChar w:fldCharType="begin"/>
          </w:r>
          <w:r>
            <w:rPr>
              <w:szCs w:val="24"/>
            </w:rPr>
            <w:instrText xml:space="preserve"> PAGEREF _Toc13760108 \h </w:instrText>
          </w:r>
          <w:r>
            <w:rPr>
              <w:szCs w:val="24"/>
            </w:rPr>
            <w:fldChar w:fldCharType="separate"/>
          </w:r>
          <w:r>
            <w:rPr>
              <w:szCs w:val="24"/>
            </w:rPr>
            <w:t>31</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"_Toc13760109" </w:instrText>
          </w:r>
          <w:r>
            <w:fldChar w:fldCharType="separate"/>
          </w:r>
          <w:r>
            <w:rPr>
              <w:rStyle w:val="137"/>
              <w:szCs w:val="24"/>
            </w:rPr>
            <w:t>3.2</w:t>
          </w:r>
          <w:r>
            <w:rPr>
              <w:rStyle w:val="137"/>
              <w:rFonts w:hint="eastAsia"/>
              <w:szCs w:val="24"/>
            </w:rPr>
            <w:t>项目组成</w:t>
          </w:r>
          <w:r>
            <w:rPr>
              <w:szCs w:val="24"/>
            </w:rPr>
            <w:tab/>
          </w:r>
          <w:r>
            <w:rPr>
              <w:szCs w:val="24"/>
            </w:rPr>
            <w:fldChar w:fldCharType="begin"/>
          </w:r>
          <w:r>
            <w:rPr>
              <w:szCs w:val="24"/>
            </w:rPr>
            <w:instrText xml:space="preserve"> PAGEREF _Toc13760109 \h </w:instrText>
          </w:r>
          <w:r>
            <w:rPr>
              <w:szCs w:val="24"/>
            </w:rPr>
            <w:fldChar w:fldCharType="separate"/>
          </w:r>
          <w:r>
            <w:rPr>
              <w:szCs w:val="24"/>
            </w:rPr>
            <w:t>31</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"_Toc13760110" </w:instrText>
          </w:r>
          <w:r>
            <w:fldChar w:fldCharType="separate"/>
          </w:r>
          <w:r>
            <w:rPr>
              <w:rStyle w:val="137"/>
              <w:szCs w:val="24"/>
            </w:rPr>
            <w:t>3.3</w:t>
          </w:r>
          <w:r>
            <w:rPr>
              <w:rStyle w:val="137"/>
              <w:rFonts w:hint="eastAsia"/>
              <w:szCs w:val="24"/>
            </w:rPr>
            <w:t>平面布置</w:t>
          </w:r>
          <w:r>
            <w:rPr>
              <w:szCs w:val="24"/>
            </w:rPr>
            <w:tab/>
          </w:r>
          <w:r>
            <w:rPr>
              <w:szCs w:val="24"/>
            </w:rPr>
            <w:fldChar w:fldCharType="begin"/>
          </w:r>
          <w:r>
            <w:rPr>
              <w:szCs w:val="24"/>
            </w:rPr>
            <w:instrText xml:space="preserve"> PAGEREF _Toc13760110 \h </w:instrText>
          </w:r>
          <w:r>
            <w:rPr>
              <w:szCs w:val="24"/>
            </w:rPr>
            <w:fldChar w:fldCharType="separate"/>
          </w:r>
          <w:r>
            <w:rPr>
              <w:szCs w:val="24"/>
            </w:rPr>
            <w:t>33</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"_Toc13760113" </w:instrText>
          </w:r>
          <w:r>
            <w:fldChar w:fldCharType="separate"/>
          </w:r>
          <w:r>
            <w:rPr>
              <w:rStyle w:val="137"/>
              <w:szCs w:val="24"/>
              <w:lang w:val="zh-CN"/>
            </w:rPr>
            <w:t>3.4</w:t>
          </w:r>
          <w:r>
            <w:rPr>
              <w:rStyle w:val="137"/>
              <w:rFonts w:hint="eastAsia"/>
              <w:szCs w:val="24"/>
              <w:lang w:val="zh-CN"/>
            </w:rPr>
            <w:t>处理规模、辅助材料和能源消耗</w:t>
          </w:r>
          <w:r>
            <w:rPr>
              <w:szCs w:val="24"/>
            </w:rPr>
            <w:tab/>
          </w:r>
          <w:r>
            <w:rPr>
              <w:szCs w:val="24"/>
            </w:rPr>
            <w:fldChar w:fldCharType="begin"/>
          </w:r>
          <w:r>
            <w:rPr>
              <w:szCs w:val="24"/>
            </w:rPr>
            <w:instrText xml:space="preserve"> PAGEREF _Toc13760113 \h </w:instrText>
          </w:r>
          <w:r>
            <w:rPr>
              <w:szCs w:val="24"/>
            </w:rPr>
            <w:fldChar w:fldCharType="separate"/>
          </w:r>
          <w:r>
            <w:rPr>
              <w:szCs w:val="24"/>
            </w:rPr>
            <w:t>34</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"_Toc13760114" </w:instrText>
          </w:r>
          <w:r>
            <w:fldChar w:fldCharType="separate"/>
          </w:r>
          <w:r>
            <w:rPr>
              <w:rStyle w:val="137"/>
              <w:szCs w:val="24"/>
            </w:rPr>
            <w:t>3.5</w:t>
          </w:r>
          <w:r>
            <w:rPr>
              <w:rStyle w:val="137"/>
              <w:rFonts w:hint="eastAsia"/>
              <w:szCs w:val="24"/>
            </w:rPr>
            <w:t>公用工程</w:t>
          </w:r>
          <w:r>
            <w:rPr>
              <w:szCs w:val="24"/>
            </w:rPr>
            <w:tab/>
          </w:r>
          <w:r>
            <w:rPr>
              <w:szCs w:val="24"/>
            </w:rPr>
            <w:fldChar w:fldCharType="begin"/>
          </w:r>
          <w:r>
            <w:rPr>
              <w:szCs w:val="24"/>
            </w:rPr>
            <w:instrText xml:space="preserve"> PAGEREF _Toc13760114 \h </w:instrText>
          </w:r>
          <w:r>
            <w:rPr>
              <w:szCs w:val="24"/>
            </w:rPr>
            <w:fldChar w:fldCharType="separate"/>
          </w:r>
          <w:r>
            <w:rPr>
              <w:szCs w:val="24"/>
            </w:rPr>
            <w:t>39</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"_Toc13760115" </w:instrText>
          </w:r>
          <w:r>
            <w:fldChar w:fldCharType="separate"/>
          </w:r>
          <w:r>
            <w:rPr>
              <w:rStyle w:val="137"/>
              <w:szCs w:val="24"/>
            </w:rPr>
            <w:t>3.5.1</w:t>
          </w:r>
          <w:r>
            <w:rPr>
              <w:rStyle w:val="137"/>
              <w:rFonts w:hint="eastAsia"/>
              <w:szCs w:val="24"/>
            </w:rPr>
            <w:t>给排水</w:t>
          </w:r>
          <w:r>
            <w:rPr>
              <w:szCs w:val="24"/>
            </w:rPr>
            <w:tab/>
          </w:r>
          <w:r>
            <w:rPr>
              <w:szCs w:val="24"/>
            </w:rPr>
            <w:fldChar w:fldCharType="begin"/>
          </w:r>
          <w:r>
            <w:rPr>
              <w:szCs w:val="24"/>
            </w:rPr>
            <w:instrText xml:space="preserve"> PAGEREF _Toc13760115 \h </w:instrText>
          </w:r>
          <w:r>
            <w:rPr>
              <w:szCs w:val="24"/>
            </w:rPr>
            <w:fldChar w:fldCharType="separate"/>
          </w:r>
          <w:r>
            <w:rPr>
              <w:szCs w:val="24"/>
            </w:rPr>
            <w:t>39</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"_Toc13760128" </w:instrText>
          </w:r>
          <w:r>
            <w:fldChar w:fldCharType="separate"/>
          </w:r>
          <w:r>
            <w:rPr>
              <w:rStyle w:val="137"/>
              <w:szCs w:val="24"/>
            </w:rPr>
            <w:t>3.5.2</w:t>
          </w:r>
          <w:r>
            <w:rPr>
              <w:rStyle w:val="137"/>
              <w:rFonts w:hint="eastAsia"/>
              <w:szCs w:val="24"/>
            </w:rPr>
            <w:t>供汽及供热</w:t>
          </w:r>
          <w:r>
            <w:rPr>
              <w:szCs w:val="24"/>
            </w:rPr>
            <w:tab/>
          </w:r>
          <w:r>
            <w:rPr>
              <w:szCs w:val="24"/>
            </w:rPr>
            <w:fldChar w:fldCharType="begin"/>
          </w:r>
          <w:r>
            <w:rPr>
              <w:szCs w:val="24"/>
            </w:rPr>
            <w:instrText xml:space="preserve"> PAGEREF _Toc13760128 \h </w:instrText>
          </w:r>
          <w:r>
            <w:rPr>
              <w:szCs w:val="24"/>
            </w:rPr>
            <w:fldChar w:fldCharType="separate"/>
          </w:r>
          <w:r>
            <w:rPr>
              <w:szCs w:val="24"/>
            </w:rPr>
            <w:t>47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"_Toc13760129" </w:instrText>
          </w:r>
          <w:r>
            <w:fldChar w:fldCharType="separate"/>
          </w:r>
          <w:r>
            <w:rPr>
              <w:rStyle w:val="137"/>
              <w:szCs w:val="24"/>
            </w:rPr>
            <w:t>3.5.3</w:t>
          </w:r>
          <w:r>
            <w:rPr>
              <w:rStyle w:val="137"/>
              <w:rFonts w:hint="eastAsia"/>
              <w:szCs w:val="24"/>
            </w:rPr>
            <w:t>主要处理工艺及流程</w:t>
          </w:r>
          <w:r>
            <w:rPr>
              <w:szCs w:val="24"/>
            </w:rPr>
            <w:tab/>
          </w:r>
          <w:r>
            <w:rPr>
              <w:szCs w:val="24"/>
            </w:rPr>
            <w:fldChar w:fldCharType="begin"/>
          </w:r>
          <w:r>
            <w:rPr>
              <w:szCs w:val="24"/>
            </w:rPr>
            <w:instrText xml:space="preserve"> PAGEREF _Toc13760129 \h </w:instrText>
          </w:r>
          <w:r>
            <w:rPr>
              <w:szCs w:val="24"/>
            </w:rPr>
            <w:fldChar w:fldCharType="separate"/>
          </w:r>
          <w:r>
            <w:rPr>
              <w:szCs w:val="24"/>
            </w:rPr>
            <w:t>49</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"_Toc13760130" </w:instrText>
          </w:r>
          <w:r>
            <w:fldChar w:fldCharType="separate"/>
          </w:r>
          <w:r>
            <w:rPr>
              <w:rStyle w:val="137"/>
              <w:szCs w:val="24"/>
            </w:rPr>
            <w:t>3.5.5</w:t>
          </w:r>
          <w:r>
            <w:rPr>
              <w:rStyle w:val="137"/>
              <w:rFonts w:hint="eastAsia"/>
              <w:szCs w:val="24"/>
            </w:rPr>
            <w:t>污染防治对策简述</w:t>
          </w:r>
          <w:r>
            <w:rPr>
              <w:szCs w:val="24"/>
            </w:rPr>
            <w:tab/>
          </w:r>
          <w:r>
            <w:rPr>
              <w:szCs w:val="24"/>
            </w:rPr>
            <w:fldChar w:fldCharType="begin"/>
          </w:r>
          <w:r>
            <w:rPr>
              <w:szCs w:val="24"/>
            </w:rPr>
            <w:instrText xml:space="preserve"> PAGEREF _Toc13760130 \h </w:instrText>
          </w:r>
          <w:r>
            <w:rPr>
              <w:szCs w:val="24"/>
            </w:rPr>
            <w:fldChar w:fldCharType="separate"/>
          </w:r>
          <w:r>
            <w:rPr>
              <w:szCs w:val="24"/>
            </w:rPr>
            <w:t>56</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"_Toc13760131" </w:instrText>
          </w:r>
          <w:r>
            <w:fldChar w:fldCharType="separate"/>
          </w:r>
          <w:r>
            <w:rPr>
              <w:rStyle w:val="137"/>
              <w:szCs w:val="24"/>
            </w:rPr>
            <w:t>4.</w:t>
          </w:r>
          <w:r>
            <w:rPr>
              <w:rStyle w:val="137"/>
              <w:rFonts w:hint="eastAsia"/>
              <w:szCs w:val="24"/>
            </w:rPr>
            <w:t>改扩建工程概况及工程分析</w:t>
          </w:r>
          <w:r>
            <w:rPr>
              <w:szCs w:val="24"/>
            </w:rPr>
            <w:tab/>
          </w:r>
          <w:r>
            <w:rPr>
              <w:szCs w:val="24"/>
            </w:rPr>
            <w:fldChar w:fldCharType="begin"/>
          </w:r>
          <w:r>
            <w:rPr>
              <w:szCs w:val="24"/>
            </w:rPr>
            <w:instrText xml:space="preserve"> PAGEREF _Toc13760131 \h </w:instrText>
          </w:r>
          <w:r>
            <w:rPr>
              <w:szCs w:val="24"/>
            </w:rPr>
            <w:fldChar w:fldCharType="separate"/>
          </w:r>
          <w:r>
            <w:rPr>
              <w:szCs w:val="24"/>
            </w:rPr>
            <w:t>61</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"_Toc13760132" </w:instrText>
          </w:r>
          <w:r>
            <w:fldChar w:fldCharType="separate"/>
          </w:r>
          <w:r>
            <w:rPr>
              <w:rStyle w:val="137"/>
              <w:szCs w:val="24"/>
            </w:rPr>
            <w:t>4.1</w:t>
          </w:r>
          <w:r>
            <w:rPr>
              <w:rStyle w:val="137"/>
              <w:rFonts w:hint="eastAsia" w:hAnsi="宋体"/>
              <w:kern w:val="0"/>
              <w:szCs w:val="24"/>
            </w:rPr>
            <w:t>改扩建工程</w:t>
          </w:r>
          <w:r>
            <w:rPr>
              <w:rStyle w:val="137"/>
              <w:rFonts w:hint="eastAsia"/>
              <w:szCs w:val="24"/>
            </w:rPr>
            <w:t>项目概况</w:t>
          </w:r>
          <w:r>
            <w:rPr>
              <w:szCs w:val="24"/>
            </w:rPr>
            <w:tab/>
          </w:r>
          <w:r>
            <w:rPr>
              <w:szCs w:val="24"/>
            </w:rPr>
            <w:fldChar w:fldCharType="begin"/>
          </w:r>
          <w:r>
            <w:rPr>
              <w:szCs w:val="24"/>
            </w:rPr>
            <w:instrText xml:space="preserve"> PAGEREF _Toc13760132 \h </w:instrText>
          </w:r>
          <w:r>
            <w:rPr>
              <w:szCs w:val="24"/>
            </w:rPr>
            <w:fldChar w:fldCharType="separate"/>
          </w:r>
          <w:r>
            <w:rPr>
              <w:szCs w:val="24"/>
            </w:rPr>
            <w:t>61</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"_Toc13760133" </w:instrText>
          </w:r>
          <w:r>
            <w:fldChar w:fldCharType="separate"/>
          </w:r>
          <w:r>
            <w:rPr>
              <w:rStyle w:val="137"/>
              <w:szCs w:val="24"/>
            </w:rPr>
            <w:t>4.2</w:t>
          </w:r>
          <w:r>
            <w:rPr>
              <w:rStyle w:val="137"/>
              <w:rFonts w:hint="eastAsia"/>
              <w:szCs w:val="24"/>
            </w:rPr>
            <w:t>改扩建后总平面布置图</w:t>
          </w:r>
          <w:r>
            <w:rPr>
              <w:szCs w:val="24"/>
            </w:rPr>
            <w:tab/>
          </w:r>
          <w:r>
            <w:rPr>
              <w:szCs w:val="24"/>
            </w:rPr>
            <w:fldChar w:fldCharType="begin"/>
          </w:r>
          <w:r>
            <w:rPr>
              <w:szCs w:val="24"/>
            </w:rPr>
            <w:instrText xml:space="preserve"> PAGEREF _Toc13760133 \h </w:instrText>
          </w:r>
          <w:r>
            <w:rPr>
              <w:szCs w:val="24"/>
            </w:rPr>
            <w:fldChar w:fldCharType="separate"/>
          </w:r>
          <w:r>
            <w:rPr>
              <w:szCs w:val="24"/>
            </w:rPr>
            <w:t>66</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"_Toc13760135" </w:instrText>
          </w:r>
          <w:r>
            <w:fldChar w:fldCharType="separate"/>
          </w:r>
          <w:r>
            <w:rPr>
              <w:rStyle w:val="137"/>
              <w:szCs w:val="24"/>
            </w:rPr>
            <w:t>4.3</w:t>
          </w:r>
          <w:r>
            <w:rPr>
              <w:rStyle w:val="137"/>
              <w:rFonts w:hint="eastAsia"/>
              <w:szCs w:val="24"/>
            </w:rPr>
            <w:t>改扩建</w:t>
          </w:r>
          <w:r>
            <w:rPr>
              <w:rStyle w:val="137"/>
              <w:rFonts w:hint="eastAsia"/>
              <w:szCs w:val="24"/>
              <w:lang w:val="zh-CN"/>
            </w:rPr>
            <w:t>后处理规模及原辅材料暂存方案及污染分析</w:t>
          </w:r>
          <w:r>
            <w:rPr>
              <w:szCs w:val="24"/>
            </w:rPr>
            <w:tab/>
          </w:r>
          <w:r>
            <w:rPr>
              <w:szCs w:val="24"/>
            </w:rPr>
            <w:fldChar w:fldCharType="begin"/>
          </w:r>
          <w:r>
            <w:rPr>
              <w:szCs w:val="24"/>
            </w:rPr>
            <w:instrText xml:space="preserve"> PAGEREF _Toc13760135 \h </w:instrText>
          </w:r>
          <w:r>
            <w:rPr>
              <w:szCs w:val="24"/>
            </w:rPr>
            <w:fldChar w:fldCharType="separate"/>
          </w:r>
          <w:r>
            <w:rPr>
              <w:szCs w:val="24"/>
            </w:rPr>
            <w:t>66</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"_Toc13760136" </w:instrText>
          </w:r>
          <w:r>
            <w:fldChar w:fldCharType="separate"/>
          </w:r>
          <w:r>
            <w:rPr>
              <w:rStyle w:val="137"/>
              <w:szCs w:val="24"/>
            </w:rPr>
            <w:t>4.4</w:t>
          </w:r>
          <w:r>
            <w:rPr>
              <w:rStyle w:val="137"/>
              <w:rFonts w:hint="eastAsia"/>
              <w:szCs w:val="24"/>
            </w:rPr>
            <w:t>改扩建后储运和危废暂存</w:t>
          </w:r>
          <w:r>
            <w:rPr>
              <w:szCs w:val="24"/>
            </w:rPr>
            <w:tab/>
          </w:r>
          <w:r>
            <w:rPr>
              <w:szCs w:val="24"/>
            </w:rPr>
            <w:fldChar w:fldCharType="begin"/>
          </w:r>
          <w:r>
            <w:rPr>
              <w:szCs w:val="24"/>
            </w:rPr>
            <w:instrText xml:space="preserve"> PAGEREF _Toc13760136 \h </w:instrText>
          </w:r>
          <w:r>
            <w:rPr>
              <w:szCs w:val="24"/>
            </w:rPr>
            <w:fldChar w:fldCharType="separate"/>
          </w:r>
          <w:r>
            <w:rPr>
              <w:szCs w:val="24"/>
            </w:rPr>
            <w:t>73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"_Toc13760137" </w:instrText>
          </w:r>
          <w:r>
            <w:fldChar w:fldCharType="separate"/>
          </w:r>
          <w:r>
            <w:rPr>
              <w:rStyle w:val="137"/>
              <w:szCs w:val="24"/>
            </w:rPr>
            <w:t>4.4.1</w:t>
          </w:r>
          <w:r>
            <w:rPr>
              <w:rStyle w:val="137"/>
              <w:rFonts w:hint="eastAsia"/>
              <w:szCs w:val="24"/>
            </w:rPr>
            <w:t>贮存设置方案</w:t>
          </w:r>
          <w:r>
            <w:rPr>
              <w:szCs w:val="24"/>
            </w:rPr>
            <w:tab/>
          </w:r>
          <w:r>
            <w:rPr>
              <w:szCs w:val="24"/>
            </w:rPr>
            <w:fldChar w:fldCharType="begin"/>
          </w:r>
          <w:r>
            <w:rPr>
              <w:szCs w:val="24"/>
            </w:rPr>
            <w:instrText xml:space="preserve"> PAGEREF _Toc13760137 \h </w:instrText>
          </w:r>
          <w:r>
            <w:rPr>
              <w:szCs w:val="24"/>
            </w:rPr>
            <w:fldChar w:fldCharType="separate"/>
          </w:r>
          <w:r>
            <w:rPr>
              <w:szCs w:val="24"/>
            </w:rPr>
            <w:t>73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"_Toc13760139" </w:instrText>
          </w:r>
          <w:r>
            <w:fldChar w:fldCharType="separate"/>
          </w:r>
          <w:r>
            <w:rPr>
              <w:rStyle w:val="137"/>
              <w:szCs w:val="24"/>
            </w:rPr>
            <w:t>4.4.2</w:t>
          </w:r>
          <w:r>
            <w:rPr>
              <w:rStyle w:val="137"/>
              <w:rFonts w:hint="eastAsia"/>
              <w:szCs w:val="24"/>
            </w:rPr>
            <w:t>产污情况</w:t>
          </w:r>
          <w:r>
            <w:rPr>
              <w:szCs w:val="24"/>
            </w:rPr>
            <w:tab/>
          </w:r>
          <w:r>
            <w:rPr>
              <w:szCs w:val="24"/>
            </w:rPr>
            <w:fldChar w:fldCharType="begin"/>
          </w:r>
          <w:r>
            <w:rPr>
              <w:szCs w:val="24"/>
            </w:rPr>
            <w:instrText xml:space="preserve"> PAGEREF _Toc13760139 \h </w:instrText>
          </w:r>
          <w:r>
            <w:rPr>
              <w:szCs w:val="24"/>
            </w:rPr>
            <w:fldChar w:fldCharType="separate"/>
          </w:r>
          <w:r>
            <w:rPr>
              <w:szCs w:val="24"/>
            </w:rPr>
            <w:t>74</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"_Toc13760142" </w:instrText>
          </w:r>
          <w:r>
            <w:fldChar w:fldCharType="separate"/>
          </w:r>
          <w:r>
            <w:rPr>
              <w:rStyle w:val="137"/>
              <w:szCs w:val="24"/>
            </w:rPr>
            <w:t>4.5</w:t>
          </w:r>
          <w:r>
            <w:rPr>
              <w:rStyle w:val="137"/>
              <w:rFonts w:hint="eastAsia"/>
              <w:szCs w:val="24"/>
            </w:rPr>
            <w:t>改扩建后物化系统</w:t>
          </w:r>
          <w:r>
            <w:rPr>
              <w:szCs w:val="24"/>
            </w:rPr>
            <w:tab/>
          </w:r>
          <w:r>
            <w:rPr>
              <w:szCs w:val="24"/>
            </w:rPr>
            <w:fldChar w:fldCharType="begin"/>
          </w:r>
          <w:r>
            <w:rPr>
              <w:szCs w:val="24"/>
            </w:rPr>
            <w:instrText xml:space="preserve"> PAGEREF _Toc13760142 \h </w:instrText>
          </w:r>
          <w:r>
            <w:rPr>
              <w:szCs w:val="24"/>
            </w:rPr>
            <w:fldChar w:fldCharType="separate"/>
          </w:r>
          <w:r>
            <w:rPr>
              <w:szCs w:val="24"/>
            </w:rPr>
            <w:t>76</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"_Toc13760143" </w:instrText>
          </w:r>
          <w:r>
            <w:fldChar w:fldCharType="separate"/>
          </w:r>
          <w:r>
            <w:rPr>
              <w:rStyle w:val="137"/>
              <w:szCs w:val="24"/>
            </w:rPr>
            <w:t>4.5.1</w:t>
          </w:r>
          <w:r>
            <w:rPr>
              <w:rStyle w:val="137"/>
              <w:rFonts w:hint="eastAsia"/>
              <w:szCs w:val="24"/>
            </w:rPr>
            <w:t>废物性质及处理规模</w:t>
          </w:r>
          <w:r>
            <w:rPr>
              <w:szCs w:val="24"/>
            </w:rPr>
            <w:tab/>
          </w:r>
          <w:r>
            <w:rPr>
              <w:szCs w:val="24"/>
            </w:rPr>
            <w:fldChar w:fldCharType="begin"/>
          </w:r>
          <w:r>
            <w:rPr>
              <w:szCs w:val="24"/>
            </w:rPr>
            <w:instrText xml:space="preserve"> PAGEREF _Toc13760143 \h </w:instrText>
          </w:r>
          <w:r>
            <w:rPr>
              <w:szCs w:val="24"/>
            </w:rPr>
            <w:fldChar w:fldCharType="separate"/>
          </w:r>
          <w:r>
            <w:rPr>
              <w:szCs w:val="24"/>
            </w:rPr>
            <w:t>76</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"_Toc13760144" </w:instrText>
          </w:r>
          <w:r>
            <w:fldChar w:fldCharType="separate"/>
          </w:r>
          <w:r>
            <w:rPr>
              <w:rStyle w:val="137"/>
              <w:szCs w:val="24"/>
            </w:rPr>
            <w:t>4.5.2</w:t>
          </w:r>
          <w:r>
            <w:rPr>
              <w:rStyle w:val="137"/>
              <w:rFonts w:hint="eastAsia"/>
              <w:szCs w:val="24"/>
            </w:rPr>
            <w:t>主要工艺设备</w:t>
          </w:r>
          <w:r>
            <w:rPr>
              <w:szCs w:val="24"/>
            </w:rPr>
            <w:tab/>
          </w:r>
          <w:r>
            <w:rPr>
              <w:szCs w:val="24"/>
            </w:rPr>
            <w:fldChar w:fldCharType="begin"/>
          </w:r>
          <w:r>
            <w:rPr>
              <w:szCs w:val="24"/>
            </w:rPr>
            <w:instrText xml:space="preserve"> PAGEREF _Toc13760144 \h </w:instrText>
          </w:r>
          <w:r>
            <w:rPr>
              <w:szCs w:val="24"/>
            </w:rPr>
            <w:fldChar w:fldCharType="separate"/>
          </w:r>
          <w:r>
            <w:rPr>
              <w:szCs w:val="24"/>
            </w:rPr>
            <w:t>77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"_Toc13760145" </w:instrText>
          </w:r>
          <w:r>
            <w:fldChar w:fldCharType="separate"/>
          </w:r>
          <w:r>
            <w:rPr>
              <w:rStyle w:val="137"/>
              <w:szCs w:val="24"/>
            </w:rPr>
            <w:t>4.5.3</w:t>
          </w:r>
          <w:r>
            <w:rPr>
              <w:rStyle w:val="137"/>
              <w:rFonts w:hint="eastAsia"/>
              <w:szCs w:val="24"/>
            </w:rPr>
            <w:t>产污情况</w:t>
          </w:r>
          <w:r>
            <w:rPr>
              <w:szCs w:val="24"/>
            </w:rPr>
            <w:tab/>
          </w:r>
          <w:r>
            <w:rPr>
              <w:szCs w:val="24"/>
            </w:rPr>
            <w:fldChar w:fldCharType="begin"/>
          </w:r>
          <w:r>
            <w:rPr>
              <w:szCs w:val="24"/>
            </w:rPr>
            <w:instrText xml:space="preserve"> PAGEREF _Toc13760145 \h </w:instrText>
          </w:r>
          <w:r>
            <w:rPr>
              <w:szCs w:val="24"/>
            </w:rPr>
            <w:fldChar w:fldCharType="separate"/>
          </w:r>
          <w:r>
            <w:rPr>
              <w:szCs w:val="24"/>
            </w:rPr>
            <w:t>79</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"_Toc13760148" </w:instrText>
          </w:r>
          <w:r>
            <w:fldChar w:fldCharType="separate"/>
          </w:r>
          <w:r>
            <w:rPr>
              <w:rStyle w:val="137"/>
              <w:szCs w:val="24"/>
            </w:rPr>
            <w:t>4.6</w:t>
          </w:r>
          <w:r>
            <w:rPr>
              <w:rStyle w:val="137"/>
              <w:rFonts w:hint="eastAsia"/>
              <w:szCs w:val="24"/>
            </w:rPr>
            <w:t>改扩建</w:t>
          </w:r>
          <w:r>
            <w:rPr>
              <w:rStyle w:val="137"/>
              <w:rFonts w:hint="eastAsia"/>
              <w:szCs w:val="24"/>
              <w:lang w:val="zh-CN"/>
            </w:rPr>
            <w:t>后焚烧烟气处理流程及污染分析</w:t>
          </w:r>
          <w:r>
            <w:rPr>
              <w:szCs w:val="24"/>
            </w:rPr>
            <w:tab/>
          </w:r>
          <w:r>
            <w:rPr>
              <w:szCs w:val="24"/>
            </w:rPr>
            <w:fldChar w:fldCharType="begin"/>
          </w:r>
          <w:r>
            <w:rPr>
              <w:szCs w:val="24"/>
            </w:rPr>
            <w:instrText xml:space="preserve"> PAGEREF _Toc13760148 \h </w:instrText>
          </w:r>
          <w:r>
            <w:rPr>
              <w:szCs w:val="24"/>
            </w:rPr>
            <w:fldChar w:fldCharType="separate"/>
          </w:r>
          <w:r>
            <w:rPr>
              <w:szCs w:val="24"/>
            </w:rPr>
            <w:t>80</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"_Toc13760149" </w:instrText>
          </w:r>
          <w:r>
            <w:fldChar w:fldCharType="separate"/>
          </w:r>
          <w:r>
            <w:rPr>
              <w:rStyle w:val="137"/>
              <w:szCs w:val="24"/>
            </w:rPr>
            <w:t>4.6.1</w:t>
          </w:r>
          <w:r>
            <w:rPr>
              <w:rStyle w:val="137"/>
              <w:rFonts w:hint="eastAsia"/>
              <w:szCs w:val="24"/>
            </w:rPr>
            <w:t>主要设备</w:t>
          </w:r>
          <w:r>
            <w:rPr>
              <w:szCs w:val="24"/>
            </w:rPr>
            <w:tab/>
          </w:r>
          <w:r>
            <w:rPr>
              <w:szCs w:val="24"/>
            </w:rPr>
            <w:fldChar w:fldCharType="begin"/>
          </w:r>
          <w:r>
            <w:rPr>
              <w:szCs w:val="24"/>
            </w:rPr>
            <w:instrText xml:space="preserve"> PAGEREF _Toc13760149 \h </w:instrText>
          </w:r>
          <w:r>
            <w:rPr>
              <w:szCs w:val="24"/>
            </w:rPr>
            <w:fldChar w:fldCharType="separate"/>
          </w:r>
          <w:r>
            <w:rPr>
              <w:szCs w:val="24"/>
            </w:rPr>
            <w:t>81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"_Toc13760150" </w:instrText>
          </w:r>
          <w:r>
            <w:fldChar w:fldCharType="separate"/>
          </w:r>
          <w:r>
            <w:rPr>
              <w:rStyle w:val="137"/>
              <w:szCs w:val="24"/>
            </w:rPr>
            <w:t>4.6.2</w:t>
          </w:r>
          <w:r>
            <w:rPr>
              <w:rStyle w:val="137"/>
              <w:rFonts w:hint="eastAsia"/>
              <w:szCs w:val="24"/>
            </w:rPr>
            <w:t>产污情况</w:t>
          </w:r>
          <w:r>
            <w:rPr>
              <w:szCs w:val="24"/>
            </w:rPr>
            <w:tab/>
          </w:r>
          <w:r>
            <w:rPr>
              <w:szCs w:val="24"/>
            </w:rPr>
            <w:fldChar w:fldCharType="begin"/>
          </w:r>
          <w:r>
            <w:rPr>
              <w:szCs w:val="24"/>
            </w:rPr>
            <w:instrText xml:space="preserve"> PAGEREF _Toc13760150 \h </w:instrText>
          </w:r>
          <w:r>
            <w:rPr>
              <w:szCs w:val="24"/>
            </w:rPr>
            <w:fldChar w:fldCharType="separate"/>
          </w:r>
          <w:r>
            <w:rPr>
              <w:szCs w:val="24"/>
            </w:rPr>
            <w:t>82</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"_Toc13760153" </w:instrText>
          </w:r>
          <w:r>
            <w:fldChar w:fldCharType="separate"/>
          </w:r>
          <w:r>
            <w:rPr>
              <w:rStyle w:val="137"/>
              <w:szCs w:val="24"/>
            </w:rPr>
            <w:t>4.7</w:t>
          </w:r>
          <w:r>
            <w:rPr>
              <w:rStyle w:val="137"/>
              <w:rFonts w:hint="eastAsia"/>
              <w:szCs w:val="24"/>
            </w:rPr>
            <w:t>改扩建</w:t>
          </w:r>
          <w:r>
            <w:rPr>
              <w:rStyle w:val="137"/>
              <w:rFonts w:hint="eastAsia"/>
              <w:szCs w:val="24"/>
              <w:lang w:val="zh-CN"/>
            </w:rPr>
            <w:t>后稳定化</w:t>
          </w:r>
          <w:r>
            <w:rPr>
              <w:rStyle w:val="137"/>
              <w:szCs w:val="24"/>
              <w:lang w:val="zh-CN"/>
            </w:rPr>
            <w:t>/</w:t>
          </w:r>
          <w:r>
            <w:rPr>
              <w:rStyle w:val="137"/>
              <w:rFonts w:hint="eastAsia"/>
              <w:szCs w:val="24"/>
              <w:lang w:val="zh-CN"/>
            </w:rPr>
            <w:t>固化处理流程及污染分析</w:t>
          </w:r>
          <w:r>
            <w:rPr>
              <w:szCs w:val="24"/>
            </w:rPr>
            <w:tab/>
          </w:r>
          <w:r>
            <w:rPr>
              <w:szCs w:val="24"/>
            </w:rPr>
            <w:fldChar w:fldCharType="begin"/>
          </w:r>
          <w:r>
            <w:rPr>
              <w:szCs w:val="24"/>
            </w:rPr>
            <w:instrText xml:space="preserve"> PAGEREF _Toc13760153 \h </w:instrText>
          </w:r>
          <w:r>
            <w:rPr>
              <w:szCs w:val="24"/>
            </w:rPr>
            <w:fldChar w:fldCharType="separate"/>
          </w:r>
          <w:r>
            <w:rPr>
              <w:szCs w:val="24"/>
            </w:rPr>
            <w:t>84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"_Toc13760154" </w:instrText>
          </w:r>
          <w:r>
            <w:fldChar w:fldCharType="separate"/>
          </w:r>
          <w:r>
            <w:rPr>
              <w:rStyle w:val="137"/>
              <w:szCs w:val="24"/>
            </w:rPr>
            <w:t>4.7.1</w:t>
          </w:r>
          <w:r>
            <w:rPr>
              <w:rStyle w:val="137"/>
              <w:rFonts w:hint="eastAsia"/>
              <w:szCs w:val="24"/>
            </w:rPr>
            <w:t>固化处理规模、工艺及技术参数</w:t>
          </w:r>
          <w:r>
            <w:rPr>
              <w:szCs w:val="24"/>
            </w:rPr>
            <w:tab/>
          </w:r>
          <w:r>
            <w:rPr>
              <w:szCs w:val="24"/>
            </w:rPr>
            <w:fldChar w:fldCharType="begin"/>
          </w:r>
          <w:r>
            <w:rPr>
              <w:szCs w:val="24"/>
            </w:rPr>
            <w:instrText xml:space="preserve"> PAGEREF _Toc13760154 \h </w:instrText>
          </w:r>
          <w:r>
            <w:rPr>
              <w:szCs w:val="24"/>
            </w:rPr>
            <w:fldChar w:fldCharType="separate"/>
          </w:r>
          <w:r>
            <w:rPr>
              <w:szCs w:val="24"/>
            </w:rPr>
            <w:t>84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"_Toc13760155" </w:instrText>
          </w:r>
          <w:r>
            <w:fldChar w:fldCharType="separate"/>
          </w:r>
          <w:r>
            <w:rPr>
              <w:rStyle w:val="137"/>
              <w:szCs w:val="24"/>
            </w:rPr>
            <w:t>4.7.2</w:t>
          </w:r>
          <w:r>
            <w:rPr>
              <w:rStyle w:val="137"/>
              <w:rFonts w:hint="eastAsia"/>
              <w:szCs w:val="24"/>
            </w:rPr>
            <w:t>固化设备</w:t>
          </w:r>
          <w:r>
            <w:rPr>
              <w:szCs w:val="24"/>
            </w:rPr>
            <w:tab/>
          </w:r>
          <w:r>
            <w:rPr>
              <w:szCs w:val="24"/>
            </w:rPr>
            <w:fldChar w:fldCharType="begin"/>
          </w:r>
          <w:r>
            <w:rPr>
              <w:szCs w:val="24"/>
            </w:rPr>
            <w:instrText xml:space="preserve"> PAGEREF _Toc13760155 \h </w:instrText>
          </w:r>
          <w:r>
            <w:rPr>
              <w:szCs w:val="24"/>
            </w:rPr>
            <w:fldChar w:fldCharType="separate"/>
          </w:r>
          <w:r>
            <w:rPr>
              <w:szCs w:val="24"/>
            </w:rPr>
            <w:t>84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"_Toc13760156" </w:instrText>
          </w:r>
          <w:r>
            <w:fldChar w:fldCharType="separate"/>
          </w:r>
          <w:r>
            <w:rPr>
              <w:rStyle w:val="137"/>
              <w:szCs w:val="24"/>
            </w:rPr>
            <w:t>4.7.3</w:t>
          </w:r>
          <w:r>
            <w:rPr>
              <w:rStyle w:val="137"/>
              <w:rFonts w:hint="eastAsia"/>
              <w:szCs w:val="24"/>
            </w:rPr>
            <w:t>产污情况</w:t>
          </w:r>
          <w:r>
            <w:rPr>
              <w:szCs w:val="24"/>
            </w:rPr>
            <w:tab/>
          </w:r>
          <w:r>
            <w:rPr>
              <w:szCs w:val="24"/>
            </w:rPr>
            <w:fldChar w:fldCharType="begin"/>
          </w:r>
          <w:r>
            <w:rPr>
              <w:szCs w:val="24"/>
            </w:rPr>
            <w:instrText xml:space="preserve"> PAGEREF _Toc13760156 \h </w:instrText>
          </w:r>
          <w:r>
            <w:rPr>
              <w:szCs w:val="24"/>
            </w:rPr>
            <w:fldChar w:fldCharType="separate"/>
          </w:r>
          <w:r>
            <w:rPr>
              <w:szCs w:val="24"/>
            </w:rPr>
            <w:t>87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"_Toc13760157" </w:instrText>
          </w:r>
          <w:r>
            <w:fldChar w:fldCharType="separate"/>
          </w:r>
          <w:r>
            <w:rPr>
              <w:rStyle w:val="137"/>
              <w:szCs w:val="24"/>
            </w:rPr>
            <w:t>4.8</w:t>
          </w:r>
          <w:r>
            <w:rPr>
              <w:rStyle w:val="137"/>
              <w:rFonts w:hint="eastAsia"/>
              <w:szCs w:val="24"/>
            </w:rPr>
            <w:t>改扩建</w:t>
          </w:r>
          <w:r>
            <w:rPr>
              <w:rStyle w:val="137"/>
              <w:rFonts w:hint="eastAsia"/>
              <w:szCs w:val="24"/>
              <w:lang w:val="zh-CN"/>
            </w:rPr>
            <w:t>后公辅工程方案</w:t>
          </w:r>
          <w:r>
            <w:rPr>
              <w:szCs w:val="24"/>
            </w:rPr>
            <w:tab/>
          </w:r>
          <w:r>
            <w:rPr>
              <w:szCs w:val="24"/>
            </w:rPr>
            <w:fldChar w:fldCharType="begin"/>
          </w:r>
          <w:r>
            <w:rPr>
              <w:szCs w:val="24"/>
            </w:rPr>
            <w:instrText xml:space="preserve"> PAGEREF _Toc13760157 \h </w:instrText>
          </w:r>
          <w:r>
            <w:rPr>
              <w:szCs w:val="24"/>
            </w:rPr>
            <w:fldChar w:fldCharType="separate"/>
          </w:r>
          <w:r>
            <w:rPr>
              <w:szCs w:val="24"/>
            </w:rPr>
            <w:t>88</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"_Toc13760158" </w:instrText>
          </w:r>
          <w:r>
            <w:fldChar w:fldCharType="separate"/>
          </w:r>
          <w:r>
            <w:rPr>
              <w:rStyle w:val="137"/>
              <w:szCs w:val="24"/>
              <w:lang w:val="zh-CN"/>
            </w:rPr>
            <w:t>4.8.1</w:t>
          </w:r>
          <w:r>
            <w:rPr>
              <w:rStyle w:val="137"/>
              <w:rFonts w:hint="eastAsia"/>
              <w:szCs w:val="24"/>
              <w:lang w:val="zh-CN"/>
            </w:rPr>
            <w:t>污水处理设置方案</w:t>
          </w:r>
          <w:r>
            <w:rPr>
              <w:szCs w:val="24"/>
            </w:rPr>
            <w:tab/>
          </w:r>
          <w:r>
            <w:rPr>
              <w:szCs w:val="24"/>
            </w:rPr>
            <w:fldChar w:fldCharType="begin"/>
          </w:r>
          <w:r>
            <w:rPr>
              <w:szCs w:val="24"/>
            </w:rPr>
            <w:instrText xml:space="preserve"> PAGEREF _Toc13760158 \h </w:instrText>
          </w:r>
          <w:r>
            <w:rPr>
              <w:szCs w:val="24"/>
            </w:rPr>
            <w:fldChar w:fldCharType="separate"/>
          </w:r>
          <w:r>
            <w:rPr>
              <w:szCs w:val="24"/>
            </w:rPr>
            <w:t>88</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"_Toc13760168" </w:instrText>
          </w:r>
          <w:r>
            <w:fldChar w:fldCharType="separate"/>
          </w:r>
          <w:r>
            <w:rPr>
              <w:rStyle w:val="137"/>
              <w:szCs w:val="24"/>
              <w:lang w:val="zh-CN"/>
            </w:rPr>
            <w:t>4.8.2</w:t>
          </w:r>
          <w:r>
            <w:rPr>
              <w:rStyle w:val="137"/>
              <w:rFonts w:hint="eastAsia"/>
              <w:szCs w:val="24"/>
              <w:lang w:val="zh-CN"/>
            </w:rPr>
            <w:t>供气及供热方案</w:t>
          </w:r>
          <w:r>
            <w:rPr>
              <w:szCs w:val="24"/>
            </w:rPr>
            <w:tab/>
          </w:r>
          <w:r>
            <w:rPr>
              <w:szCs w:val="24"/>
            </w:rPr>
            <w:fldChar w:fldCharType="begin"/>
          </w:r>
          <w:r>
            <w:rPr>
              <w:szCs w:val="24"/>
            </w:rPr>
            <w:instrText xml:space="preserve"> PAGEREF _Toc13760168 \h </w:instrText>
          </w:r>
          <w:r>
            <w:rPr>
              <w:szCs w:val="24"/>
            </w:rPr>
            <w:fldChar w:fldCharType="separate"/>
          </w:r>
          <w:r>
            <w:rPr>
              <w:szCs w:val="24"/>
            </w:rPr>
            <w:t>90</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"_Toc13760169" </w:instrText>
          </w:r>
          <w:r>
            <w:fldChar w:fldCharType="separate"/>
          </w:r>
          <w:r>
            <w:rPr>
              <w:rStyle w:val="137"/>
              <w:szCs w:val="24"/>
              <w:lang w:val="zh-CN"/>
            </w:rPr>
            <w:t>4.8.3</w:t>
          </w:r>
          <w:r>
            <w:rPr>
              <w:rStyle w:val="137"/>
              <w:rFonts w:hint="eastAsia"/>
              <w:szCs w:val="24"/>
              <w:lang w:val="zh-CN"/>
            </w:rPr>
            <w:t>工辅工程产污</w:t>
          </w:r>
          <w:r>
            <w:rPr>
              <w:szCs w:val="24"/>
            </w:rPr>
            <w:tab/>
          </w:r>
          <w:r>
            <w:rPr>
              <w:szCs w:val="24"/>
            </w:rPr>
            <w:fldChar w:fldCharType="begin"/>
          </w:r>
          <w:r>
            <w:rPr>
              <w:szCs w:val="24"/>
            </w:rPr>
            <w:instrText xml:space="preserve"> PAGEREF _Toc13760169 \h </w:instrText>
          </w:r>
          <w:r>
            <w:rPr>
              <w:szCs w:val="24"/>
            </w:rPr>
            <w:fldChar w:fldCharType="separate"/>
          </w:r>
          <w:r>
            <w:rPr>
              <w:szCs w:val="24"/>
            </w:rPr>
            <w:t>94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"_Toc13760170" </w:instrText>
          </w:r>
          <w:r>
            <w:fldChar w:fldCharType="separate"/>
          </w:r>
          <w:r>
            <w:rPr>
              <w:rStyle w:val="137"/>
              <w:szCs w:val="24"/>
              <w:lang w:val="zh-CN"/>
            </w:rPr>
            <w:t>4.8.4</w:t>
          </w:r>
          <w:r>
            <w:rPr>
              <w:rStyle w:val="137"/>
              <w:rFonts w:hint="eastAsia"/>
              <w:szCs w:val="24"/>
              <w:lang w:val="zh-CN"/>
            </w:rPr>
            <w:t>物料平衡及元素平衡</w:t>
          </w:r>
          <w:r>
            <w:rPr>
              <w:szCs w:val="24"/>
            </w:rPr>
            <w:tab/>
          </w:r>
          <w:r>
            <w:rPr>
              <w:szCs w:val="24"/>
            </w:rPr>
            <w:fldChar w:fldCharType="begin"/>
          </w:r>
          <w:r>
            <w:rPr>
              <w:szCs w:val="24"/>
            </w:rPr>
            <w:instrText xml:space="preserve"> PAGEREF _Toc13760170 \h </w:instrText>
          </w:r>
          <w:r>
            <w:rPr>
              <w:szCs w:val="24"/>
            </w:rPr>
            <w:fldChar w:fldCharType="separate"/>
          </w:r>
          <w:r>
            <w:rPr>
              <w:szCs w:val="24"/>
            </w:rPr>
            <w:t>95</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"_Toc13760175" </w:instrText>
          </w:r>
          <w:r>
            <w:fldChar w:fldCharType="separate"/>
          </w:r>
          <w:r>
            <w:rPr>
              <w:rStyle w:val="137"/>
              <w:szCs w:val="24"/>
            </w:rPr>
            <w:t>4.9</w:t>
          </w:r>
          <w:r>
            <w:rPr>
              <w:rStyle w:val="137"/>
              <w:rFonts w:hint="eastAsia"/>
              <w:szCs w:val="24"/>
            </w:rPr>
            <w:t>改扩建</w:t>
          </w:r>
          <w:r>
            <w:rPr>
              <w:rStyle w:val="137"/>
              <w:rFonts w:hint="eastAsia"/>
              <w:szCs w:val="24"/>
              <w:lang w:val="zh-CN"/>
            </w:rPr>
            <w:t>工程污染源分析</w:t>
          </w:r>
          <w:r>
            <w:rPr>
              <w:szCs w:val="24"/>
            </w:rPr>
            <w:tab/>
          </w:r>
          <w:r>
            <w:rPr>
              <w:szCs w:val="24"/>
            </w:rPr>
            <w:fldChar w:fldCharType="begin"/>
          </w:r>
          <w:r>
            <w:rPr>
              <w:szCs w:val="24"/>
            </w:rPr>
            <w:instrText xml:space="preserve"> PAGEREF _Toc13760175 \h </w:instrText>
          </w:r>
          <w:r>
            <w:rPr>
              <w:szCs w:val="24"/>
            </w:rPr>
            <w:fldChar w:fldCharType="separate"/>
          </w:r>
          <w:r>
            <w:rPr>
              <w:szCs w:val="24"/>
            </w:rPr>
            <w:t>101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"_Toc13760176" </w:instrText>
          </w:r>
          <w:r>
            <w:fldChar w:fldCharType="separate"/>
          </w:r>
          <w:r>
            <w:rPr>
              <w:rStyle w:val="137"/>
              <w:szCs w:val="24"/>
            </w:rPr>
            <w:t>4.9.1</w:t>
          </w:r>
          <w:r>
            <w:rPr>
              <w:rStyle w:val="137"/>
              <w:rFonts w:hint="eastAsia"/>
              <w:szCs w:val="24"/>
            </w:rPr>
            <w:t>废气</w:t>
          </w:r>
          <w:r>
            <w:rPr>
              <w:szCs w:val="24"/>
            </w:rPr>
            <w:tab/>
          </w:r>
          <w:r>
            <w:rPr>
              <w:szCs w:val="24"/>
            </w:rPr>
            <w:fldChar w:fldCharType="begin"/>
          </w:r>
          <w:r>
            <w:rPr>
              <w:szCs w:val="24"/>
            </w:rPr>
            <w:instrText xml:space="preserve"> PAGEREF _Toc13760176 \h </w:instrText>
          </w:r>
          <w:r>
            <w:rPr>
              <w:szCs w:val="24"/>
            </w:rPr>
            <w:fldChar w:fldCharType="separate"/>
          </w:r>
          <w:r>
            <w:rPr>
              <w:szCs w:val="24"/>
            </w:rPr>
            <w:t>101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"_Toc13760185" </w:instrText>
          </w:r>
          <w:r>
            <w:fldChar w:fldCharType="separate"/>
          </w:r>
          <w:r>
            <w:rPr>
              <w:rStyle w:val="137"/>
              <w:szCs w:val="24"/>
            </w:rPr>
            <w:t>4.9.2</w:t>
          </w:r>
          <w:r>
            <w:rPr>
              <w:rStyle w:val="137"/>
              <w:rFonts w:hint="eastAsia"/>
              <w:szCs w:val="24"/>
            </w:rPr>
            <w:t>废水</w:t>
          </w:r>
          <w:r>
            <w:rPr>
              <w:szCs w:val="24"/>
            </w:rPr>
            <w:tab/>
          </w:r>
          <w:r>
            <w:rPr>
              <w:szCs w:val="24"/>
            </w:rPr>
            <w:fldChar w:fldCharType="begin"/>
          </w:r>
          <w:r>
            <w:rPr>
              <w:szCs w:val="24"/>
            </w:rPr>
            <w:instrText xml:space="preserve"> PAGEREF _Toc13760185 \h </w:instrText>
          </w:r>
          <w:r>
            <w:rPr>
              <w:szCs w:val="24"/>
            </w:rPr>
            <w:fldChar w:fldCharType="separate"/>
          </w:r>
          <w:r>
            <w:rPr>
              <w:szCs w:val="24"/>
            </w:rPr>
            <w:t>107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"_Toc13760186" </w:instrText>
          </w:r>
          <w:r>
            <w:fldChar w:fldCharType="separate"/>
          </w:r>
          <w:r>
            <w:rPr>
              <w:rStyle w:val="137"/>
              <w:szCs w:val="24"/>
            </w:rPr>
            <w:t>4.9.3</w:t>
          </w:r>
          <w:r>
            <w:rPr>
              <w:rStyle w:val="137"/>
              <w:rFonts w:hint="eastAsia"/>
              <w:szCs w:val="24"/>
            </w:rPr>
            <w:t>固废</w:t>
          </w:r>
          <w:r>
            <w:rPr>
              <w:szCs w:val="24"/>
            </w:rPr>
            <w:tab/>
          </w:r>
          <w:r>
            <w:rPr>
              <w:szCs w:val="24"/>
            </w:rPr>
            <w:fldChar w:fldCharType="begin"/>
          </w:r>
          <w:r>
            <w:rPr>
              <w:szCs w:val="24"/>
            </w:rPr>
            <w:instrText xml:space="preserve"> PAGEREF _Toc13760186 \h </w:instrText>
          </w:r>
          <w:r>
            <w:rPr>
              <w:szCs w:val="24"/>
            </w:rPr>
            <w:fldChar w:fldCharType="separate"/>
          </w:r>
          <w:r>
            <w:rPr>
              <w:szCs w:val="24"/>
            </w:rPr>
            <w:t>118</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"_Toc13760187" </w:instrText>
          </w:r>
          <w:r>
            <w:fldChar w:fldCharType="separate"/>
          </w:r>
          <w:r>
            <w:rPr>
              <w:rStyle w:val="137"/>
              <w:szCs w:val="24"/>
            </w:rPr>
            <w:t>4.9.4</w:t>
          </w:r>
          <w:r>
            <w:rPr>
              <w:rStyle w:val="137"/>
              <w:rFonts w:hint="eastAsia"/>
              <w:szCs w:val="24"/>
            </w:rPr>
            <w:t>噪声</w:t>
          </w:r>
          <w:r>
            <w:rPr>
              <w:szCs w:val="24"/>
            </w:rPr>
            <w:tab/>
          </w:r>
          <w:r>
            <w:rPr>
              <w:szCs w:val="24"/>
            </w:rPr>
            <w:fldChar w:fldCharType="begin"/>
          </w:r>
          <w:r>
            <w:rPr>
              <w:szCs w:val="24"/>
            </w:rPr>
            <w:instrText xml:space="preserve"> PAGEREF _Toc13760187 \h </w:instrText>
          </w:r>
          <w:r>
            <w:rPr>
              <w:szCs w:val="24"/>
            </w:rPr>
            <w:fldChar w:fldCharType="separate"/>
          </w:r>
          <w:r>
            <w:rPr>
              <w:szCs w:val="24"/>
            </w:rPr>
            <w:t>121</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"_Toc13760188" </w:instrText>
          </w:r>
          <w:r>
            <w:fldChar w:fldCharType="separate"/>
          </w:r>
          <w:r>
            <w:rPr>
              <w:rStyle w:val="137"/>
              <w:szCs w:val="24"/>
            </w:rPr>
            <w:t>5.</w:t>
          </w:r>
          <w:r>
            <w:rPr>
              <w:rStyle w:val="137"/>
              <w:rFonts w:hint="eastAsia"/>
              <w:szCs w:val="24"/>
            </w:rPr>
            <w:t>环境现状评价</w:t>
          </w:r>
          <w:r>
            <w:rPr>
              <w:szCs w:val="24"/>
            </w:rPr>
            <w:tab/>
          </w:r>
          <w:r>
            <w:rPr>
              <w:szCs w:val="24"/>
            </w:rPr>
            <w:fldChar w:fldCharType="begin"/>
          </w:r>
          <w:r>
            <w:rPr>
              <w:szCs w:val="24"/>
            </w:rPr>
            <w:instrText xml:space="preserve"> PAGEREF _Toc13760188 \h </w:instrText>
          </w:r>
          <w:r>
            <w:rPr>
              <w:szCs w:val="24"/>
            </w:rPr>
            <w:fldChar w:fldCharType="separate"/>
          </w:r>
          <w:r>
            <w:rPr>
              <w:szCs w:val="24"/>
            </w:rPr>
            <w:t>123</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"_Toc13760189" </w:instrText>
          </w:r>
          <w:r>
            <w:fldChar w:fldCharType="separate"/>
          </w:r>
          <w:r>
            <w:rPr>
              <w:rStyle w:val="137"/>
              <w:szCs w:val="24"/>
            </w:rPr>
            <w:t>5.1</w:t>
          </w:r>
          <w:r>
            <w:rPr>
              <w:rStyle w:val="137"/>
              <w:rFonts w:hint="eastAsia"/>
              <w:szCs w:val="24"/>
            </w:rPr>
            <w:t>环境空气质量现状</w:t>
          </w:r>
          <w:r>
            <w:rPr>
              <w:szCs w:val="24"/>
            </w:rPr>
            <w:tab/>
          </w:r>
          <w:r>
            <w:rPr>
              <w:szCs w:val="24"/>
            </w:rPr>
            <w:fldChar w:fldCharType="begin"/>
          </w:r>
          <w:r>
            <w:rPr>
              <w:szCs w:val="24"/>
            </w:rPr>
            <w:instrText xml:space="preserve"> PAGEREF _Toc13760189 \h </w:instrText>
          </w:r>
          <w:r>
            <w:rPr>
              <w:szCs w:val="24"/>
            </w:rPr>
            <w:fldChar w:fldCharType="separate"/>
          </w:r>
          <w:r>
            <w:rPr>
              <w:szCs w:val="24"/>
            </w:rPr>
            <w:t>123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"_Toc13760190" </w:instrText>
          </w:r>
          <w:r>
            <w:fldChar w:fldCharType="separate"/>
          </w:r>
          <w:r>
            <w:rPr>
              <w:rStyle w:val="137"/>
              <w:szCs w:val="24"/>
            </w:rPr>
            <w:t>5.1.1</w:t>
          </w:r>
          <w:r>
            <w:rPr>
              <w:rStyle w:val="137"/>
              <w:rFonts w:hint="eastAsia"/>
              <w:szCs w:val="24"/>
            </w:rPr>
            <w:t>区域环境质量评价</w:t>
          </w:r>
          <w:r>
            <w:rPr>
              <w:szCs w:val="24"/>
            </w:rPr>
            <w:tab/>
          </w:r>
          <w:r>
            <w:rPr>
              <w:szCs w:val="24"/>
            </w:rPr>
            <w:fldChar w:fldCharType="begin"/>
          </w:r>
          <w:r>
            <w:rPr>
              <w:szCs w:val="24"/>
            </w:rPr>
            <w:instrText xml:space="preserve"> PAGEREF _Toc13760190 \h </w:instrText>
          </w:r>
          <w:r>
            <w:rPr>
              <w:szCs w:val="24"/>
            </w:rPr>
            <w:fldChar w:fldCharType="separate"/>
          </w:r>
          <w:r>
            <w:rPr>
              <w:szCs w:val="24"/>
            </w:rPr>
            <w:t>123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"_Toc13760191" </w:instrText>
          </w:r>
          <w:r>
            <w:fldChar w:fldCharType="separate"/>
          </w:r>
          <w:r>
            <w:rPr>
              <w:rStyle w:val="137"/>
              <w:szCs w:val="24"/>
            </w:rPr>
            <w:t>5.1.2</w:t>
          </w:r>
          <w:r>
            <w:rPr>
              <w:rStyle w:val="137"/>
              <w:rFonts w:hint="eastAsia"/>
              <w:szCs w:val="24"/>
            </w:rPr>
            <w:t>补充污染物环境现状评价</w:t>
          </w:r>
          <w:r>
            <w:rPr>
              <w:szCs w:val="24"/>
            </w:rPr>
            <w:tab/>
          </w:r>
          <w:r>
            <w:rPr>
              <w:szCs w:val="24"/>
            </w:rPr>
            <w:fldChar w:fldCharType="begin"/>
          </w:r>
          <w:r>
            <w:rPr>
              <w:szCs w:val="24"/>
            </w:rPr>
            <w:instrText xml:space="preserve"> PAGEREF _Toc13760191 \h </w:instrText>
          </w:r>
          <w:r>
            <w:rPr>
              <w:szCs w:val="24"/>
            </w:rPr>
            <w:fldChar w:fldCharType="separate"/>
          </w:r>
          <w:r>
            <w:rPr>
              <w:szCs w:val="24"/>
            </w:rPr>
            <w:t>123</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"_Toc13760192" </w:instrText>
          </w:r>
          <w:r>
            <w:fldChar w:fldCharType="separate"/>
          </w:r>
          <w:r>
            <w:rPr>
              <w:rStyle w:val="137"/>
              <w:szCs w:val="24"/>
            </w:rPr>
            <w:t>5.2</w:t>
          </w:r>
          <w:r>
            <w:rPr>
              <w:rStyle w:val="137"/>
              <w:rFonts w:hint="eastAsia"/>
              <w:szCs w:val="24"/>
            </w:rPr>
            <w:t>声环境质量现状监测与评价</w:t>
          </w:r>
          <w:r>
            <w:rPr>
              <w:szCs w:val="24"/>
            </w:rPr>
            <w:tab/>
          </w:r>
          <w:r>
            <w:rPr>
              <w:szCs w:val="24"/>
            </w:rPr>
            <w:fldChar w:fldCharType="begin"/>
          </w:r>
          <w:r>
            <w:rPr>
              <w:szCs w:val="24"/>
            </w:rPr>
            <w:instrText xml:space="preserve"> PAGEREF _Toc13760192 \h </w:instrText>
          </w:r>
          <w:r>
            <w:rPr>
              <w:szCs w:val="24"/>
            </w:rPr>
            <w:fldChar w:fldCharType="separate"/>
          </w:r>
          <w:r>
            <w:rPr>
              <w:szCs w:val="24"/>
            </w:rPr>
            <w:t>131</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"_Toc13760194" </w:instrText>
          </w:r>
          <w:r>
            <w:fldChar w:fldCharType="separate"/>
          </w:r>
          <w:r>
            <w:rPr>
              <w:rStyle w:val="137"/>
              <w:szCs w:val="24"/>
            </w:rPr>
            <w:t>5.3</w:t>
          </w:r>
          <w:r>
            <w:rPr>
              <w:rStyle w:val="137"/>
              <w:rFonts w:hint="eastAsia"/>
              <w:szCs w:val="24"/>
            </w:rPr>
            <w:t>水环境质量现状</w:t>
          </w:r>
          <w:r>
            <w:rPr>
              <w:szCs w:val="24"/>
            </w:rPr>
            <w:tab/>
          </w:r>
          <w:r>
            <w:rPr>
              <w:szCs w:val="24"/>
            </w:rPr>
            <w:fldChar w:fldCharType="begin"/>
          </w:r>
          <w:r>
            <w:rPr>
              <w:szCs w:val="24"/>
            </w:rPr>
            <w:instrText xml:space="preserve"> PAGEREF _Toc13760194 \h </w:instrText>
          </w:r>
          <w:r>
            <w:rPr>
              <w:szCs w:val="24"/>
            </w:rPr>
            <w:fldChar w:fldCharType="separate"/>
          </w:r>
          <w:r>
            <w:rPr>
              <w:szCs w:val="24"/>
            </w:rPr>
            <w:t>133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"_Toc13760195" </w:instrText>
          </w:r>
          <w:r>
            <w:fldChar w:fldCharType="separate"/>
          </w:r>
          <w:r>
            <w:rPr>
              <w:rStyle w:val="137"/>
              <w:szCs w:val="24"/>
            </w:rPr>
            <w:t>5.3.1</w:t>
          </w:r>
          <w:r>
            <w:rPr>
              <w:rStyle w:val="137"/>
              <w:rFonts w:hint="eastAsia"/>
              <w:szCs w:val="24"/>
            </w:rPr>
            <w:t>地下水水质监测</w:t>
          </w:r>
          <w:r>
            <w:rPr>
              <w:szCs w:val="24"/>
            </w:rPr>
            <w:tab/>
          </w:r>
          <w:r>
            <w:rPr>
              <w:szCs w:val="24"/>
            </w:rPr>
            <w:fldChar w:fldCharType="begin"/>
          </w:r>
          <w:r>
            <w:rPr>
              <w:szCs w:val="24"/>
            </w:rPr>
            <w:instrText xml:space="preserve"> PAGEREF _Toc13760195 \h </w:instrText>
          </w:r>
          <w:r>
            <w:rPr>
              <w:szCs w:val="24"/>
            </w:rPr>
            <w:fldChar w:fldCharType="separate"/>
          </w:r>
          <w:r>
            <w:rPr>
              <w:szCs w:val="24"/>
            </w:rPr>
            <w:t>133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"_Toc13760196" </w:instrText>
          </w:r>
          <w:r>
            <w:fldChar w:fldCharType="separate"/>
          </w:r>
          <w:r>
            <w:rPr>
              <w:rStyle w:val="137"/>
              <w:szCs w:val="24"/>
            </w:rPr>
            <w:t>5.3.2</w:t>
          </w:r>
          <w:r>
            <w:rPr>
              <w:rStyle w:val="137"/>
              <w:rFonts w:hint="eastAsia"/>
              <w:szCs w:val="24"/>
            </w:rPr>
            <w:t>地下水水位监测</w:t>
          </w:r>
          <w:r>
            <w:rPr>
              <w:szCs w:val="24"/>
            </w:rPr>
            <w:tab/>
          </w:r>
          <w:r>
            <w:rPr>
              <w:szCs w:val="24"/>
            </w:rPr>
            <w:fldChar w:fldCharType="begin"/>
          </w:r>
          <w:r>
            <w:rPr>
              <w:szCs w:val="24"/>
            </w:rPr>
            <w:instrText xml:space="preserve"> PAGEREF _Toc13760196 \h </w:instrText>
          </w:r>
          <w:r>
            <w:rPr>
              <w:szCs w:val="24"/>
            </w:rPr>
            <w:fldChar w:fldCharType="separate"/>
          </w:r>
          <w:r>
            <w:rPr>
              <w:szCs w:val="24"/>
            </w:rPr>
            <w:t>137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"_Toc13760197" </w:instrText>
          </w:r>
          <w:r>
            <w:fldChar w:fldCharType="separate"/>
          </w:r>
          <w:r>
            <w:rPr>
              <w:rStyle w:val="137"/>
              <w:szCs w:val="24"/>
            </w:rPr>
            <w:t>5.4</w:t>
          </w:r>
          <w:r>
            <w:rPr>
              <w:rStyle w:val="137"/>
              <w:rFonts w:hint="eastAsia"/>
              <w:szCs w:val="24"/>
            </w:rPr>
            <w:t>土壤环境质量现状监测与评价</w:t>
          </w:r>
          <w:r>
            <w:rPr>
              <w:szCs w:val="24"/>
            </w:rPr>
            <w:tab/>
          </w:r>
          <w:r>
            <w:rPr>
              <w:szCs w:val="24"/>
            </w:rPr>
            <w:fldChar w:fldCharType="begin"/>
          </w:r>
          <w:r>
            <w:rPr>
              <w:szCs w:val="24"/>
            </w:rPr>
            <w:instrText xml:space="preserve"> PAGEREF _Toc13760197 \h </w:instrText>
          </w:r>
          <w:r>
            <w:rPr>
              <w:szCs w:val="24"/>
            </w:rPr>
            <w:fldChar w:fldCharType="separate"/>
          </w:r>
          <w:r>
            <w:rPr>
              <w:szCs w:val="24"/>
            </w:rPr>
            <w:t>140</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"_Toc13760200" </w:instrText>
          </w:r>
          <w:r>
            <w:fldChar w:fldCharType="separate"/>
          </w:r>
          <w:r>
            <w:rPr>
              <w:rStyle w:val="137"/>
              <w:szCs w:val="24"/>
            </w:rPr>
            <w:t>6.</w:t>
          </w:r>
          <w:r>
            <w:rPr>
              <w:rStyle w:val="137"/>
              <w:rFonts w:hint="eastAsia"/>
              <w:szCs w:val="24"/>
            </w:rPr>
            <w:t>改扩建工程环境影响分析</w:t>
          </w:r>
          <w:r>
            <w:rPr>
              <w:szCs w:val="24"/>
            </w:rPr>
            <w:tab/>
          </w:r>
          <w:r>
            <w:rPr>
              <w:szCs w:val="24"/>
            </w:rPr>
            <w:fldChar w:fldCharType="begin"/>
          </w:r>
          <w:r>
            <w:rPr>
              <w:szCs w:val="24"/>
            </w:rPr>
            <w:instrText xml:space="preserve"> PAGEREF _Toc13760200 \h </w:instrText>
          </w:r>
          <w:r>
            <w:rPr>
              <w:szCs w:val="24"/>
            </w:rPr>
            <w:fldChar w:fldCharType="separate"/>
          </w:r>
          <w:r>
            <w:rPr>
              <w:szCs w:val="24"/>
            </w:rPr>
            <w:t>144</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"_Toc13760201" </w:instrText>
          </w:r>
          <w:r>
            <w:fldChar w:fldCharType="separate"/>
          </w:r>
          <w:r>
            <w:rPr>
              <w:rStyle w:val="137"/>
              <w:szCs w:val="24"/>
            </w:rPr>
            <w:t>6.1</w:t>
          </w:r>
          <w:r>
            <w:rPr>
              <w:rStyle w:val="137"/>
              <w:rFonts w:hint="eastAsia"/>
              <w:szCs w:val="24"/>
            </w:rPr>
            <w:t>环境空气影响分析</w:t>
          </w:r>
          <w:r>
            <w:rPr>
              <w:szCs w:val="24"/>
            </w:rPr>
            <w:tab/>
          </w:r>
          <w:r>
            <w:rPr>
              <w:szCs w:val="24"/>
            </w:rPr>
            <w:fldChar w:fldCharType="begin"/>
          </w:r>
          <w:r>
            <w:rPr>
              <w:szCs w:val="24"/>
            </w:rPr>
            <w:instrText xml:space="preserve"> PAGEREF _Toc13760201 \h </w:instrText>
          </w:r>
          <w:r>
            <w:rPr>
              <w:szCs w:val="24"/>
            </w:rPr>
            <w:fldChar w:fldCharType="separate"/>
          </w:r>
          <w:r>
            <w:rPr>
              <w:szCs w:val="24"/>
            </w:rPr>
            <w:t>144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"_Toc13760202" </w:instrText>
          </w:r>
          <w:r>
            <w:fldChar w:fldCharType="separate"/>
          </w:r>
          <w:r>
            <w:rPr>
              <w:rStyle w:val="137"/>
              <w:szCs w:val="24"/>
            </w:rPr>
            <w:t>6.1.1</w:t>
          </w:r>
          <w:r>
            <w:rPr>
              <w:rStyle w:val="137"/>
              <w:rFonts w:hint="eastAsia"/>
              <w:szCs w:val="24"/>
            </w:rPr>
            <w:t>环境空气影响预测</w:t>
          </w:r>
          <w:r>
            <w:rPr>
              <w:szCs w:val="24"/>
            </w:rPr>
            <w:tab/>
          </w:r>
          <w:r>
            <w:rPr>
              <w:szCs w:val="24"/>
            </w:rPr>
            <w:fldChar w:fldCharType="begin"/>
          </w:r>
          <w:r>
            <w:rPr>
              <w:szCs w:val="24"/>
            </w:rPr>
            <w:instrText xml:space="preserve"> PAGEREF _Toc13760202 \h </w:instrText>
          </w:r>
          <w:r>
            <w:rPr>
              <w:szCs w:val="24"/>
            </w:rPr>
            <w:fldChar w:fldCharType="separate"/>
          </w:r>
          <w:r>
            <w:rPr>
              <w:szCs w:val="24"/>
            </w:rPr>
            <w:t>144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"_Toc13760206" </w:instrText>
          </w:r>
          <w:r>
            <w:fldChar w:fldCharType="separate"/>
          </w:r>
          <w:r>
            <w:rPr>
              <w:rStyle w:val="137"/>
              <w:szCs w:val="24"/>
            </w:rPr>
            <w:t>6.1.2</w:t>
          </w:r>
          <w:r>
            <w:rPr>
              <w:rStyle w:val="137"/>
              <w:rFonts w:hint="eastAsia"/>
              <w:szCs w:val="24"/>
            </w:rPr>
            <w:t>环境空气影响预测结果</w:t>
          </w:r>
          <w:r>
            <w:rPr>
              <w:szCs w:val="24"/>
            </w:rPr>
            <w:tab/>
          </w:r>
          <w:r>
            <w:rPr>
              <w:szCs w:val="24"/>
            </w:rPr>
            <w:fldChar w:fldCharType="begin"/>
          </w:r>
          <w:r>
            <w:rPr>
              <w:szCs w:val="24"/>
            </w:rPr>
            <w:instrText xml:space="preserve"> PAGEREF _Toc13760206 \h </w:instrText>
          </w:r>
          <w:r>
            <w:rPr>
              <w:szCs w:val="24"/>
            </w:rPr>
            <w:fldChar w:fldCharType="separate"/>
          </w:r>
          <w:r>
            <w:rPr>
              <w:szCs w:val="24"/>
            </w:rPr>
            <w:t>145</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"_Toc13760207" </w:instrText>
          </w:r>
          <w:r>
            <w:fldChar w:fldCharType="separate"/>
          </w:r>
          <w:r>
            <w:rPr>
              <w:rStyle w:val="137"/>
              <w:szCs w:val="24"/>
            </w:rPr>
            <w:t>6.2</w:t>
          </w:r>
          <w:r>
            <w:rPr>
              <w:rStyle w:val="137"/>
              <w:rFonts w:hint="eastAsia"/>
              <w:szCs w:val="24"/>
            </w:rPr>
            <w:t>地下水环境影响分析</w:t>
          </w:r>
          <w:r>
            <w:rPr>
              <w:szCs w:val="24"/>
            </w:rPr>
            <w:tab/>
          </w:r>
          <w:r>
            <w:rPr>
              <w:szCs w:val="24"/>
            </w:rPr>
            <w:fldChar w:fldCharType="begin"/>
          </w:r>
          <w:r>
            <w:rPr>
              <w:szCs w:val="24"/>
            </w:rPr>
            <w:instrText xml:space="preserve"> PAGEREF _Toc13760207 \h </w:instrText>
          </w:r>
          <w:r>
            <w:rPr>
              <w:szCs w:val="24"/>
            </w:rPr>
            <w:fldChar w:fldCharType="separate"/>
          </w:r>
          <w:r>
            <w:rPr>
              <w:szCs w:val="24"/>
            </w:rPr>
            <w:t>173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"_Toc13760208" </w:instrText>
          </w:r>
          <w:r>
            <w:fldChar w:fldCharType="separate"/>
          </w:r>
          <w:r>
            <w:rPr>
              <w:rStyle w:val="137"/>
              <w:szCs w:val="24"/>
            </w:rPr>
            <w:t>6.2.1</w:t>
          </w:r>
          <w:r>
            <w:rPr>
              <w:rStyle w:val="137"/>
              <w:rFonts w:hint="eastAsia"/>
              <w:szCs w:val="24"/>
            </w:rPr>
            <w:t>物化车间沉淀池持续泄漏</w:t>
          </w:r>
          <w:r>
            <w:rPr>
              <w:szCs w:val="24"/>
            </w:rPr>
            <w:tab/>
          </w:r>
          <w:r>
            <w:rPr>
              <w:szCs w:val="24"/>
            </w:rPr>
            <w:fldChar w:fldCharType="begin"/>
          </w:r>
          <w:r>
            <w:rPr>
              <w:szCs w:val="24"/>
            </w:rPr>
            <w:instrText xml:space="preserve"> PAGEREF _Toc13760208 \h </w:instrText>
          </w:r>
          <w:r>
            <w:rPr>
              <w:szCs w:val="24"/>
            </w:rPr>
            <w:fldChar w:fldCharType="separate"/>
          </w:r>
          <w:r>
            <w:rPr>
              <w:szCs w:val="24"/>
            </w:rPr>
            <w:t>173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"_Toc13760209" </w:instrText>
          </w:r>
          <w:r>
            <w:fldChar w:fldCharType="separate"/>
          </w:r>
          <w:r>
            <w:rPr>
              <w:rStyle w:val="137"/>
              <w:szCs w:val="24"/>
            </w:rPr>
            <w:t>6.2.2</w:t>
          </w:r>
          <w:r>
            <w:rPr>
              <w:rStyle w:val="137"/>
              <w:rFonts w:hint="eastAsia"/>
              <w:szCs w:val="24"/>
            </w:rPr>
            <w:t>焚烧车间喷淋洗涤塔排水收集池持续泄漏</w:t>
          </w:r>
          <w:r>
            <w:rPr>
              <w:szCs w:val="24"/>
            </w:rPr>
            <w:tab/>
          </w:r>
          <w:r>
            <w:rPr>
              <w:szCs w:val="24"/>
            </w:rPr>
            <w:fldChar w:fldCharType="begin"/>
          </w:r>
          <w:r>
            <w:rPr>
              <w:szCs w:val="24"/>
            </w:rPr>
            <w:instrText xml:space="preserve"> PAGEREF _Toc13760209 \h </w:instrText>
          </w:r>
          <w:r>
            <w:rPr>
              <w:szCs w:val="24"/>
            </w:rPr>
            <w:fldChar w:fldCharType="separate"/>
          </w:r>
          <w:r>
            <w:rPr>
              <w:szCs w:val="24"/>
            </w:rPr>
            <w:t>174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"_Toc13760210" </w:instrText>
          </w:r>
          <w:r>
            <w:fldChar w:fldCharType="separate"/>
          </w:r>
          <w:r>
            <w:rPr>
              <w:rStyle w:val="137"/>
              <w:szCs w:val="24"/>
            </w:rPr>
            <w:t>6.2.3</w:t>
          </w:r>
          <w:r>
            <w:rPr>
              <w:rStyle w:val="137"/>
              <w:rFonts w:hint="eastAsia"/>
              <w:szCs w:val="24"/>
            </w:rPr>
            <w:t>物化车间沉淀池短时间泄漏</w:t>
          </w:r>
          <w:r>
            <w:rPr>
              <w:szCs w:val="24"/>
            </w:rPr>
            <w:tab/>
          </w:r>
          <w:r>
            <w:rPr>
              <w:szCs w:val="24"/>
            </w:rPr>
            <w:fldChar w:fldCharType="begin"/>
          </w:r>
          <w:r>
            <w:rPr>
              <w:szCs w:val="24"/>
            </w:rPr>
            <w:instrText xml:space="preserve"> PAGEREF _Toc13760210 \h </w:instrText>
          </w:r>
          <w:r>
            <w:rPr>
              <w:szCs w:val="24"/>
            </w:rPr>
            <w:fldChar w:fldCharType="separate"/>
          </w:r>
          <w:r>
            <w:rPr>
              <w:szCs w:val="24"/>
            </w:rPr>
            <w:t>175</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"_Toc13760211" </w:instrText>
          </w:r>
          <w:r>
            <w:fldChar w:fldCharType="separate"/>
          </w:r>
          <w:r>
            <w:rPr>
              <w:rStyle w:val="137"/>
              <w:szCs w:val="24"/>
            </w:rPr>
            <w:t>6.2.4</w:t>
          </w:r>
          <w:r>
            <w:rPr>
              <w:rStyle w:val="137"/>
              <w:rFonts w:hint="eastAsia"/>
              <w:szCs w:val="24"/>
            </w:rPr>
            <w:t>焚烧车间喷淋洗涤塔排水收集池短时泄漏</w:t>
          </w:r>
          <w:r>
            <w:rPr>
              <w:szCs w:val="24"/>
            </w:rPr>
            <w:tab/>
          </w:r>
          <w:r>
            <w:rPr>
              <w:szCs w:val="24"/>
            </w:rPr>
            <w:fldChar w:fldCharType="begin"/>
          </w:r>
          <w:r>
            <w:rPr>
              <w:szCs w:val="24"/>
            </w:rPr>
            <w:instrText xml:space="preserve"> PAGEREF _Toc13760211 \h </w:instrText>
          </w:r>
          <w:r>
            <w:rPr>
              <w:szCs w:val="24"/>
            </w:rPr>
            <w:fldChar w:fldCharType="separate"/>
          </w:r>
          <w:r>
            <w:rPr>
              <w:szCs w:val="24"/>
            </w:rPr>
            <w:t>177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"_Toc13760212" </w:instrText>
          </w:r>
          <w:r>
            <w:fldChar w:fldCharType="separate"/>
          </w:r>
          <w:r>
            <w:rPr>
              <w:rStyle w:val="137"/>
              <w:szCs w:val="24"/>
            </w:rPr>
            <w:t>6.3</w:t>
          </w:r>
          <w:r>
            <w:rPr>
              <w:rStyle w:val="137"/>
              <w:rFonts w:hint="eastAsia"/>
              <w:szCs w:val="24"/>
            </w:rPr>
            <w:t>地表水环境影响分析</w:t>
          </w:r>
          <w:r>
            <w:rPr>
              <w:szCs w:val="24"/>
            </w:rPr>
            <w:tab/>
          </w:r>
          <w:r>
            <w:rPr>
              <w:szCs w:val="24"/>
            </w:rPr>
            <w:fldChar w:fldCharType="begin"/>
          </w:r>
          <w:r>
            <w:rPr>
              <w:szCs w:val="24"/>
            </w:rPr>
            <w:instrText xml:space="preserve"> PAGEREF _Toc13760212 \h </w:instrText>
          </w:r>
          <w:r>
            <w:rPr>
              <w:szCs w:val="24"/>
            </w:rPr>
            <w:fldChar w:fldCharType="separate"/>
          </w:r>
          <w:r>
            <w:rPr>
              <w:szCs w:val="24"/>
            </w:rPr>
            <w:t>178</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"_Toc13760221" </w:instrText>
          </w:r>
          <w:r>
            <w:fldChar w:fldCharType="separate"/>
          </w:r>
          <w:r>
            <w:rPr>
              <w:rStyle w:val="137"/>
              <w:szCs w:val="24"/>
            </w:rPr>
            <w:t>6.4</w:t>
          </w:r>
          <w:r>
            <w:rPr>
              <w:rStyle w:val="137"/>
              <w:rFonts w:hint="eastAsia"/>
              <w:szCs w:val="24"/>
            </w:rPr>
            <w:t>声环境影响分析</w:t>
          </w:r>
          <w:r>
            <w:rPr>
              <w:szCs w:val="24"/>
            </w:rPr>
            <w:tab/>
          </w:r>
          <w:r>
            <w:rPr>
              <w:szCs w:val="24"/>
            </w:rPr>
            <w:fldChar w:fldCharType="begin"/>
          </w:r>
          <w:r>
            <w:rPr>
              <w:szCs w:val="24"/>
            </w:rPr>
            <w:instrText xml:space="preserve"> PAGEREF _Toc13760221 \h </w:instrText>
          </w:r>
          <w:r>
            <w:rPr>
              <w:szCs w:val="24"/>
            </w:rPr>
            <w:fldChar w:fldCharType="separate"/>
          </w:r>
          <w:r>
            <w:rPr>
              <w:szCs w:val="24"/>
            </w:rPr>
            <w:t>181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"_Toc13760222" </w:instrText>
          </w:r>
          <w:r>
            <w:fldChar w:fldCharType="separate"/>
          </w:r>
          <w:r>
            <w:rPr>
              <w:rStyle w:val="137"/>
              <w:szCs w:val="24"/>
            </w:rPr>
            <w:t>6.4.1</w:t>
          </w:r>
          <w:r>
            <w:rPr>
              <w:rStyle w:val="137"/>
              <w:rFonts w:hint="eastAsia"/>
              <w:szCs w:val="24"/>
            </w:rPr>
            <w:t>预测模式</w:t>
          </w:r>
          <w:r>
            <w:rPr>
              <w:szCs w:val="24"/>
            </w:rPr>
            <w:tab/>
          </w:r>
          <w:r>
            <w:rPr>
              <w:szCs w:val="24"/>
            </w:rPr>
            <w:fldChar w:fldCharType="begin"/>
          </w:r>
          <w:r>
            <w:rPr>
              <w:szCs w:val="24"/>
            </w:rPr>
            <w:instrText xml:space="preserve"> PAGEREF _Toc13760222 \h </w:instrText>
          </w:r>
          <w:r>
            <w:rPr>
              <w:szCs w:val="24"/>
            </w:rPr>
            <w:fldChar w:fldCharType="separate"/>
          </w:r>
          <w:r>
            <w:rPr>
              <w:szCs w:val="24"/>
            </w:rPr>
            <w:t>182</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"_Toc13760228" </w:instrText>
          </w:r>
          <w:r>
            <w:fldChar w:fldCharType="separate"/>
          </w:r>
          <w:r>
            <w:rPr>
              <w:rStyle w:val="137"/>
              <w:szCs w:val="24"/>
            </w:rPr>
            <w:t>6.4.2</w:t>
          </w:r>
          <w:r>
            <w:rPr>
              <w:rStyle w:val="137"/>
              <w:rFonts w:hint="eastAsia"/>
              <w:szCs w:val="24"/>
            </w:rPr>
            <w:t>噪声影响结果</w:t>
          </w:r>
          <w:r>
            <w:rPr>
              <w:szCs w:val="24"/>
            </w:rPr>
            <w:tab/>
          </w:r>
          <w:r>
            <w:rPr>
              <w:szCs w:val="24"/>
            </w:rPr>
            <w:fldChar w:fldCharType="begin"/>
          </w:r>
          <w:r>
            <w:rPr>
              <w:szCs w:val="24"/>
            </w:rPr>
            <w:instrText xml:space="preserve"> PAGEREF _Toc13760228 \h </w:instrText>
          </w:r>
          <w:r>
            <w:rPr>
              <w:szCs w:val="24"/>
            </w:rPr>
            <w:fldChar w:fldCharType="separate"/>
          </w:r>
          <w:r>
            <w:rPr>
              <w:szCs w:val="24"/>
            </w:rPr>
            <w:t>184</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"_Toc13760229" </w:instrText>
          </w:r>
          <w:r>
            <w:fldChar w:fldCharType="separate"/>
          </w:r>
          <w:r>
            <w:rPr>
              <w:rStyle w:val="137"/>
              <w:szCs w:val="24"/>
            </w:rPr>
            <w:t>6.5</w:t>
          </w:r>
          <w:r>
            <w:rPr>
              <w:rStyle w:val="137"/>
              <w:rFonts w:hint="eastAsia"/>
              <w:szCs w:val="24"/>
            </w:rPr>
            <w:t>固体废物影响分析</w:t>
          </w:r>
          <w:r>
            <w:rPr>
              <w:szCs w:val="24"/>
            </w:rPr>
            <w:tab/>
          </w:r>
          <w:r>
            <w:rPr>
              <w:szCs w:val="24"/>
            </w:rPr>
            <w:fldChar w:fldCharType="begin"/>
          </w:r>
          <w:r>
            <w:rPr>
              <w:szCs w:val="24"/>
            </w:rPr>
            <w:instrText xml:space="preserve"> PAGEREF _Toc13760229 \h </w:instrText>
          </w:r>
          <w:r>
            <w:rPr>
              <w:szCs w:val="24"/>
            </w:rPr>
            <w:fldChar w:fldCharType="separate"/>
          </w:r>
          <w:r>
            <w:rPr>
              <w:szCs w:val="24"/>
            </w:rPr>
            <w:t>184</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"_Toc13760233" </w:instrText>
          </w:r>
          <w:r>
            <w:fldChar w:fldCharType="separate"/>
          </w:r>
          <w:r>
            <w:rPr>
              <w:rStyle w:val="137"/>
              <w:szCs w:val="24"/>
            </w:rPr>
            <w:t>6.6</w:t>
          </w:r>
          <w:r>
            <w:rPr>
              <w:rStyle w:val="137"/>
              <w:rFonts w:hint="eastAsia"/>
              <w:szCs w:val="24"/>
            </w:rPr>
            <w:t>土壤环境影响分析</w:t>
          </w:r>
          <w:r>
            <w:rPr>
              <w:szCs w:val="24"/>
            </w:rPr>
            <w:tab/>
          </w:r>
          <w:r>
            <w:rPr>
              <w:szCs w:val="24"/>
            </w:rPr>
            <w:fldChar w:fldCharType="begin"/>
          </w:r>
          <w:r>
            <w:rPr>
              <w:szCs w:val="24"/>
            </w:rPr>
            <w:instrText xml:space="preserve"> PAGEREF _Toc13760233 \h </w:instrText>
          </w:r>
          <w:r>
            <w:rPr>
              <w:szCs w:val="24"/>
            </w:rPr>
            <w:fldChar w:fldCharType="separate"/>
          </w:r>
          <w:r>
            <w:rPr>
              <w:szCs w:val="24"/>
            </w:rPr>
            <w:t>185</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"_Toc13760234" </w:instrText>
          </w:r>
          <w:r>
            <w:fldChar w:fldCharType="separate"/>
          </w:r>
          <w:r>
            <w:rPr>
              <w:rStyle w:val="137"/>
              <w:kern w:val="0"/>
              <w:szCs w:val="24"/>
            </w:rPr>
            <w:t>7</w:t>
          </w:r>
          <w:r>
            <w:rPr>
              <w:rStyle w:val="137"/>
              <w:rFonts w:hint="eastAsia"/>
              <w:kern w:val="0"/>
              <w:szCs w:val="24"/>
            </w:rPr>
            <w:t>污染防治对策</w:t>
          </w:r>
          <w:r>
            <w:rPr>
              <w:szCs w:val="24"/>
            </w:rPr>
            <w:tab/>
          </w:r>
          <w:r>
            <w:rPr>
              <w:szCs w:val="24"/>
            </w:rPr>
            <w:fldChar w:fldCharType="begin"/>
          </w:r>
          <w:r>
            <w:rPr>
              <w:szCs w:val="24"/>
            </w:rPr>
            <w:instrText xml:space="preserve"> PAGEREF _Toc13760234 \h </w:instrText>
          </w:r>
          <w:r>
            <w:rPr>
              <w:szCs w:val="24"/>
            </w:rPr>
            <w:fldChar w:fldCharType="separate"/>
          </w:r>
          <w:r>
            <w:rPr>
              <w:szCs w:val="24"/>
            </w:rPr>
            <w:t>187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"_Toc13760235" </w:instrText>
          </w:r>
          <w:r>
            <w:fldChar w:fldCharType="separate"/>
          </w:r>
          <w:r>
            <w:rPr>
              <w:rStyle w:val="137"/>
              <w:szCs w:val="24"/>
              <w:lang w:val="zh-CN"/>
            </w:rPr>
            <w:t>7.1</w:t>
          </w:r>
          <w:r>
            <w:rPr>
              <w:rStyle w:val="137"/>
              <w:rFonts w:hint="eastAsia"/>
              <w:szCs w:val="24"/>
              <w:lang w:val="zh-CN"/>
            </w:rPr>
            <w:t>废气治理措施</w:t>
          </w:r>
          <w:r>
            <w:rPr>
              <w:szCs w:val="24"/>
            </w:rPr>
            <w:tab/>
          </w:r>
          <w:r>
            <w:rPr>
              <w:szCs w:val="24"/>
            </w:rPr>
            <w:fldChar w:fldCharType="begin"/>
          </w:r>
          <w:r>
            <w:rPr>
              <w:szCs w:val="24"/>
            </w:rPr>
            <w:instrText xml:space="preserve"> PAGEREF _Toc13760235 \h </w:instrText>
          </w:r>
          <w:r>
            <w:rPr>
              <w:szCs w:val="24"/>
            </w:rPr>
            <w:fldChar w:fldCharType="separate"/>
          </w:r>
          <w:r>
            <w:rPr>
              <w:szCs w:val="24"/>
            </w:rPr>
            <w:t>187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"_Toc13760236" </w:instrText>
          </w:r>
          <w:r>
            <w:fldChar w:fldCharType="separate"/>
          </w:r>
          <w:r>
            <w:rPr>
              <w:rStyle w:val="137"/>
              <w:szCs w:val="24"/>
            </w:rPr>
            <w:t>7.1.1</w:t>
          </w:r>
          <w:r>
            <w:rPr>
              <w:rStyle w:val="137"/>
              <w:rFonts w:hint="eastAsia"/>
              <w:szCs w:val="24"/>
            </w:rPr>
            <w:t>废物暂存库</w:t>
          </w:r>
          <w:r>
            <w:rPr>
              <w:szCs w:val="24"/>
            </w:rPr>
            <w:tab/>
          </w:r>
          <w:r>
            <w:rPr>
              <w:szCs w:val="24"/>
            </w:rPr>
            <w:fldChar w:fldCharType="begin"/>
          </w:r>
          <w:r>
            <w:rPr>
              <w:szCs w:val="24"/>
            </w:rPr>
            <w:instrText xml:space="preserve"> PAGEREF _Toc13760236 \h </w:instrText>
          </w:r>
          <w:r>
            <w:rPr>
              <w:szCs w:val="24"/>
            </w:rPr>
            <w:fldChar w:fldCharType="separate"/>
          </w:r>
          <w:r>
            <w:rPr>
              <w:szCs w:val="24"/>
            </w:rPr>
            <w:t>187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"_Toc13760237" </w:instrText>
          </w:r>
          <w:r>
            <w:fldChar w:fldCharType="separate"/>
          </w:r>
          <w:r>
            <w:rPr>
              <w:rStyle w:val="137"/>
              <w:szCs w:val="24"/>
            </w:rPr>
            <w:t>7.1.2</w:t>
          </w:r>
          <w:r>
            <w:rPr>
              <w:rStyle w:val="137"/>
              <w:rFonts w:hint="eastAsia"/>
              <w:szCs w:val="24"/>
            </w:rPr>
            <w:t>物化车间</w:t>
          </w:r>
          <w:r>
            <w:rPr>
              <w:szCs w:val="24"/>
            </w:rPr>
            <w:tab/>
          </w:r>
          <w:r>
            <w:rPr>
              <w:szCs w:val="24"/>
            </w:rPr>
            <w:fldChar w:fldCharType="begin"/>
          </w:r>
          <w:r>
            <w:rPr>
              <w:szCs w:val="24"/>
            </w:rPr>
            <w:instrText xml:space="preserve"> PAGEREF _Toc13760237 \h </w:instrText>
          </w:r>
          <w:r>
            <w:rPr>
              <w:szCs w:val="24"/>
            </w:rPr>
            <w:fldChar w:fldCharType="separate"/>
          </w:r>
          <w:r>
            <w:rPr>
              <w:szCs w:val="24"/>
            </w:rPr>
            <w:t>187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"_Toc13760238" </w:instrText>
          </w:r>
          <w:r>
            <w:fldChar w:fldCharType="separate"/>
          </w:r>
          <w:r>
            <w:rPr>
              <w:rStyle w:val="137"/>
              <w:szCs w:val="24"/>
            </w:rPr>
            <w:t xml:space="preserve">7.1.3 </w:t>
          </w:r>
          <w:r>
            <w:rPr>
              <w:rStyle w:val="137"/>
              <w:rFonts w:hint="eastAsia"/>
              <w:szCs w:val="24"/>
            </w:rPr>
            <w:t>焚烧车间</w:t>
          </w:r>
          <w:r>
            <w:rPr>
              <w:szCs w:val="24"/>
            </w:rPr>
            <w:tab/>
          </w:r>
          <w:r>
            <w:rPr>
              <w:szCs w:val="24"/>
            </w:rPr>
            <w:fldChar w:fldCharType="begin"/>
          </w:r>
          <w:r>
            <w:rPr>
              <w:szCs w:val="24"/>
            </w:rPr>
            <w:instrText xml:space="preserve"> PAGEREF _Toc13760238 \h </w:instrText>
          </w:r>
          <w:r>
            <w:rPr>
              <w:szCs w:val="24"/>
            </w:rPr>
            <w:fldChar w:fldCharType="separate"/>
          </w:r>
          <w:r>
            <w:rPr>
              <w:szCs w:val="24"/>
            </w:rPr>
            <w:t>188</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"_Toc13760239" </w:instrText>
          </w:r>
          <w:r>
            <w:fldChar w:fldCharType="separate"/>
          </w:r>
          <w:r>
            <w:rPr>
              <w:rStyle w:val="137"/>
              <w:szCs w:val="24"/>
            </w:rPr>
            <w:t xml:space="preserve">7.1.4 </w:t>
          </w:r>
          <w:r>
            <w:rPr>
              <w:rStyle w:val="137"/>
              <w:rFonts w:hint="eastAsia"/>
              <w:szCs w:val="24"/>
            </w:rPr>
            <w:t>固化车间</w:t>
          </w:r>
          <w:r>
            <w:rPr>
              <w:szCs w:val="24"/>
            </w:rPr>
            <w:tab/>
          </w:r>
          <w:r>
            <w:rPr>
              <w:szCs w:val="24"/>
            </w:rPr>
            <w:fldChar w:fldCharType="begin"/>
          </w:r>
          <w:r>
            <w:rPr>
              <w:szCs w:val="24"/>
            </w:rPr>
            <w:instrText xml:space="preserve"> PAGEREF _Toc13760239 \h </w:instrText>
          </w:r>
          <w:r>
            <w:rPr>
              <w:szCs w:val="24"/>
            </w:rPr>
            <w:fldChar w:fldCharType="separate"/>
          </w:r>
          <w:r>
            <w:rPr>
              <w:szCs w:val="24"/>
            </w:rPr>
            <w:t>193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"_Toc13760240" </w:instrText>
          </w:r>
          <w:r>
            <w:fldChar w:fldCharType="separate"/>
          </w:r>
          <w:r>
            <w:rPr>
              <w:rStyle w:val="137"/>
              <w:szCs w:val="24"/>
            </w:rPr>
            <w:t>7.1.5</w:t>
          </w:r>
          <w:r>
            <w:rPr>
              <w:rStyle w:val="137"/>
              <w:rFonts w:hint="eastAsia"/>
              <w:szCs w:val="24"/>
            </w:rPr>
            <w:t>强制循环蒸发器臭气控制措施</w:t>
          </w:r>
          <w:r>
            <w:rPr>
              <w:szCs w:val="24"/>
            </w:rPr>
            <w:tab/>
          </w:r>
          <w:r>
            <w:rPr>
              <w:szCs w:val="24"/>
            </w:rPr>
            <w:fldChar w:fldCharType="begin"/>
          </w:r>
          <w:r>
            <w:rPr>
              <w:szCs w:val="24"/>
            </w:rPr>
            <w:instrText xml:space="preserve"> PAGEREF _Toc13760240 \h </w:instrText>
          </w:r>
          <w:r>
            <w:rPr>
              <w:szCs w:val="24"/>
            </w:rPr>
            <w:fldChar w:fldCharType="separate"/>
          </w:r>
          <w:r>
            <w:rPr>
              <w:szCs w:val="24"/>
            </w:rPr>
            <w:t>193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"_Toc13760241" </w:instrText>
          </w:r>
          <w:r>
            <w:fldChar w:fldCharType="separate"/>
          </w:r>
          <w:r>
            <w:rPr>
              <w:rStyle w:val="137"/>
              <w:szCs w:val="24"/>
            </w:rPr>
            <w:t>7.1.6</w:t>
          </w:r>
          <w:r>
            <w:rPr>
              <w:rStyle w:val="137"/>
              <w:rFonts w:hint="eastAsia"/>
              <w:szCs w:val="24"/>
            </w:rPr>
            <w:t>收运、贮存过程中的恶臭废气控制措施</w:t>
          </w:r>
          <w:r>
            <w:rPr>
              <w:szCs w:val="24"/>
            </w:rPr>
            <w:tab/>
          </w:r>
          <w:r>
            <w:rPr>
              <w:szCs w:val="24"/>
            </w:rPr>
            <w:fldChar w:fldCharType="begin"/>
          </w:r>
          <w:r>
            <w:rPr>
              <w:szCs w:val="24"/>
            </w:rPr>
            <w:instrText xml:space="preserve"> PAGEREF _Toc13760241 \h </w:instrText>
          </w:r>
          <w:r>
            <w:rPr>
              <w:szCs w:val="24"/>
            </w:rPr>
            <w:fldChar w:fldCharType="separate"/>
          </w:r>
          <w:r>
            <w:rPr>
              <w:szCs w:val="24"/>
            </w:rPr>
            <w:t>194</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"_Toc13760242" </w:instrText>
          </w:r>
          <w:r>
            <w:fldChar w:fldCharType="separate"/>
          </w:r>
          <w:r>
            <w:rPr>
              <w:rStyle w:val="137"/>
              <w:szCs w:val="24"/>
              <w:lang w:val="zh-CN"/>
            </w:rPr>
            <w:t>7.2</w:t>
          </w:r>
          <w:r>
            <w:rPr>
              <w:rStyle w:val="137"/>
              <w:rFonts w:hint="eastAsia"/>
              <w:szCs w:val="24"/>
              <w:lang w:val="zh-CN"/>
            </w:rPr>
            <w:t>废水治理措施</w:t>
          </w:r>
          <w:r>
            <w:rPr>
              <w:szCs w:val="24"/>
            </w:rPr>
            <w:tab/>
          </w:r>
          <w:r>
            <w:rPr>
              <w:szCs w:val="24"/>
            </w:rPr>
            <w:fldChar w:fldCharType="begin"/>
          </w:r>
          <w:r>
            <w:rPr>
              <w:szCs w:val="24"/>
            </w:rPr>
            <w:instrText xml:space="preserve"> PAGEREF _Toc13760242 \h </w:instrText>
          </w:r>
          <w:r>
            <w:rPr>
              <w:szCs w:val="24"/>
            </w:rPr>
            <w:fldChar w:fldCharType="separate"/>
          </w:r>
          <w:r>
            <w:rPr>
              <w:szCs w:val="24"/>
            </w:rPr>
            <w:t>194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"_Toc13760243" </w:instrText>
          </w:r>
          <w:r>
            <w:fldChar w:fldCharType="separate"/>
          </w:r>
          <w:r>
            <w:rPr>
              <w:rStyle w:val="137"/>
              <w:szCs w:val="24"/>
            </w:rPr>
            <w:t>7.2.1</w:t>
          </w:r>
          <w:r>
            <w:rPr>
              <w:rStyle w:val="137"/>
              <w:rFonts w:hint="eastAsia"/>
              <w:szCs w:val="24"/>
            </w:rPr>
            <w:t>废水排放及收集情况</w:t>
          </w:r>
          <w:r>
            <w:rPr>
              <w:szCs w:val="24"/>
            </w:rPr>
            <w:tab/>
          </w:r>
          <w:r>
            <w:rPr>
              <w:szCs w:val="24"/>
            </w:rPr>
            <w:fldChar w:fldCharType="begin"/>
          </w:r>
          <w:r>
            <w:rPr>
              <w:szCs w:val="24"/>
            </w:rPr>
            <w:instrText xml:space="preserve"> PAGEREF _Toc13760243 \h </w:instrText>
          </w:r>
          <w:r>
            <w:rPr>
              <w:szCs w:val="24"/>
            </w:rPr>
            <w:fldChar w:fldCharType="separate"/>
          </w:r>
          <w:r>
            <w:rPr>
              <w:szCs w:val="24"/>
            </w:rPr>
            <w:t>194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"_Toc13760253" </w:instrText>
          </w:r>
          <w:r>
            <w:fldChar w:fldCharType="separate"/>
          </w:r>
          <w:r>
            <w:rPr>
              <w:rStyle w:val="137"/>
              <w:szCs w:val="24"/>
            </w:rPr>
            <w:t>7.2.2</w:t>
          </w:r>
          <w:r>
            <w:rPr>
              <w:rStyle w:val="137"/>
              <w:rFonts w:hint="eastAsia"/>
              <w:szCs w:val="24"/>
            </w:rPr>
            <w:t>厂区污水处理设施</w:t>
          </w:r>
          <w:r>
            <w:rPr>
              <w:szCs w:val="24"/>
            </w:rPr>
            <w:tab/>
          </w:r>
          <w:r>
            <w:rPr>
              <w:szCs w:val="24"/>
            </w:rPr>
            <w:fldChar w:fldCharType="begin"/>
          </w:r>
          <w:r>
            <w:rPr>
              <w:szCs w:val="24"/>
            </w:rPr>
            <w:instrText xml:space="preserve"> PAGEREF _Toc13760253 \h </w:instrText>
          </w:r>
          <w:r>
            <w:rPr>
              <w:szCs w:val="24"/>
            </w:rPr>
            <w:fldChar w:fldCharType="separate"/>
          </w:r>
          <w:r>
            <w:rPr>
              <w:szCs w:val="24"/>
            </w:rPr>
            <w:t>196</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"_Toc13760261" </w:instrText>
          </w:r>
          <w:r>
            <w:fldChar w:fldCharType="separate"/>
          </w:r>
          <w:r>
            <w:rPr>
              <w:rStyle w:val="137"/>
              <w:szCs w:val="24"/>
              <w:lang w:val="zh-CN"/>
            </w:rPr>
            <w:t>7.3</w:t>
          </w:r>
          <w:r>
            <w:rPr>
              <w:rStyle w:val="137"/>
              <w:rFonts w:hint="eastAsia"/>
              <w:szCs w:val="24"/>
              <w:lang w:val="zh-CN"/>
            </w:rPr>
            <w:t>固体废物治理措施</w:t>
          </w:r>
          <w:r>
            <w:rPr>
              <w:szCs w:val="24"/>
            </w:rPr>
            <w:tab/>
          </w:r>
          <w:r>
            <w:rPr>
              <w:szCs w:val="24"/>
            </w:rPr>
            <w:fldChar w:fldCharType="begin"/>
          </w:r>
          <w:r>
            <w:rPr>
              <w:szCs w:val="24"/>
            </w:rPr>
            <w:instrText xml:space="preserve"> PAGEREF _Toc13760261 \h </w:instrText>
          </w:r>
          <w:r>
            <w:rPr>
              <w:szCs w:val="24"/>
            </w:rPr>
            <w:fldChar w:fldCharType="separate"/>
          </w:r>
          <w:r>
            <w:rPr>
              <w:szCs w:val="24"/>
            </w:rPr>
            <w:t>203</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"_Toc13760262" </w:instrText>
          </w:r>
          <w:r>
            <w:fldChar w:fldCharType="separate"/>
          </w:r>
          <w:r>
            <w:rPr>
              <w:rStyle w:val="137"/>
              <w:szCs w:val="24"/>
              <w:lang w:val="zh-CN"/>
            </w:rPr>
            <w:t>7.4</w:t>
          </w:r>
          <w:r>
            <w:rPr>
              <w:rStyle w:val="137"/>
              <w:rFonts w:hint="eastAsia"/>
              <w:szCs w:val="24"/>
              <w:lang w:val="zh-CN"/>
            </w:rPr>
            <w:t>噪声治理措施</w:t>
          </w:r>
          <w:r>
            <w:rPr>
              <w:szCs w:val="24"/>
            </w:rPr>
            <w:tab/>
          </w:r>
          <w:r>
            <w:rPr>
              <w:szCs w:val="24"/>
            </w:rPr>
            <w:fldChar w:fldCharType="begin"/>
          </w:r>
          <w:r>
            <w:rPr>
              <w:szCs w:val="24"/>
            </w:rPr>
            <w:instrText xml:space="preserve"> PAGEREF _Toc13760262 \h </w:instrText>
          </w:r>
          <w:r>
            <w:rPr>
              <w:szCs w:val="24"/>
            </w:rPr>
            <w:fldChar w:fldCharType="separate"/>
          </w:r>
          <w:r>
            <w:rPr>
              <w:szCs w:val="24"/>
            </w:rPr>
            <w:t>204</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"_Toc13760263" </w:instrText>
          </w:r>
          <w:r>
            <w:fldChar w:fldCharType="separate"/>
          </w:r>
          <w:r>
            <w:rPr>
              <w:rStyle w:val="137"/>
              <w:szCs w:val="24"/>
              <w:lang w:val="zh-CN"/>
            </w:rPr>
            <w:t>7.5</w:t>
          </w:r>
          <w:r>
            <w:rPr>
              <w:rStyle w:val="137"/>
              <w:rFonts w:hint="eastAsia"/>
              <w:szCs w:val="24"/>
              <w:lang w:val="zh-CN"/>
            </w:rPr>
            <w:t>储运过程污染治理措施</w:t>
          </w:r>
          <w:r>
            <w:rPr>
              <w:szCs w:val="24"/>
            </w:rPr>
            <w:tab/>
          </w:r>
          <w:r>
            <w:rPr>
              <w:szCs w:val="24"/>
            </w:rPr>
            <w:fldChar w:fldCharType="begin"/>
          </w:r>
          <w:r>
            <w:rPr>
              <w:szCs w:val="24"/>
            </w:rPr>
            <w:instrText xml:space="preserve"> PAGEREF _Toc13760263 \h </w:instrText>
          </w:r>
          <w:r>
            <w:rPr>
              <w:szCs w:val="24"/>
            </w:rPr>
            <w:fldChar w:fldCharType="separate"/>
          </w:r>
          <w:r>
            <w:rPr>
              <w:szCs w:val="24"/>
            </w:rPr>
            <w:t>204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"_Toc13760264" </w:instrText>
          </w:r>
          <w:r>
            <w:fldChar w:fldCharType="separate"/>
          </w:r>
          <w:r>
            <w:rPr>
              <w:rStyle w:val="137"/>
              <w:szCs w:val="24"/>
            </w:rPr>
            <w:t>7.5.1</w:t>
          </w:r>
          <w:r>
            <w:rPr>
              <w:rStyle w:val="137"/>
              <w:rFonts w:hint="eastAsia"/>
              <w:szCs w:val="24"/>
            </w:rPr>
            <w:t>危险废物收集、运输过程污染防治措施</w:t>
          </w:r>
          <w:r>
            <w:rPr>
              <w:szCs w:val="24"/>
            </w:rPr>
            <w:tab/>
          </w:r>
          <w:r>
            <w:rPr>
              <w:szCs w:val="24"/>
            </w:rPr>
            <w:fldChar w:fldCharType="begin"/>
          </w:r>
          <w:r>
            <w:rPr>
              <w:szCs w:val="24"/>
            </w:rPr>
            <w:instrText xml:space="preserve"> PAGEREF _Toc13760264 \h </w:instrText>
          </w:r>
          <w:r>
            <w:rPr>
              <w:szCs w:val="24"/>
            </w:rPr>
            <w:fldChar w:fldCharType="separate"/>
          </w:r>
          <w:r>
            <w:rPr>
              <w:szCs w:val="24"/>
            </w:rPr>
            <w:t>205</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"_Toc13760265" </w:instrText>
          </w:r>
          <w:r>
            <w:fldChar w:fldCharType="separate"/>
          </w:r>
          <w:r>
            <w:rPr>
              <w:rStyle w:val="137"/>
              <w:szCs w:val="24"/>
            </w:rPr>
            <w:t>7.5.2</w:t>
          </w:r>
          <w:r>
            <w:rPr>
              <w:rStyle w:val="137"/>
              <w:rFonts w:hint="eastAsia"/>
              <w:szCs w:val="24"/>
            </w:rPr>
            <w:t>危险废物贮存过程污染防治措施</w:t>
          </w:r>
          <w:r>
            <w:rPr>
              <w:szCs w:val="24"/>
            </w:rPr>
            <w:tab/>
          </w:r>
          <w:r>
            <w:rPr>
              <w:szCs w:val="24"/>
            </w:rPr>
            <w:fldChar w:fldCharType="begin"/>
          </w:r>
          <w:r>
            <w:rPr>
              <w:szCs w:val="24"/>
            </w:rPr>
            <w:instrText xml:space="preserve"> PAGEREF _Toc13760265 \h </w:instrText>
          </w:r>
          <w:r>
            <w:rPr>
              <w:szCs w:val="24"/>
            </w:rPr>
            <w:fldChar w:fldCharType="separate"/>
          </w:r>
          <w:r>
            <w:rPr>
              <w:szCs w:val="24"/>
            </w:rPr>
            <w:t>206</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"_Toc13760266" </w:instrText>
          </w:r>
          <w:r>
            <w:fldChar w:fldCharType="separate"/>
          </w:r>
          <w:r>
            <w:rPr>
              <w:rStyle w:val="137"/>
              <w:szCs w:val="24"/>
            </w:rPr>
            <w:t>7.5.3</w:t>
          </w:r>
          <w:r>
            <w:rPr>
              <w:rStyle w:val="137"/>
              <w:rFonts w:hint="eastAsia"/>
              <w:szCs w:val="24"/>
            </w:rPr>
            <w:t>储运过程环境影响分析小结</w:t>
          </w:r>
          <w:r>
            <w:rPr>
              <w:szCs w:val="24"/>
            </w:rPr>
            <w:tab/>
          </w:r>
          <w:r>
            <w:rPr>
              <w:szCs w:val="24"/>
            </w:rPr>
            <w:fldChar w:fldCharType="begin"/>
          </w:r>
          <w:r>
            <w:rPr>
              <w:szCs w:val="24"/>
            </w:rPr>
            <w:instrText xml:space="preserve"> PAGEREF _Toc13760266 \h </w:instrText>
          </w:r>
          <w:r>
            <w:rPr>
              <w:szCs w:val="24"/>
            </w:rPr>
            <w:fldChar w:fldCharType="separate"/>
          </w:r>
          <w:r>
            <w:rPr>
              <w:szCs w:val="24"/>
            </w:rPr>
            <w:t>207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"_Toc13760267" </w:instrText>
          </w:r>
          <w:r>
            <w:fldChar w:fldCharType="separate"/>
          </w:r>
          <w:r>
            <w:rPr>
              <w:rStyle w:val="137"/>
              <w:szCs w:val="24"/>
              <w:lang w:val="zh-CN"/>
            </w:rPr>
            <w:t>7.6</w:t>
          </w:r>
          <w:r>
            <w:rPr>
              <w:rStyle w:val="137"/>
              <w:rFonts w:hint="eastAsia"/>
              <w:szCs w:val="24"/>
              <w:lang w:val="zh-CN"/>
            </w:rPr>
            <w:t>地下水环境保护措施及对策</w:t>
          </w:r>
          <w:r>
            <w:rPr>
              <w:szCs w:val="24"/>
            </w:rPr>
            <w:tab/>
          </w:r>
          <w:r>
            <w:rPr>
              <w:szCs w:val="24"/>
            </w:rPr>
            <w:fldChar w:fldCharType="begin"/>
          </w:r>
          <w:r>
            <w:rPr>
              <w:szCs w:val="24"/>
            </w:rPr>
            <w:instrText xml:space="preserve"> PAGEREF _Toc13760267 \h </w:instrText>
          </w:r>
          <w:r>
            <w:rPr>
              <w:szCs w:val="24"/>
            </w:rPr>
            <w:fldChar w:fldCharType="separate"/>
          </w:r>
          <w:r>
            <w:rPr>
              <w:szCs w:val="24"/>
            </w:rPr>
            <w:t>207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"_Toc13760268" </w:instrText>
          </w:r>
          <w:r>
            <w:fldChar w:fldCharType="separate"/>
          </w:r>
          <w:r>
            <w:rPr>
              <w:rStyle w:val="137"/>
              <w:szCs w:val="24"/>
            </w:rPr>
            <w:t xml:space="preserve">7.6.1 </w:t>
          </w:r>
          <w:r>
            <w:rPr>
              <w:rStyle w:val="137"/>
              <w:rFonts w:hint="eastAsia"/>
              <w:szCs w:val="24"/>
            </w:rPr>
            <w:t>源头控制措施</w:t>
          </w:r>
          <w:r>
            <w:rPr>
              <w:szCs w:val="24"/>
            </w:rPr>
            <w:tab/>
          </w:r>
          <w:r>
            <w:rPr>
              <w:szCs w:val="24"/>
            </w:rPr>
            <w:fldChar w:fldCharType="begin"/>
          </w:r>
          <w:r>
            <w:rPr>
              <w:szCs w:val="24"/>
            </w:rPr>
            <w:instrText xml:space="preserve"> PAGEREF _Toc13760268 \h </w:instrText>
          </w:r>
          <w:r>
            <w:rPr>
              <w:szCs w:val="24"/>
            </w:rPr>
            <w:fldChar w:fldCharType="separate"/>
          </w:r>
          <w:r>
            <w:rPr>
              <w:szCs w:val="24"/>
            </w:rPr>
            <w:t>207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"_Toc13760269" </w:instrText>
          </w:r>
          <w:r>
            <w:fldChar w:fldCharType="separate"/>
          </w:r>
          <w:r>
            <w:rPr>
              <w:rStyle w:val="137"/>
              <w:szCs w:val="24"/>
            </w:rPr>
            <w:t>7.6.2</w:t>
          </w:r>
          <w:r>
            <w:rPr>
              <w:rStyle w:val="137"/>
              <w:rFonts w:hint="eastAsia"/>
              <w:szCs w:val="24"/>
            </w:rPr>
            <w:t>分区防控措施</w:t>
          </w:r>
          <w:r>
            <w:rPr>
              <w:szCs w:val="24"/>
            </w:rPr>
            <w:tab/>
          </w:r>
          <w:r>
            <w:rPr>
              <w:szCs w:val="24"/>
            </w:rPr>
            <w:fldChar w:fldCharType="begin"/>
          </w:r>
          <w:r>
            <w:rPr>
              <w:szCs w:val="24"/>
            </w:rPr>
            <w:instrText xml:space="preserve"> PAGEREF _Toc13760269 \h </w:instrText>
          </w:r>
          <w:r>
            <w:rPr>
              <w:szCs w:val="24"/>
            </w:rPr>
            <w:fldChar w:fldCharType="separate"/>
          </w:r>
          <w:r>
            <w:rPr>
              <w:szCs w:val="24"/>
            </w:rPr>
            <w:t>208</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"_Toc13760270" </w:instrText>
          </w:r>
          <w:r>
            <w:fldChar w:fldCharType="separate"/>
          </w:r>
          <w:r>
            <w:rPr>
              <w:rStyle w:val="137"/>
              <w:szCs w:val="24"/>
              <w:lang w:val="zh-CN"/>
            </w:rPr>
            <w:t>7.7</w:t>
          </w:r>
          <w:r>
            <w:rPr>
              <w:rStyle w:val="137"/>
              <w:rFonts w:hint="eastAsia"/>
              <w:szCs w:val="24"/>
              <w:lang w:val="zh-CN"/>
            </w:rPr>
            <w:t>污染防治“三同时”验收一览表</w:t>
          </w:r>
          <w:r>
            <w:rPr>
              <w:szCs w:val="24"/>
            </w:rPr>
            <w:tab/>
          </w:r>
          <w:r>
            <w:rPr>
              <w:szCs w:val="24"/>
            </w:rPr>
            <w:fldChar w:fldCharType="begin"/>
          </w:r>
          <w:r>
            <w:rPr>
              <w:szCs w:val="24"/>
            </w:rPr>
            <w:instrText xml:space="preserve"> PAGEREF _Toc13760270 \h </w:instrText>
          </w:r>
          <w:r>
            <w:rPr>
              <w:szCs w:val="24"/>
            </w:rPr>
            <w:fldChar w:fldCharType="separate"/>
          </w:r>
          <w:r>
            <w:rPr>
              <w:szCs w:val="24"/>
            </w:rPr>
            <w:t>208</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"_Toc13760271" </w:instrText>
          </w:r>
          <w:r>
            <w:fldChar w:fldCharType="separate"/>
          </w:r>
          <w:r>
            <w:rPr>
              <w:rStyle w:val="137"/>
              <w:szCs w:val="24"/>
            </w:rPr>
            <w:t>8.</w:t>
          </w:r>
          <w:r>
            <w:rPr>
              <w:rStyle w:val="137"/>
              <w:rFonts w:hint="eastAsia"/>
              <w:szCs w:val="24"/>
            </w:rPr>
            <w:t>环境风险评价</w:t>
          </w:r>
          <w:r>
            <w:rPr>
              <w:szCs w:val="24"/>
            </w:rPr>
            <w:tab/>
          </w:r>
          <w:r>
            <w:rPr>
              <w:szCs w:val="24"/>
            </w:rPr>
            <w:fldChar w:fldCharType="begin"/>
          </w:r>
          <w:r>
            <w:rPr>
              <w:szCs w:val="24"/>
            </w:rPr>
            <w:instrText xml:space="preserve"> PAGEREF _Toc13760271 \h </w:instrText>
          </w:r>
          <w:r>
            <w:rPr>
              <w:szCs w:val="24"/>
            </w:rPr>
            <w:fldChar w:fldCharType="separate"/>
          </w:r>
          <w:r>
            <w:rPr>
              <w:szCs w:val="24"/>
            </w:rPr>
            <w:t>213</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"_Toc13760272" </w:instrText>
          </w:r>
          <w:r>
            <w:fldChar w:fldCharType="separate"/>
          </w:r>
          <w:r>
            <w:rPr>
              <w:rStyle w:val="137"/>
              <w:szCs w:val="24"/>
            </w:rPr>
            <w:t>8.1</w:t>
          </w:r>
          <w:r>
            <w:rPr>
              <w:rStyle w:val="137"/>
              <w:rFonts w:hint="eastAsia"/>
              <w:szCs w:val="24"/>
            </w:rPr>
            <w:t>风险调查</w:t>
          </w:r>
          <w:r>
            <w:rPr>
              <w:szCs w:val="24"/>
            </w:rPr>
            <w:tab/>
          </w:r>
          <w:r>
            <w:rPr>
              <w:szCs w:val="24"/>
            </w:rPr>
            <w:fldChar w:fldCharType="begin"/>
          </w:r>
          <w:r>
            <w:rPr>
              <w:szCs w:val="24"/>
            </w:rPr>
            <w:instrText xml:space="preserve"> PAGEREF _Toc13760272 \h </w:instrText>
          </w:r>
          <w:r>
            <w:rPr>
              <w:szCs w:val="24"/>
            </w:rPr>
            <w:fldChar w:fldCharType="separate"/>
          </w:r>
          <w:r>
            <w:rPr>
              <w:szCs w:val="24"/>
            </w:rPr>
            <w:t>213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"_Toc13760273" </w:instrText>
          </w:r>
          <w:r>
            <w:fldChar w:fldCharType="separate"/>
          </w:r>
          <w:r>
            <w:rPr>
              <w:rStyle w:val="137"/>
              <w:szCs w:val="24"/>
            </w:rPr>
            <w:t>8.1.1</w:t>
          </w:r>
          <w:r>
            <w:rPr>
              <w:rStyle w:val="137"/>
              <w:rFonts w:hint="eastAsia"/>
              <w:szCs w:val="24"/>
            </w:rPr>
            <w:t>建设项目风险源调查</w:t>
          </w:r>
          <w:r>
            <w:rPr>
              <w:szCs w:val="24"/>
            </w:rPr>
            <w:tab/>
          </w:r>
          <w:r>
            <w:rPr>
              <w:szCs w:val="24"/>
            </w:rPr>
            <w:fldChar w:fldCharType="begin"/>
          </w:r>
          <w:r>
            <w:rPr>
              <w:szCs w:val="24"/>
            </w:rPr>
            <w:instrText xml:space="preserve"> PAGEREF _Toc13760273 \h </w:instrText>
          </w:r>
          <w:r>
            <w:rPr>
              <w:szCs w:val="24"/>
            </w:rPr>
            <w:fldChar w:fldCharType="separate"/>
          </w:r>
          <w:r>
            <w:rPr>
              <w:szCs w:val="24"/>
            </w:rPr>
            <w:t>213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"_Toc13760274" </w:instrText>
          </w:r>
          <w:r>
            <w:fldChar w:fldCharType="separate"/>
          </w:r>
          <w:r>
            <w:rPr>
              <w:rStyle w:val="137"/>
              <w:szCs w:val="24"/>
            </w:rPr>
            <w:t>8.1.2</w:t>
          </w:r>
          <w:r>
            <w:rPr>
              <w:rStyle w:val="137"/>
              <w:rFonts w:hint="eastAsia"/>
              <w:szCs w:val="24"/>
            </w:rPr>
            <w:t>环境敏感目标调查</w:t>
          </w:r>
          <w:r>
            <w:rPr>
              <w:szCs w:val="24"/>
            </w:rPr>
            <w:tab/>
          </w:r>
          <w:r>
            <w:rPr>
              <w:szCs w:val="24"/>
            </w:rPr>
            <w:fldChar w:fldCharType="begin"/>
          </w:r>
          <w:r>
            <w:rPr>
              <w:szCs w:val="24"/>
            </w:rPr>
            <w:instrText xml:space="preserve"> PAGEREF _Toc13760274 \h </w:instrText>
          </w:r>
          <w:r>
            <w:rPr>
              <w:szCs w:val="24"/>
            </w:rPr>
            <w:fldChar w:fldCharType="separate"/>
          </w:r>
          <w:r>
            <w:rPr>
              <w:szCs w:val="24"/>
            </w:rPr>
            <w:t>214</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"_Toc13760275" </w:instrText>
          </w:r>
          <w:r>
            <w:fldChar w:fldCharType="separate"/>
          </w:r>
          <w:r>
            <w:rPr>
              <w:rStyle w:val="137"/>
              <w:szCs w:val="24"/>
            </w:rPr>
            <w:t>8.2</w:t>
          </w:r>
          <w:r>
            <w:rPr>
              <w:rStyle w:val="137"/>
              <w:rFonts w:hint="eastAsia"/>
              <w:szCs w:val="24"/>
            </w:rPr>
            <w:t>环境风险潜势初判</w:t>
          </w:r>
          <w:r>
            <w:rPr>
              <w:szCs w:val="24"/>
            </w:rPr>
            <w:tab/>
          </w:r>
          <w:r>
            <w:rPr>
              <w:szCs w:val="24"/>
            </w:rPr>
            <w:fldChar w:fldCharType="begin"/>
          </w:r>
          <w:r>
            <w:rPr>
              <w:szCs w:val="24"/>
            </w:rPr>
            <w:instrText xml:space="preserve"> PAGEREF _Toc13760275 \h </w:instrText>
          </w:r>
          <w:r>
            <w:rPr>
              <w:szCs w:val="24"/>
            </w:rPr>
            <w:fldChar w:fldCharType="separate"/>
          </w:r>
          <w:r>
            <w:rPr>
              <w:szCs w:val="24"/>
            </w:rPr>
            <w:t>214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"_Toc13760276" </w:instrText>
          </w:r>
          <w:r>
            <w:fldChar w:fldCharType="separate"/>
          </w:r>
          <w:r>
            <w:rPr>
              <w:rStyle w:val="137"/>
              <w:szCs w:val="24"/>
            </w:rPr>
            <w:t>8.2.1P</w:t>
          </w:r>
          <w:r>
            <w:rPr>
              <w:rStyle w:val="137"/>
              <w:rFonts w:hint="eastAsia"/>
              <w:szCs w:val="24"/>
            </w:rPr>
            <w:t>的分级确定</w:t>
          </w:r>
          <w:r>
            <w:rPr>
              <w:szCs w:val="24"/>
            </w:rPr>
            <w:tab/>
          </w:r>
          <w:r>
            <w:rPr>
              <w:szCs w:val="24"/>
            </w:rPr>
            <w:fldChar w:fldCharType="begin"/>
          </w:r>
          <w:r>
            <w:rPr>
              <w:szCs w:val="24"/>
            </w:rPr>
            <w:instrText xml:space="preserve"> PAGEREF _Toc13760276 \h </w:instrText>
          </w:r>
          <w:r>
            <w:rPr>
              <w:szCs w:val="24"/>
            </w:rPr>
            <w:fldChar w:fldCharType="separate"/>
          </w:r>
          <w:r>
            <w:rPr>
              <w:szCs w:val="24"/>
            </w:rPr>
            <w:t>214</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"_Toc13760277" </w:instrText>
          </w:r>
          <w:r>
            <w:fldChar w:fldCharType="separate"/>
          </w:r>
          <w:r>
            <w:rPr>
              <w:rStyle w:val="137"/>
              <w:szCs w:val="24"/>
            </w:rPr>
            <w:t>8.2.2E</w:t>
          </w:r>
          <w:r>
            <w:rPr>
              <w:rStyle w:val="137"/>
              <w:rFonts w:hint="eastAsia"/>
              <w:szCs w:val="24"/>
            </w:rPr>
            <w:t>的分级确定</w:t>
          </w:r>
          <w:r>
            <w:rPr>
              <w:szCs w:val="24"/>
            </w:rPr>
            <w:tab/>
          </w:r>
          <w:r>
            <w:rPr>
              <w:szCs w:val="24"/>
            </w:rPr>
            <w:fldChar w:fldCharType="begin"/>
          </w:r>
          <w:r>
            <w:rPr>
              <w:szCs w:val="24"/>
            </w:rPr>
            <w:instrText xml:space="preserve"> PAGEREF _Toc13760277 \h </w:instrText>
          </w:r>
          <w:r>
            <w:rPr>
              <w:szCs w:val="24"/>
            </w:rPr>
            <w:fldChar w:fldCharType="separate"/>
          </w:r>
          <w:r>
            <w:rPr>
              <w:szCs w:val="24"/>
            </w:rPr>
            <w:t>215</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"_Toc13760278" </w:instrText>
          </w:r>
          <w:r>
            <w:fldChar w:fldCharType="separate"/>
          </w:r>
          <w:r>
            <w:rPr>
              <w:rStyle w:val="137"/>
              <w:szCs w:val="24"/>
            </w:rPr>
            <w:t>8.2.3</w:t>
          </w:r>
          <w:r>
            <w:rPr>
              <w:rStyle w:val="137"/>
              <w:rFonts w:hint="eastAsia"/>
              <w:szCs w:val="24"/>
            </w:rPr>
            <w:t>环境风险潜势划分</w:t>
          </w:r>
          <w:r>
            <w:rPr>
              <w:szCs w:val="24"/>
            </w:rPr>
            <w:tab/>
          </w:r>
          <w:r>
            <w:rPr>
              <w:szCs w:val="24"/>
            </w:rPr>
            <w:fldChar w:fldCharType="begin"/>
          </w:r>
          <w:r>
            <w:rPr>
              <w:szCs w:val="24"/>
            </w:rPr>
            <w:instrText xml:space="preserve"> PAGEREF _Toc13760278 \h </w:instrText>
          </w:r>
          <w:r>
            <w:rPr>
              <w:szCs w:val="24"/>
            </w:rPr>
            <w:fldChar w:fldCharType="separate"/>
          </w:r>
          <w:r>
            <w:rPr>
              <w:szCs w:val="24"/>
            </w:rPr>
            <w:t>217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"_Toc13760279" </w:instrText>
          </w:r>
          <w:r>
            <w:fldChar w:fldCharType="separate"/>
          </w:r>
          <w:r>
            <w:rPr>
              <w:rStyle w:val="137"/>
              <w:szCs w:val="24"/>
            </w:rPr>
            <w:t>8.3</w:t>
          </w:r>
          <w:r>
            <w:rPr>
              <w:rStyle w:val="137"/>
              <w:rFonts w:hint="eastAsia"/>
              <w:szCs w:val="24"/>
            </w:rPr>
            <w:t>评价工作等级划分</w:t>
          </w:r>
          <w:r>
            <w:rPr>
              <w:szCs w:val="24"/>
            </w:rPr>
            <w:tab/>
          </w:r>
          <w:r>
            <w:rPr>
              <w:szCs w:val="24"/>
            </w:rPr>
            <w:fldChar w:fldCharType="begin"/>
          </w:r>
          <w:r>
            <w:rPr>
              <w:szCs w:val="24"/>
            </w:rPr>
            <w:instrText xml:space="preserve"> PAGEREF _Toc13760279 \h </w:instrText>
          </w:r>
          <w:r>
            <w:rPr>
              <w:szCs w:val="24"/>
            </w:rPr>
            <w:fldChar w:fldCharType="separate"/>
          </w:r>
          <w:r>
            <w:rPr>
              <w:szCs w:val="24"/>
            </w:rPr>
            <w:t>218</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"_Toc13760280" </w:instrText>
          </w:r>
          <w:r>
            <w:fldChar w:fldCharType="separate"/>
          </w:r>
          <w:r>
            <w:rPr>
              <w:rStyle w:val="137"/>
              <w:szCs w:val="24"/>
            </w:rPr>
            <w:t>8.4</w:t>
          </w:r>
          <w:r>
            <w:rPr>
              <w:rStyle w:val="137"/>
              <w:rFonts w:hint="eastAsia"/>
              <w:szCs w:val="24"/>
            </w:rPr>
            <w:t>风险识别</w:t>
          </w:r>
          <w:r>
            <w:rPr>
              <w:szCs w:val="24"/>
            </w:rPr>
            <w:tab/>
          </w:r>
          <w:r>
            <w:rPr>
              <w:szCs w:val="24"/>
            </w:rPr>
            <w:fldChar w:fldCharType="begin"/>
          </w:r>
          <w:r>
            <w:rPr>
              <w:szCs w:val="24"/>
            </w:rPr>
            <w:instrText xml:space="preserve"> PAGEREF _Toc13760280 \h </w:instrText>
          </w:r>
          <w:r>
            <w:rPr>
              <w:szCs w:val="24"/>
            </w:rPr>
            <w:fldChar w:fldCharType="separate"/>
          </w:r>
          <w:r>
            <w:rPr>
              <w:szCs w:val="24"/>
            </w:rPr>
            <w:t>218</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"_Toc13760281" </w:instrText>
          </w:r>
          <w:r>
            <w:fldChar w:fldCharType="separate"/>
          </w:r>
          <w:r>
            <w:rPr>
              <w:rStyle w:val="137"/>
              <w:szCs w:val="24"/>
            </w:rPr>
            <w:t>8.4.1</w:t>
          </w:r>
          <w:r>
            <w:rPr>
              <w:rStyle w:val="137"/>
              <w:rFonts w:hint="eastAsia"/>
              <w:szCs w:val="24"/>
            </w:rPr>
            <w:t>物质潜在风险性识别</w:t>
          </w:r>
          <w:r>
            <w:rPr>
              <w:szCs w:val="24"/>
            </w:rPr>
            <w:tab/>
          </w:r>
          <w:r>
            <w:rPr>
              <w:szCs w:val="24"/>
            </w:rPr>
            <w:fldChar w:fldCharType="begin"/>
          </w:r>
          <w:r>
            <w:rPr>
              <w:szCs w:val="24"/>
            </w:rPr>
            <w:instrText xml:space="preserve"> PAGEREF _Toc13760281 \h </w:instrText>
          </w:r>
          <w:r>
            <w:rPr>
              <w:szCs w:val="24"/>
            </w:rPr>
            <w:fldChar w:fldCharType="separate"/>
          </w:r>
          <w:r>
            <w:rPr>
              <w:szCs w:val="24"/>
            </w:rPr>
            <w:t>218</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"_Toc13760284" </w:instrText>
          </w:r>
          <w:r>
            <w:fldChar w:fldCharType="separate"/>
          </w:r>
          <w:r>
            <w:rPr>
              <w:rStyle w:val="137"/>
              <w:szCs w:val="24"/>
            </w:rPr>
            <w:t>8.4.2</w:t>
          </w:r>
          <w:r>
            <w:rPr>
              <w:rStyle w:val="137"/>
              <w:rFonts w:hint="eastAsia"/>
              <w:szCs w:val="24"/>
            </w:rPr>
            <w:t>生产过程潜在危险性识别结果</w:t>
          </w:r>
          <w:r>
            <w:rPr>
              <w:szCs w:val="24"/>
            </w:rPr>
            <w:tab/>
          </w:r>
          <w:r>
            <w:rPr>
              <w:szCs w:val="24"/>
            </w:rPr>
            <w:fldChar w:fldCharType="begin"/>
          </w:r>
          <w:r>
            <w:rPr>
              <w:szCs w:val="24"/>
            </w:rPr>
            <w:instrText xml:space="preserve"> PAGEREF _Toc13760284 \h </w:instrText>
          </w:r>
          <w:r>
            <w:rPr>
              <w:szCs w:val="24"/>
            </w:rPr>
            <w:fldChar w:fldCharType="separate"/>
          </w:r>
          <w:r>
            <w:rPr>
              <w:szCs w:val="24"/>
            </w:rPr>
            <w:t>220</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"_Toc13760285" </w:instrText>
          </w:r>
          <w:r>
            <w:fldChar w:fldCharType="separate"/>
          </w:r>
          <w:r>
            <w:rPr>
              <w:rStyle w:val="137"/>
              <w:szCs w:val="24"/>
            </w:rPr>
            <w:t>8.5</w:t>
          </w:r>
          <w:r>
            <w:rPr>
              <w:rStyle w:val="137"/>
              <w:rFonts w:hint="eastAsia"/>
              <w:szCs w:val="24"/>
            </w:rPr>
            <w:t>风险事故情形分析</w:t>
          </w:r>
          <w:r>
            <w:rPr>
              <w:szCs w:val="24"/>
            </w:rPr>
            <w:tab/>
          </w:r>
          <w:r>
            <w:rPr>
              <w:szCs w:val="24"/>
            </w:rPr>
            <w:fldChar w:fldCharType="begin"/>
          </w:r>
          <w:r>
            <w:rPr>
              <w:szCs w:val="24"/>
            </w:rPr>
            <w:instrText xml:space="preserve"> PAGEREF _Toc13760285 \h </w:instrText>
          </w:r>
          <w:r>
            <w:rPr>
              <w:szCs w:val="24"/>
            </w:rPr>
            <w:fldChar w:fldCharType="separate"/>
          </w:r>
          <w:r>
            <w:rPr>
              <w:szCs w:val="24"/>
            </w:rPr>
            <w:t>221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"_Toc13760286" </w:instrText>
          </w:r>
          <w:r>
            <w:fldChar w:fldCharType="separate"/>
          </w:r>
          <w:r>
            <w:rPr>
              <w:rStyle w:val="137"/>
              <w:szCs w:val="24"/>
            </w:rPr>
            <w:t>8.5.1</w:t>
          </w:r>
          <w:r>
            <w:rPr>
              <w:rStyle w:val="137"/>
              <w:rFonts w:hint="eastAsia"/>
              <w:szCs w:val="24"/>
            </w:rPr>
            <w:t>风险事故情形设定原则</w:t>
          </w:r>
          <w:r>
            <w:rPr>
              <w:szCs w:val="24"/>
            </w:rPr>
            <w:tab/>
          </w:r>
          <w:r>
            <w:rPr>
              <w:szCs w:val="24"/>
            </w:rPr>
            <w:fldChar w:fldCharType="begin"/>
          </w:r>
          <w:r>
            <w:rPr>
              <w:szCs w:val="24"/>
            </w:rPr>
            <w:instrText xml:space="preserve"> PAGEREF _Toc13760286 \h </w:instrText>
          </w:r>
          <w:r>
            <w:rPr>
              <w:szCs w:val="24"/>
            </w:rPr>
            <w:fldChar w:fldCharType="separate"/>
          </w:r>
          <w:r>
            <w:rPr>
              <w:szCs w:val="24"/>
            </w:rPr>
            <w:t>221</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"_Toc13760287" </w:instrText>
          </w:r>
          <w:r>
            <w:fldChar w:fldCharType="separate"/>
          </w:r>
          <w:r>
            <w:rPr>
              <w:rStyle w:val="137"/>
              <w:szCs w:val="24"/>
            </w:rPr>
            <w:t>8.5.2</w:t>
          </w:r>
          <w:r>
            <w:rPr>
              <w:rStyle w:val="137"/>
              <w:rFonts w:hint="eastAsia"/>
              <w:szCs w:val="24"/>
            </w:rPr>
            <w:t>源项分析</w:t>
          </w:r>
          <w:r>
            <w:rPr>
              <w:szCs w:val="24"/>
            </w:rPr>
            <w:tab/>
          </w:r>
          <w:r>
            <w:rPr>
              <w:szCs w:val="24"/>
            </w:rPr>
            <w:fldChar w:fldCharType="begin"/>
          </w:r>
          <w:r>
            <w:rPr>
              <w:szCs w:val="24"/>
            </w:rPr>
            <w:instrText xml:space="preserve"> PAGEREF _Toc13760287 \h </w:instrText>
          </w:r>
          <w:r>
            <w:rPr>
              <w:szCs w:val="24"/>
            </w:rPr>
            <w:fldChar w:fldCharType="separate"/>
          </w:r>
          <w:r>
            <w:rPr>
              <w:szCs w:val="24"/>
            </w:rPr>
            <w:t>223</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"_Toc13760296" </w:instrText>
          </w:r>
          <w:r>
            <w:fldChar w:fldCharType="separate"/>
          </w:r>
          <w:r>
            <w:rPr>
              <w:rStyle w:val="137"/>
              <w:szCs w:val="24"/>
            </w:rPr>
            <w:t>8.6</w:t>
          </w:r>
          <w:r>
            <w:rPr>
              <w:rStyle w:val="137"/>
              <w:rFonts w:hint="eastAsia"/>
              <w:szCs w:val="24"/>
            </w:rPr>
            <w:t>风险预测与评价</w:t>
          </w:r>
          <w:r>
            <w:rPr>
              <w:szCs w:val="24"/>
            </w:rPr>
            <w:tab/>
          </w:r>
          <w:r>
            <w:rPr>
              <w:szCs w:val="24"/>
            </w:rPr>
            <w:fldChar w:fldCharType="begin"/>
          </w:r>
          <w:r>
            <w:rPr>
              <w:szCs w:val="24"/>
            </w:rPr>
            <w:instrText xml:space="preserve"> PAGEREF _Toc13760296 \h </w:instrText>
          </w:r>
          <w:r>
            <w:rPr>
              <w:szCs w:val="24"/>
            </w:rPr>
            <w:fldChar w:fldCharType="separate"/>
          </w:r>
          <w:r>
            <w:rPr>
              <w:szCs w:val="24"/>
            </w:rPr>
            <w:t>227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"_Toc13760297" </w:instrText>
          </w:r>
          <w:r>
            <w:fldChar w:fldCharType="separate"/>
          </w:r>
          <w:r>
            <w:rPr>
              <w:rStyle w:val="137"/>
              <w:szCs w:val="24"/>
            </w:rPr>
            <w:t>8.7</w:t>
          </w:r>
          <w:r>
            <w:rPr>
              <w:rStyle w:val="137"/>
              <w:rFonts w:hint="eastAsia"/>
              <w:szCs w:val="24"/>
            </w:rPr>
            <w:t>风险管理</w:t>
          </w:r>
          <w:r>
            <w:rPr>
              <w:szCs w:val="24"/>
            </w:rPr>
            <w:tab/>
          </w:r>
          <w:r>
            <w:rPr>
              <w:szCs w:val="24"/>
            </w:rPr>
            <w:fldChar w:fldCharType="begin"/>
          </w:r>
          <w:r>
            <w:rPr>
              <w:szCs w:val="24"/>
            </w:rPr>
            <w:instrText xml:space="preserve"> PAGEREF _Toc13760297 \h </w:instrText>
          </w:r>
          <w:r>
            <w:rPr>
              <w:szCs w:val="24"/>
            </w:rPr>
            <w:fldChar w:fldCharType="separate"/>
          </w:r>
          <w:r>
            <w:rPr>
              <w:szCs w:val="24"/>
            </w:rPr>
            <w:t>232</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"_Toc13760298" </w:instrText>
          </w:r>
          <w:r>
            <w:fldChar w:fldCharType="separate"/>
          </w:r>
          <w:r>
            <w:rPr>
              <w:rStyle w:val="137"/>
              <w:szCs w:val="24"/>
            </w:rPr>
            <w:t>8.7.1</w:t>
          </w:r>
          <w:r>
            <w:rPr>
              <w:rStyle w:val="137"/>
              <w:rFonts w:hint="eastAsia"/>
              <w:szCs w:val="24"/>
            </w:rPr>
            <w:t>环境风险防范措施</w:t>
          </w:r>
          <w:r>
            <w:rPr>
              <w:szCs w:val="24"/>
            </w:rPr>
            <w:tab/>
          </w:r>
          <w:r>
            <w:rPr>
              <w:szCs w:val="24"/>
            </w:rPr>
            <w:fldChar w:fldCharType="begin"/>
          </w:r>
          <w:r>
            <w:rPr>
              <w:szCs w:val="24"/>
            </w:rPr>
            <w:instrText xml:space="preserve"> PAGEREF _Toc13760298 \h </w:instrText>
          </w:r>
          <w:r>
            <w:rPr>
              <w:szCs w:val="24"/>
            </w:rPr>
            <w:fldChar w:fldCharType="separate"/>
          </w:r>
          <w:r>
            <w:rPr>
              <w:szCs w:val="24"/>
            </w:rPr>
            <w:t>233</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"_Toc13760323" </w:instrText>
          </w:r>
          <w:r>
            <w:fldChar w:fldCharType="separate"/>
          </w:r>
          <w:r>
            <w:rPr>
              <w:rStyle w:val="137"/>
              <w:szCs w:val="24"/>
            </w:rPr>
            <w:t>8.7.2</w:t>
          </w:r>
          <w:r>
            <w:rPr>
              <w:rStyle w:val="137"/>
              <w:rFonts w:hint="eastAsia"/>
              <w:szCs w:val="24"/>
            </w:rPr>
            <w:t>应急预案</w:t>
          </w:r>
          <w:r>
            <w:rPr>
              <w:szCs w:val="24"/>
            </w:rPr>
            <w:tab/>
          </w:r>
          <w:r>
            <w:rPr>
              <w:szCs w:val="24"/>
            </w:rPr>
            <w:fldChar w:fldCharType="begin"/>
          </w:r>
          <w:r>
            <w:rPr>
              <w:szCs w:val="24"/>
            </w:rPr>
            <w:instrText xml:space="preserve"> PAGEREF _Toc13760323 \h </w:instrText>
          </w:r>
          <w:r>
            <w:rPr>
              <w:szCs w:val="24"/>
            </w:rPr>
            <w:fldChar w:fldCharType="separate"/>
          </w:r>
          <w:r>
            <w:rPr>
              <w:szCs w:val="24"/>
            </w:rPr>
            <w:t>249</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"_Toc13760332" </w:instrText>
          </w:r>
          <w:r>
            <w:fldChar w:fldCharType="separate"/>
          </w:r>
          <w:r>
            <w:rPr>
              <w:rStyle w:val="137"/>
              <w:szCs w:val="24"/>
            </w:rPr>
            <w:t>8.8</w:t>
          </w:r>
          <w:r>
            <w:rPr>
              <w:rStyle w:val="137"/>
              <w:rFonts w:hint="eastAsia"/>
              <w:szCs w:val="24"/>
            </w:rPr>
            <w:t>环境风险评价结论与建议</w:t>
          </w:r>
          <w:r>
            <w:rPr>
              <w:szCs w:val="24"/>
            </w:rPr>
            <w:tab/>
          </w:r>
          <w:r>
            <w:rPr>
              <w:szCs w:val="24"/>
            </w:rPr>
            <w:fldChar w:fldCharType="begin"/>
          </w:r>
          <w:r>
            <w:rPr>
              <w:szCs w:val="24"/>
            </w:rPr>
            <w:instrText xml:space="preserve"> PAGEREF _Toc13760332 \h </w:instrText>
          </w:r>
          <w:r>
            <w:rPr>
              <w:szCs w:val="24"/>
            </w:rPr>
            <w:fldChar w:fldCharType="separate"/>
          </w:r>
          <w:r>
            <w:rPr>
              <w:szCs w:val="24"/>
            </w:rPr>
            <w:t>255</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"_Toc13760333" </w:instrText>
          </w:r>
          <w:r>
            <w:fldChar w:fldCharType="separate"/>
          </w:r>
          <w:r>
            <w:rPr>
              <w:rStyle w:val="137"/>
              <w:kern w:val="0"/>
              <w:szCs w:val="24"/>
            </w:rPr>
            <w:t>9.</w:t>
          </w:r>
          <w:r>
            <w:rPr>
              <w:rStyle w:val="137"/>
              <w:rFonts w:hint="eastAsia"/>
              <w:kern w:val="0"/>
              <w:szCs w:val="24"/>
            </w:rPr>
            <w:t>改扩建后环保投资、监测计划及“三同时”汇总</w:t>
          </w:r>
          <w:r>
            <w:rPr>
              <w:szCs w:val="24"/>
            </w:rPr>
            <w:tab/>
          </w:r>
          <w:r>
            <w:rPr>
              <w:szCs w:val="24"/>
            </w:rPr>
            <w:fldChar w:fldCharType="begin"/>
          </w:r>
          <w:r>
            <w:rPr>
              <w:szCs w:val="24"/>
            </w:rPr>
            <w:instrText xml:space="preserve"> PAGEREF _Toc13760333 \h </w:instrText>
          </w:r>
          <w:r>
            <w:rPr>
              <w:szCs w:val="24"/>
            </w:rPr>
            <w:fldChar w:fldCharType="separate"/>
          </w:r>
          <w:r>
            <w:rPr>
              <w:szCs w:val="24"/>
            </w:rPr>
            <w:t>257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"_Toc13760334" </w:instrText>
          </w:r>
          <w:r>
            <w:fldChar w:fldCharType="separate"/>
          </w:r>
          <w:r>
            <w:rPr>
              <w:rStyle w:val="137"/>
              <w:szCs w:val="24"/>
              <w:lang w:val="zh-CN"/>
            </w:rPr>
            <w:t>9.1</w:t>
          </w:r>
          <w:r>
            <w:rPr>
              <w:rStyle w:val="137"/>
              <w:rFonts w:hint="eastAsia"/>
              <w:szCs w:val="24"/>
              <w:lang w:val="zh-CN"/>
            </w:rPr>
            <w:t>环保设施投资分析</w:t>
          </w:r>
          <w:r>
            <w:rPr>
              <w:szCs w:val="24"/>
            </w:rPr>
            <w:tab/>
          </w:r>
          <w:r>
            <w:rPr>
              <w:szCs w:val="24"/>
            </w:rPr>
            <w:fldChar w:fldCharType="begin"/>
          </w:r>
          <w:r>
            <w:rPr>
              <w:szCs w:val="24"/>
            </w:rPr>
            <w:instrText xml:space="preserve"> PAGEREF _Toc13760334 \h </w:instrText>
          </w:r>
          <w:r>
            <w:rPr>
              <w:szCs w:val="24"/>
            </w:rPr>
            <w:fldChar w:fldCharType="separate"/>
          </w:r>
          <w:r>
            <w:rPr>
              <w:szCs w:val="24"/>
            </w:rPr>
            <w:t>257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"_Toc13760335" </w:instrText>
          </w:r>
          <w:r>
            <w:fldChar w:fldCharType="separate"/>
          </w:r>
          <w:r>
            <w:rPr>
              <w:rStyle w:val="137"/>
              <w:szCs w:val="24"/>
              <w:lang w:val="zh-CN"/>
            </w:rPr>
            <w:t>9.2</w:t>
          </w:r>
          <w:r>
            <w:rPr>
              <w:rStyle w:val="137"/>
              <w:rFonts w:hint="eastAsia"/>
              <w:szCs w:val="24"/>
              <w:lang w:val="zh-CN"/>
            </w:rPr>
            <w:t>环境监测计划</w:t>
          </w:r>
          <w:r>
            <w:rPr>
              <w:szCs w:val="24"/>
            </w:rPr>
            <w:tab/>
          </w:r>
          <w:r>
            <w:rPr>
              <w:szCs w:val="24"/>
            </w:rPr>
            <w:fldChar w:fldCharType="begin"/>
          </w:r>
          <w:r>
            <w:rPr>
              <w:szCs w:val="24"/>
            </w:rPr>
            <w:instrText xml:space="preserve"> PAGEREF _Toc13760335 \h </w:instrText>
          </w:r>
          <w:r>
            <w:rPr>
              <w:szCs w:val="24"/>
            </w:rPr>
            <w:fldChar w:fldCharType="separate"/>
          </w:r>
          <w:r>
            <w:rPr>
              <w:szCs w:val="24"/>
            </w:rPr>
            <w:t>257</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"_Toc13760337" </w:instrText>
          </w:r>
          <w:r>
            <w:fldChar w:fldCharType="separate"/>
          </w:r>
          <w:r>
            <w:rPr>
              <w:rStyle w:val="137"/>
              <w:szCs w:val="24"/>
              <w:lang w:val="zh-CN"/>
            </w:rPr>
            <w:t>9.3</w:t>
          </w:r>
          <w:r>
            <w:rPr>
              <w:rStyle w:val="137"/>
              <w:rFonts w:hint="eastAsia"/>
              <w:szCs w:val="24"/>
              <w:lang w:val="zh-CN"/>
            </w:rPr>
            <w:t>污染防治“三同时”验收一览表</w:t>
          </w:r>
          <w:r>
            <w:rPr>
              <w:szCs w:val="24"/>
            </w:rPr>
            <w:tab/>
          </w:r>
          <w:r>
            <w:rPr>
              <w:szCs w:val="24"/>
            </w:rPr>
            <w:fldChar w:fldCharType="begin"/>
          </w:r>
          <w:r>
            <w:rPr>
              <w:szCs w:val="24"/>
            </w:rPr>
            <w:instrText xml:space="preserve"> PAGEREF _Toc13760337 \h </w:instrText>
          </w:r>
          <w:r>
            <w:rPr>
              <w:szCs w:val="24"/>
            </w:rPr>
            <w:fldChar w:fldCharType="separate"/>
          </w:r>
          <w:r>
            <w:rPr>
              <w:szCs w:val="24"/>
            </w:rPr>
            <w:t>261</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"_Toc13760338" </w:instrText>
          </w:r>
          <w:r>
            <w:fldChar w:fldCharType="separate"/>
          </w:r>
          <w:r>
            <w:rPr>
              <w:rStyle w:val="137"/>
              <w:szCs w:val="24"/>
            </w:rPr>
            <w:t>10.</w:t>
          </w:r>
          <w:r>
            <w:rPr>
              <w:rStyle w:val="137"/>
              <w:rFonts w:hint="eastAsia"/>
              <w:szCs w:val="24"/>
            </w:rPr>
            <w:t>结论</w:t>
          </w:r>
          <w:r>
            <w:rPr>
              <w:szCs w:val="24"/>
            </w:rPr>
            <w:tab/>
          </w:r>
          <w:r>
            <w:rPr>
              <w:szCs w:val="24"/>
            </w:rPr>
            <w:fldChar w:fldCharType="begin"/>
          </w:r>
          <w:r>
            <w:rPr>
              <w:szCs w:val="24"/>
            </w:rPr>
            <w:instrText xml:space="preserve"> PAGEREF _Toc13760338 \h </w:instrText>
          </w:r>
          <w:r>
            <w:rPr>
              <w:szCs w:val="24"/>
            </w:rPr>
            <w:fldChar w:fldCharType="separate"/>
          </w:r>
          <w:r>
            <w:rPr>
              <w:szCs w:val="24"/>
            </w:rPr>
            <w:t>266</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"_Toc13760339" </w:instrText>
          </w:r>
          <w:r>
            <w:fldChar w:fldCharType="separate"/>
          </w:r>
          <w:r>
            <w:rPr>
              <w:rStyle w:val="137"/>
              <w:szCs w:val="24"/>
            </w:rPr>
            <w:t>10.1</w:t>
          </w:r>
          <w:r>
            <w:rPr>
              <w:rStyle w:val="137"/>
              <w:rFonts w:hint="eastAsia"/>
              <w:szCs w:val="24"/>
            </w:rPr>
            <w:t>项目背景及概况</w:t>
          </w:r>
          <w:r>
            <w:rPr>
              <w:szCs w:val="24"/>
            </w:rPr>
            <w:tab/>
          </w:r>
          <w:r>
            <w:rPr>
              <w:szCs w:val="24"/>
            </w:rPr>
            <w:fldChar w:fldCharType="begin"/>
          </w:r>
          <w:r>
            <w:rPr>
              <w:szCs w:val="24"/>
            </w:rPr>
            <w:instrText xml:space="preserve"> PAGEREF _Toc13760339 \h </w:instrText>
          </w:r>
          <w:r>
            <w:rPr>
              <w:szCs w:val="24"/>
            </w:rPr>
            <w:fldChar w:fldCharType="separate"/>
          </w:r>
          <w:r>
            <w:rPr>
              <w:szCs w:val="24"/>
            </w:rPr>
            <w:t>266</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"_Toc13760340" </w:instrText>
          </w:r>
          <w:r>
            <w:fldChar w:fldCharType="separate"/>
          </w:r>
          <w:r>
            <w:rPr>
              <w:rStyle w:val="137"/>
              <w:szCs w:val="24"/>
            </w:rPr>
            <w:t>10.2</w:t>
          </w:r>
          <w:r>
            <w:rPr>
              <w:rStyle w:val="137"/>
              <w:rFonts w:hint="eastAsia"/>
              <w:szCs w:val="24"/>
            </w:rPr>
            <w:t>环境质量现状</w:t>
          </w:r>
          <w:r>
            <w:rPr>
              <w:szCs w:val="24"/>
            </w:rPr>
            <w:tab/>
          </w:r>
          <w:r>
            <w:rPr>
              <w:szCs w:val="24"/>
            </w:rPr>
            <w:fldChar w:fldCharType="begin"/>
          </w:r>
          <w:r>
            <w:rPr>
              <w:szCs w:val="24"/>
            </w:rPr>
            <w:instrText xml:space="preserve"> PAGEREF _Toc13760340 \h </w:instrText>
          </w:r>
          <w:r>
            <w:rPr>
              <w:szCs w:val="24"/>
            </w:rPr>
            <w:fldChar w:fldCharType="separate"/>
          </w:r>
          <w:r>
            <w:rPr>
              <w:szCs w:val="24"/>
            </w:rPr>
            <w:t>267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"_Toc13760341" </w:instrText>
          </w:r>
          <w:r>
            <w:fldChar w:fldCharType="separate"/>
          </w:r>
          <w:r>
            <w:rPr>
              <w:rStyle w:val="137"/>
              <w:szCs w:val="24"/>
            </w:rPr>
            <w:t>10.2.1</w:t>
          </w:r>
          <w:r>
            <w:rPr>
              <w:rStyle w:val="137"/>
              <w:rFonts w:hint="eastAsia"/>
              <w:szCs w:val="24"/>
            </w:rPr>
            <w:t>环境空气</w:t>
          </w:r>
          <w:r>
            <w:rPr>
              <w:szCs w:val="24"/>
            </w:rPr>
            <w:tab/>
          </w:r>
          <w:r>
            <w:rPr>
              <w:szCs w:val="24"/>
            </w:rPr>
            <w:fldChar w:fldCharType="begin"/>
          </w:r>
          <w:r>
            <w:rPr>
              <w:szCs w:val="24"/>
            </w:rPr>
            <w:instrText xml:space="preserve"> PAGEREF _Toc13760341 \h </w:instrText>
          </w:r>
          <w:r>
            <w:rPr>
              <w:szCs w:val="24"/>
            </w:rPr>
            <w:fldChar w:fldCharType="separate"/>
          </w:r>
          <w:r>
            <w:rPr>
              <w:szCs w:val="24"/>
            </w:rPr>
            <w:t>267</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"_Toc13760342" </w:instrText>
          </w:r>
          <w:r>
            <w:fldChar w:fldCharType="separate"/>
          </w:r>
          <w:r>
            <w:rPr>
              <w:rStyle w:val="137"/>
              <w:szCs w:val="24"/>
            </w:rPr>
            <w:t>10.2.2</w:t>
          </w:r>
          <w:r>
            <w:rPr>
              <w:rStyle w:val="137"/>
              <w:rFonts w:hint="eastAsia"/>
              <w:szCs w:val="24"/>
            </w:rPr>
            <w:t>地下水</w:t>
          </w:r>
          <w:r>
            <w:rPr>
              <w:szCs w:val="24"/>
            </w:rPr>
            <w:tab/>
          </w:r>
          <w:r>
            <w:rPr>
              <w:szCs w:val="24"/>
            </w:rPr>
            <w:fldChar w:fldCharType="begin"/>
          </w:r>
          <w:r>
            <w:rPr>
              <w:szCs w:val="24"/>
            </w:rPr>
            <w:instrText xml:space="preserve"> PAGEREF _Toc13760342 \h </w:instrText>
          </w:r>
          <w:r>
            <w:rPr>
              <w:szCs w:val="24"/>
            </w:rPr>
            <w:fldChar w:fldCharType="separate"/>
          </w:r>
          <w:r>
            <w:rPr>
              <w:szCs w:val="24"/>
            </w:rPr>
            <w:t>268</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"_Toc13760343" </w:instrText>
          </w:r>
          <w:r>
            <w:fldChar w:fldCharType="separate"/>
          </w:r>
          <w:r>
            <w:rPr>
              <w:rStyle w:val="137"/>
              <w:szCs w:val="24"/>
            </w:rPr>
            <w:t>10.2.3</w:t>
          </w:r>
          <w:r>
            <w:rPr>
              <w:rStyle w:val="137"/>
              <w:rFonts w:hint="eastAsia"/>
              <w:szCs w:val="24"/>
            </w:rPr>
            <w:t>声环境</w:t>
          </w:r>
          <w:r>
            <w:rPr>
              <w:szCs w:val="24"/>
            </w:rPr>
            <w:tab/>
          </w:r>
          <w:r>
            <w:rPr>
              <w:szCs w:val="24"/>
            </w:rPr>
            <w:fldChar w:fldCharType="begin"/>
          </w:r>
          <w:r>
            <w:rPr>
              <w:szCs w:val="24"/>
            </w:rPr>
            <w:instrText xml:space="preserve"> PAGEREF _Toc13760343 \h </w:instrText>
          </w:r>
          <w:r>
            <w:rPr>
              <w:szCs w:val="24"/>
            </w:rPr>
            <w:fldChar w:fldCharType="separate"/>
          </w:r>
          <w:r>
            <w:rPr>
              <w:szCs w:val="24"/>
            </w:rPr>
            <w:t>268</w:t>
          </w:r>
          <w:r>
            <w:rPr>
              <w:szCs w:val="24"/>
            </w:rPr>
            <w:fldChar w:fldCharType="end"/>
          </w:r>
          <w:r>
            <w:rPr>
              <w:szCs w:val="24"/>
            </w:rPr>
            <w:fldChar w:fldCharType="end"/>
          </w:r>
        </w:p>
        <w:p>
          <w:pPr>
            <w:pStyle w:val="44"/>
            <w:tabs>
              <w:tab w:val="right" w:leader="dot" w:pos="9060"/>
            </w:tabs>
            <w:spacing w:line="240" w:lineRule="auto"/>
            <w:ind w:left="960" w:firstLine="480"/>
            <w:rPr>
              <w:rFonts w:asciiTheme="minorHAnsi" w:hAnsiTheme="minorHAnsi" w:eastAsiaTheme="minorEastAsia"/>
              <w:szCs w:val="24"/>
            </w:rPr>
          </w:pPr>
          <w:r>
            <w:fldChar w:fldCharType="begin"/>
          </w:r>
          <w:r>
            <w:instrText xml:space="preserve"> HYPERLINK \l "_Toc13760344" </w:instrText>
          </w:r>
          <w:r>
            <w:fldChar w:fldCharType="separate"/>
          </w:r>
          <w:r>
            <w:rPr>
              <w:rStyle w:val="137"/>
              <w:szCs w:val="24"/>
            </w:rPr>
            <w:t>10.2.4</w:t>
          </w:r>
          <w:r>
            <w:rPr>
              <w:rStyle w:val="137"/>
              <w:rFonts w:hint="eastAsia"/>
              <w:szCs w:val="24"/>
            </w:rPr>
            <w:t>土壤</w:t>
          </w:r>
          <w:r>
            <w:rPr>
              <w:szCs w:val="24"/>
            </w:rPr>
            <w:tab/>
          </w:r>
          <w:r>
            <w:rPr>
              <w:szCs w:val="24"/>
            </w:rPr>
            <w:fldChar w:fldCharType="begin"/>
          </w:r>
          <w:r>
            <w:rPr>
              <w:szCs w:val="24"/>
            </w:rPr>
            <w:instrText xml:space="preserve"> PAGEREF _Toc13760344 \h </w:instrText>
          </w:r>
          <w:r>
            <w:rPr>
              <w:szCs w:val="24"/>
            </w:rPr>
            <w:fldChar w:fldCharType="separate"/>
          </w:r>
          <w:r>
            <w:rPr>
              <w:szCs w:val="24"/>
            </w:rPr>
            <w:t>268</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"_Toc13760345" </w:instrText>
          </w:r>
          <w:r>
            <w:fldChar w:fldCharType="separate"/>
          </w:r>
          <w:r>
            <w:rPr>
              <w:rStyle w:val="137"/>
              <w:szCs w:val="24"/>
            </w:rPr>
            <w:t>10.3</w:t>
          </w:r>
          <w:r>
            <w:rPr>
              <w:rStyle w:val="137"/>
              <w:rFonts w:hint="eastAsia"/>
              <w:szCs w:val="24"/>
            </w:rPr>
            <w:t>环境影响预测和评价</w:t>
          </w:r>
          <w:r>
            <w:rPr>
              <w:szCs w:val="24"/>
            </w:rPr>
            <w:tab/>
          </w:r>
          <w:r>
            <w:rPr>
              <w:szCs w:val="24"/>
            </w:rPr>
            <w:fldChar w:fldCharType="begin"/>
          </w:r>
          <w:r>
            <w:rPr>
              <w:szCs w:val="24"/>
            </w:rPr>
            <w:instrText xml:space="preserve"> PAGEREF _Toc13760345 \h </w:instrText>
          </w:r>
          <w:r>
            <w:rPr>
              <w:szCs w:val="24"/>
            </w:rPr>
            <w:fldChar w:fldCharType="separate"/>
          </w:r>
          <w:r>
            <w:rPr>
              <w:szCs w:val="24"/>
            </w:rPr>
            <w:t>268</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"_Toc13760351" </w:instrText>
          </w:r>
          <w:r>
            <w:fldChar w:fldCharType="separate"/>
          </w:r>
          <w:r>
            <w:rPr>
              <w:rStyle w:val="137"/>
              <w:szCs w:val="24"/>
              <w:lang w:val="zh-CN"/>
            </w:rPr>
            <w:t>10.4</w:t>
          </w:r>
          <w:r>
            <w:rPr>
              <w:rStyle w:val="137"/>
              <w:rFonts w:hint="eastAsia"/>
              <w:szCs w:val="24"/>
              <w:lang w:val="zh-CN"/>
            </w:rPr>
            <w:t>风险影响分析</w:t>
          </w:r>
          <w:r>
            <w:rPr>
              <w:szCs w:val="24"/>
            </w:rPr>
            <w:tab/>
          </w:r>
          <w:r>
            <w:rPr>
              <w:szCs w:val="24"/>
            </w:rPr>
            <w:fldChar w:fldCharType="begin"/>
          </w:r>
          <w:r>
            <w:rPr>
              <w:szCs w:val="24"/>
            </w:rPr>
            <w:instrText xml:space="preserve"> PAGEREF _Toc13760351 \h </w:instrText>
          </w:r>
          <w:r>
            <w:rPr>
              <w:szCs w:val="24"/>
            </w:rPr>
            <w:fldChar w:fldCharType="separate"/>
          </w:r>
          <w:r>
            <w:rPr>
              <w:szCs w:val="24"/>
            </w:rPr>
            <w:t>270</w:t>
          </w:r>
          <w:r>
            <w:rPr>
              <w:szCs w:val="24"/>
            </w:rPr>
            <w:fldChar w:fldCharType="end"/>
          </w:r>
          <w:r>
            <w:rPr>
              <w:szCs w:val="24"/>
            </w:rPr>
            <w:fldChar w:fldCharType="end"/>
          </w:r>
        </w:p>
        <w:p>
          <w:pPr>
            <w:pStyle w:val="74"/>
            <w:tabs>
              <w:tab w:val="right" w:leader="dot" w:pos="9060"/>
            </w:tabs>
            <w:spacing w:line="240" w:lineRule="auto"/>
            <w:ind w:left="480" w:firstLine="480"/>
            <w:rPr>
              <w:rFonts w:asciiTheme="minorHAnsi" w:hAnsiTheme="minorHAnsi" w:eastAsiaTheme="minorEastAsia"/>
              <w:szCs w:val="24"/>
            </w:rPr>
          </w:pPr>
          <w:r>
            <w:fldChar w:fldCharType="begin"/>
          </w:r>
          <w:r>
            <w:instrText xml:space="preserve"> HYPERLINK \l "_Toc13760352" </w:instrText>
          </w:r>
          <w:r>
            <w:fldChar w:fldCharType="separate"/>
          </w:r>
          <w:r>
            <w:rPr>
              <w:rStyle w:val="137"/>
              <w:szCs w:val="24"/>
              <w:lang w:val="zh-CN"/>
            </w:rPr>
            <w:t>10.5</w:t>
          </w:r>
          <w:r>
            <w:rPr>
              <w:rStyle w:val="137"/>
              <w:rFonts w:hint="eastAsia"/>
              <w:szCs w:val="24"/>
              <w:lang w:val="zh-CN"/>
            </w:rPr>
            <w:t>评价总结论</w:t>
          </w:r>
          <w:r>
            <w:rPr>
              <w:szCs w:val="24"/>
            </w:rPr>
            <w:tab/>
          </w:r>
          <w:r>
            <w:rPr>
              <w:szCs w:val="24"/>
            </w:rPr>
            <w:fldChar w:fldCharType="begin"/>
          </w:r>
          <w:r>
            <w:rPr>
              <w:szCs w:val="24"/>
            </w:rPr>
            <w:instrText xml:space="preserve"> PAGEREF _Toc13760352 \h </w:instrText>
          </w:r>
          <w:r>
            <w:rPr>
              <w:szCs w:val="24"/>
            </w:rPr>
            <w:fldChar w:fldCharType="separate"/>
          </w:r>
          <w:r>
            <w:rPr>
              <w:szCs w:val="24"/>
            </w:rPr>
            <w:t>270</w:t>
          </w:r>
          <w:r>
            <w:rPr>
              <w:szCs w:val="24"/>
            </w:rPr>
            <w:fldChar w:fldCharType="end"/>
          </w:r>
          <w:r>
            <w:rPr>
              <w:szCs w:val="24"/>
            </w:rPr>
            <w:fldChar w:fldCharType="end"/>
          </w:r>
        </w:p>
        <w:p>
          <w:pPr>
            <w:pStyle w:val="59"/>
            <w:tabs>
              <w:tab w:val="right" w:leader="dot" w:pos="9060"/>
            </w:tabs>
            <w:spacing w:line="240" w:lineRule="auto"/>
            <w:ind w:firstLine="480"/>
            <w:rPr>
              <w:rFonts w:asciiTheme="minorHAnsi" w:hAnsiTheme="minorHAnsi" w:eastAsiaTheme="minorEastAsia"/>
              <w:szCs w:val="24"/>
            </w:rPr>
          </w:pPr>
          <w:r>
            <w:fldChar w:fldCharType="begin"/>
          </w:r>
          <w:r>
            <w:instrText xml:space="preserve"> HYPERLINK \l "_Toc13760353" </w:instrText>
          </w:r>
          <w:r>
            <w:fldChar w:fldCharType="separate"/>
          </w:r>
          <w:r>
            <w:rPr>
              <w:rStyle w:val="137"/>
              <w:rFonts w:hint="eastAsia"/>
              <w:szCs w:val="24"/>
            </w:rPr>
            <w:t>附件：</w:t>
          </w:r>
          <w:r>
            <w:rPr>
              <w:szCs w:val="24"/>
            </w:rPr>
            <w:tab/>
          </w:r>
          <w:r>
            <w:rPr>
              <w:szCs w:val="24"/>
            </w:rPr>
            <w:fldChar w:fldCharType="begin"/>
          </w:r>
          <w:r>
            <w:rPr>
              <w:szCs w:val="24"/>
            </w:rPr>
            <w:instrText xml:space="preserve"> PAGEREF _Toc13760353 \h </w:instrText>
          </w:r>
          <w:r>
            <w:rPr>
              <w:szCs w:val="24"/>
            </w:rPr>
            <w:fldChar w:fldCharType="separate"/>
          </w:r>
          <w:r>
            <w:rPr>
              <w:szCs w:val="24"/>
            </w:rPr>
            <w:t>272</w:t>
          </w:r>
          <w:r>
            <w:rPr>
              <w:szCs w:val="24"/>
            </w:rPr>
            <w:fldChar w:fldCharType="end"/>
          </w:r>
          <w:r>
            <w:rPr>
              <w:szCs w:val="24"/>
            </w:rPr>
            <w:fldChar w:fldCharType="end"/>
          </w:r>
        </w:p>
        <w:p>
          <w:pPr>
            <w:spacing w:line="240" w:lineRule="auto"/>
            <w:ind w:firstLine="480"/>
            <w:rPr>
              <w:szCs w:val="24"/>
            </w:rPr>
          </w:pPr>
          <w:r>
            <w:rPr>
              <w:szCs w:val="24"/>
            </w:rPr>
            <w:fldChar w:fldCharType="end"/>
          </w:r>
        </w:p>
      </w:sdtContent>
    </w:sdt>
    <w:p>
      <w:pPr>
        <w:ind w:firstLine="480"/>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sectPr>
          <w:footerReference r:id="rId11" w:type="default"/>
          <w:pgSz w:w="11906" w:h="16838"/>
          <w:pgMar w:top="1134" w:right="1418" w:bottom="1134" w:left="1418" w:header="851" w:footer="851" w:gutter="0"/>
          <w:pgNumType w:start="1"/>
          <w:cols w:space="425" w:num="1"/>
          <w:docGrid w:type="lines" w:linePitch="326" w:charSpace="0"/>
        </w:sectPr>
      </w:pPr>
    </w:p>
    <w:p>
      <w:pPr>
        <w:pStyle w:val="3"/>
      </w:pPr>
      <w:bookmarkStart w:id="27" w:name="_Toc3282099"/>
      <w:bookmarkStart w:id="28" w:name="_Toc13760050"/>
      <w:r>
        <w:rPr>
          <w:rFonts w:hint="eastAsia"/>
        </w:rPr>
        <w:t>1.前言</w:t>
      </w:r>
      <w:bookmarkEnd w:id="27"/>
      <w:bookmarkEnd w:id="28"/>
    </w:p>
    <w:p>
      <w:pPr>
        <w:pStyle w:val="4"/>
      </w:pPr>
      <w:bookmarkStart w:id="29" w:name="_Toc3282100"/>
      <w:bookmarkStart w:id="30" w:name="_Toc13760051"/>
      <w:r>
        <w:rPr>
          <w:rFonts w:hint="eastAsia"/>
        </w:rPr>
        <w:t>1.1项目</w:t>
      </w:r>
      <w:bookmarkEnd w:id="29"/>
      <w:r>
        <w:rPr>
          <w:rFonts w:hint="eastAsia"/>
        </w:rPr>
        <w:t>背景</w:t>
      </w:r>
      <w:bookmarkEnd w:id="30"/>
    </w:p>
    <w:p>
      <w:pPr>
        <w:pStyle w:val="5"/>
        <w:rPr>
          <w:szCs w:val="24"/>
        </w:rPr>
      </w:pPr>
      <w:bookmarkStart w:id="31" w:name="_Toc13760052"/>
      <w:r>
        <w:rPr>
          <w:rFonts w:hint="eastAsia"/>
        </w:rPr>
        <w:t>1.1.1项目原环评批复及改扩建原因</w:t>
      </w:r>
      <w:bookmarkEnd w:id="31"/>
    </w:p>
    <w:p>
      <w:pPr>
        <w:pStyle w:val="739"/>
        <w:ind w:firstLine="480"/>
      </w:pPr>
      <w:r>
        <w:rPr>
          <w:rFonts w:hint="eastAsia"/>
        </w:rPr>
        <w:t>阿拉善盟绿能环保科技有限公司决定在腾格里经济技术开发区建设一座集危险废物减量化、无害化和资源化一体的综合性固体废物处理处置中心，主要考虑接收腾格里经济技术开发区各企业产生的特定危险废物及周边相关地区（如阿拉善经济技术开发区、中卫市各工业企业等）产生的特定危险废物。</w:t>
      </w:r>
    </w:p>
    <w:p>
      <w:pPr>
        <w:pStyle w:val="739"/>
        <w:ind w:firstLine="480"/>
      </w:pPr>
      <w:r>
        <w:rPr>
          <w:rFonts w:hint="eastAsia"/>
        </w:rPr>
        <w:t>2017年阿拉善盟绿能环保科技有限公司委托内蒙古环科园环境科技有限公司</w:t>
      </w:r>
      <w:r>
        <w:rPr>
          <w:rFonts w:hAnsi="宋体"/>
          <w:kern w:val="0"/>
        </w:rPr>
        <w:t>编制完成了</w:t>
      </w:r>
      <w:r>
        <w:rPr>
          <w:rFonts w:hint="eastAsia" w:hAnsi="宋体"/>
        </w:rPr>
        <w:t>《</w:t>
      </w:r>
      <w:r>
        <w:rPr>
          <w:rFonts w:hint="eastAsia" w:hAnsi="宋体"/>
          <w:bCs/>
        </w:rPr>
        <w:t>阿拉善绿能环保科技有限公司危险废弃物处置中心项目</w:t>
      </w:r>
      <w:r>
        <w:rPr>
          <w:rFonts w:hint="eastAsia" w:hAnsi="宋体"/>
          <w:lang w:val="zh-CN"/>
        </w:rPr>
        <w:t>环境影响报告书</w:t>
      </w:r>
      <w:r>
        <w:rPr>
          <w:rFonts w:hint="eastAsia" w:hAnsi="宋体"/>
        </w:rPr>
        <w:t>》，并于2018年</w:t>
      </w:r>
      <w:r>
        <w:rPr>
          <w:rFonts w:hint="eastAsia"/>
        </w:rPr>
        <w:t>1月3日，取得了阿拉善盟环境保护局的环评批复，批复文件为阿环审</w:t>
      </w:r>
      <w:r>
        <w:t>[201</w:t>
      </w:r>
      <w:r>
        <w:rPr>
          <w:rFonts w:hint="eastAsia"/>
        </w:rPr>
        <w:t>8</w:t>
      </w:r>
      <w:r>
        <w:t>]1</w:t>
      </w:r>
      <w:r>
        <w:rPr>
          <w:rFonts w:hint="eastAsia"/>
        </w:rPr>
        <w:t>号《阿拉善盟环境保护局关于</w:t>
      </w:r>
      <w:r>
        <w:rPr>
          <w:rFonts w:hint="eastAsia" w:hAnsi="宋体"/>
          <w:bCs/>
        </w:rPr>
        <w:t>阿拉善绿能环保科技有限公司危险废弃物处置中心项目</w:t>
      </w:r>
      <w:r>
        <w:rPr>
          <w:rFonts w:hint="eastAsia" w:hAnsi="宋体"/>
          <w:lang w:val="zh-CN"/>
        </w:rPr>
        <w:t>环境影响报告书</w:t>
      </w:r>
      <w:r>
        <w:rPr>
          <w:rFonts w:hint="eastAsia"/>
        </w:rPr>
        <w:t>的批复》。</w:t>
      </w:r>
    </w:p>
    <w:p>
      <w:pPr>
        <w:pStyle w:val="739"/>
        <w:ind w:firstLine="480"/>
      </w:pPr>
      <w:r>
        <w:rPr>
          <w:rFonts w:hint="eastAsia" w:hAnsi="宋体"/>
          <w:szCs w:val="24"/>
        </w:rPr>
        <w:t>在该项目建设筹备</w:t>
      </w:r>
      <w:r>
        <w:rPr>
          <w:rFonts w:hint="eastAsia" w:ascii="宋体" w:hAnsi="宋体"/>
        </w:rPr>
        <w:t>阶段，出于项目实际建设情况及周边企业对危废处理的需求考虑，</w:t>
      </w:r>
      <w:r>
        <w:rPr>
          <w:rFonts w:hint="eastAsia" w:hAnsi="宋体"/>
          <w:szCs w:val="24"/>
        </w:rPr>
        <w:t>设计方根据项目区环境条件</w:t>
      </w:r>
      <w:r>
        <w:rPr>
          <w:rFonts w:hAnsi="宋体"/>
          <w:szCs w:val="24"/>
        </w:rPr>
        <w:t>从技术、市场及环境保护等多方面进行了周密调研，并多次</w:t>
      </w:r>
      <w:r>
        <w:rPr>
          <w:rFonts w:hint="eastAsia" w:hAnsi="宋体"/>
          <w:szCs w:val="24"/>
        </w:rPr>
        <w:t>咨询</w:t>
      </w:r>
      <w:r>
        <w:rPr>
          <w:rFonts w:hAnsi="宋体"/>
          <w:szCs w:val="24"/>
        </w:rPr>
        <w:t>专家进行论证，决定对</w:t>
      </w:r>
      <w:r>
        <w:rPr>
          <w:rFonts w:hint="eastAsia" w:hAnsi="宋体"/>
          <w:szCs w:val="24"/>
        </w:rPr>
        <w:t>该</w:t>
      </w:r>
      <w:r>
        <w:rPr>
          <w:rFonts w:hAnsi="宋体"/>
          <w:szCs w:val="24"/>
        </w:rPr>
        <w:t>项目</w:t>
      </w:r>
      <w:r>
        <w:rPr>
          <w:rFonts w:hint="eastAsia" w:hAnsi="宋体"/>
          <w:szCs w:val="24"/>
        </w:rPr>
        <w:t>部分建设内容</w:t>
      </w:r>
      <w:r>
        <w:rPr>
          <w:rFonts w:hAnsi="宋体"/>
          <w:szCs w:val="24"/>
        </w:rPr>
        <w:t>进行</w:t>
      </w:r>
      <w:r>
        <w:rPr>
          <w:rFonts w:hint="eastAsia" w:hAnsi="宋体"/>
          <w:szCs w:val="24"/>
        </w:rPr>
        <w:t>改扩建</w:t>
      </w:r>
      <w:r>
        <w:rPr>
          <w:rFonts w:hAnsi="宋体"/>
          <w:szCs w:val="24"/>
        </w:rPr>
        <w:t>。</w:t>
      </w:r>
    </w:p>
    <w:p>
      <w:pPr>
        <w:pStyle w:val="5"/>
        <w:rPr>
          <w:szCs w:val="24"/>
        </w:rPr>
      </w:pPr>
      <w:bookmarkStart w:id="32" w:name="_Toc13760053"/>
      <w:r>
        <w:rPr>
          <w:rFonts w:hint="eastAsia"/>
        </w:rPr>
        <w:t>1.1.2项目改扩建内容</w:t>
      </w:r>
      <w:bookmarkEnd w:id="32"/>
    </w:p>
    <w:p>
      <w:pPr>
        <w:snapToGrid w:val="0"/>
        <w:ind w:firstLine="480"/>
        <w:rPr>
          <w:rFonts w:hAnsi="宋体"/>
          <w:szCs w:val="24"/>
          <w:lang w:val="zh-CN"/>
        </w:rPr>
      </w:pPr>
      <w:bookmarkStart w:id="33" w:name="_Hlk530157799"/>
      <w:r>
        <w:rPr>
          <w:szCs w:val="24"/>
        </w:rPr>
        <w:t>本项目</w:t>
      </w:r>
      <w:r>
        <w:rPr>
          <w:rFonts w:hint="eastAsia"/>
          <w:szCs w:val="24"/>
        </w:rPr>
        <w:t>改扩建后服务范围不变，</w:t>
      </w:r>
      <w:r>
        <w:rPr>
          <w:szCs w:val="24"/>
        </w:rPr>
        <w:t>主要处置</w:t>
      </w:r>
      <w:r>
        <w:rPr>
          <w:rFonts w:hint="eastAsia" w:hAnsi="宋体"/>
          <w:bCs/>
          <w:szCs w:val="24"/>
        </w:rPr>
        <w:t>腾格里经济技术开发区各企业产生的特定危险废物</w:t>
      </w:r>
      <w:r>
        <w:rPr>
          <w:rFonts w:hAnsi="宋体"/>
          <w:bCs/>
          <w:szCs w:val="24"/>
        </w:rPr>
        <w:t>及周边相关地区</w:t>
      </w:r>
      <w:r>
        <w:rPr>
          <w:rFonts w:hint="eastAsia" w:hAnsi="宋体"/>
          <w:bCs/>
          <w:szCs w:val="24"/>
        </w:rPr>
        <w:t>(如阿拉善经济技术开发区、中卫市各工业企业等)</w:t>
      </w:r>
      <w:r>
        <w:rPr>
          <w:rFonts w:hAnsi="宋体"/>
          <w:bCs/>
          <w:szCs w:val="24"/>
        </w:rPr>
        <w:t>产生的特定危险废物</w:t>
      </w:r>
      <w:r>
        <w:rPr>
          <w:szCs w:val="24"/>
        </w:rPr>
        <w:t>。</w:t>
      </w:r>
      <w:r>
        <w:rPr>
          <w:rFonts w:hint="eastAsia"/>
          <w:szCs w:val="24"/>
        </w:rPr>
        <w:t>改扩建后焚烧车间、物化车间及固化车间的处理工艺及相关配套的环保措施均与之前环评保持一致，处理规模扩大。</w:t>
      </w:r>
      <w:bookmarkEnd w:id="33"/>
    </w:p>
    <w:p>
      <w:pPr>
        <w:ind w:firstLine="480"/>
      </w:pPr>
      <w:r>
        <w:rPr>
          <w:rFonts w:hint="eastAsia"/>
          <w:lang w:val="zh-CN"/>
        </w:rPr>
        <w:t>本项目</w:t>
      </w:r>
      <w:r>
        <w:rPr>
          <w:rFonts w:hint="eastAsia"/>
        </w:rPr>
        <w:t>主要改扩建</w:t>
      </w:r>
      <w:r>
        <w:t>情况如下：</w:t>
      </w:r>
    </w:p>
    <w:p>
      <w:pPr>
        <w:ind w:firstLine="480"/>
      </w:pPr>
    </w:p>
    <w:p>
      <w:pPr>
        <w:spacing w:before="163"/>
        <w:ind w:firstLine="480"/>
        <w:rPr>
          <w:rStyle w:val="3199"/>
        </w:rPr>
      </w:pPr>
    </w:p>
    <w:p>
      <w:pPr>
        <w:ind w:firstLine="480"/>
      </w:pPr>
    </w:p>
    <w:p>
      <w:pPr>
        <w:ind w:firstLine="480"/>
      </w:pPr>
    </w:p>
    <w:p>
      <w:pPr>
        <w:ind w:firstLine="480"/>
        <w:sectPr>
          <w:headerReference r:id="rId12" w:type="default"/>
          <w:footerReference r:id="rId13" w:type="default"/>
          <w:type w:val="continuous"/>
          <w:pgSz w:w="11906" w:h="16838"/>
          <w:pgMar w:top="1134" w:right="1418" w:bottom="1134" w:left="1418" w:header="851" w:footer="851" w:gutter="0"/>
          <w:pgNumType w:start="1"/>
          <w:cols w:space="425" w:num="1"/>
          <w:docGrid w:type="lines" w:linePitch="326" w:charSpace="0"/>
        </w:sectPr>
      </w:pPr>
    </w:p>
    <w:p>
      <w:pPr>
        <w:ind w:firstLine="0" w:firstLineChars="0"/>
        <w:jc w:val="center"/>
      </w:pPr>
    </w:p>
    <w:p>
      <w:pPr>
        <w:ind w:firstLine="1680" w:firstLineChars="700"/>
      </w:pPr>
      <w:r>
        <w:rPr>
          <w:rFonts w:cs="Times New Roman"/>
        </w:rPr>
        <w:t>图1</w:t>
      </w:r>
      <w:r>
        <w:rPr>
          <w:rFonts w:hint="eastAsia" w:cs="Times New Roman"/>
        </w:rPr>
        <w:t xml:space="preserve">.1—1                             </w:t>
      </w:r>
      <w:r>
        <w:rPr>
          <w:rFonts w:cs="Times New Roman"/>
        </w:rPr>
        <w:t>项目地理位置图</w:t>
      </w:r>
    </w:p>
    <w:p>
      <w:pPr>
        <w:ind w:firstLine="0" w:firstLineChars="0"/>
        <w:sectPr>
          <w:pgSz w:w="16838" w:h="11906" w:orient="landscape"/>
          <w:pgMar w:top="1134" w:right="1418" w:bottom="1134" w:left="1418" w:header="851" w:footer="851" w:gutter="0"/>
          <w:cols w:space="425" w:num="1"/>
          <w:docGrid w:type="lines" w:linePitch="326" w:charSpace="0"/>
        </w:sectPr>
      </w:pPr>
    </w:p>
    <w:p>
      <w:pPr>
        <w:ind w:firstLine="480"/>
      </w:pPr>
      <w:r>
        <w:t>(1)</w:t>
      </w:r>
      <w:r>
        <w:rPr>
          <w:rFonts w:hint="eastAsia"/>
        </w:rPr>
        <w:t>全厂总平面布置</w:t>
      </w:r>
    </w:p>
    <w:p>
      <w:pPr>
        <w:ind w:firstLine="480"/>
      </w:pPr>
      <w:r>
        <w:rPr>
          <w:rFonts w:hint="eastAsia"/>
        </w:rPr>
        <w:t>总平面布置变更，处置场占地面积仍为66634m</w:t>
      </w:r>
      <w:r>
        <w:rPr>
          <w:rFonts w:hint="eastAsia"/>
          <w:vertAlign w:val="superscript"/>
        </w:rPr>
        <w:t>2</w:t>
      </w:r>
      <w:r>
        <w:rPr>
          <w:rFonts w:hint="eastAsia"/>
        </w:rPr>
        <w:t>，与改扩建之前没有变化；厂区内焚烧、物化、固化、危废暂存车间、辅助车间设施等位置重新调整；增设危废暂存库和预处理储罐区，取消飞灰筒仓。安全填埋场不变化。</w:t>
      </w:r>
    </w:p>
    <w:p>
      <w:pPr>
        <w:pStyle w:val="161"/>
        <w:ind w:firstLine="480"/>
        <w:outlineLvl w:val="0"/>
      </w:pPr>
      <w:bookmarkStart w:id="34" w:name="_Toc13760054"/>
      <w:bookmarkStart w:id="35" w:name="_Toc13582006"/>
      <w:r>
        <w:t>(2)</w:t>
      </w:r>
      <w:r>
        <w:rPr>
          <w:rFonts w:hint="eastAsia"/>
        </w:rPr>
        <w:t>危废储运和暂存</w:t>
      </w:r>
      <w:bookmarkEnd w:id="34"/>
      <w:bookmarkEnd w:id="35"/>
    </w:p>
    <w:p>
      <w:pPr>
        <w:pStyle w:val="161"/>
        <w:ind w:firstLine="480"/>
      </w:pPr>
      <w:r>
        <w:rPr>
          <w:rFonts w:hint="eastAsia"/>
        </w:rPr>
        <w:t>改扩建前：项目物化系统处理的外来危废种类主要包括：HW34废酸、HW35废碱、HW废乳化液；焚烧系统处理的外来危废种类主要包括：HW02</w:t>
      </w:r>
      <w:r>
        <w:rPr>
          <w:rFonts w:hint="eastAsia"/>
          <w:szCs w:val="21"/>
        </w:rPr>
        <w:t>医药废物、</w:t>
      </w:r>
      <w:r>
        <w:rPr>
          <w:rFonts w:hint="eastAsia"/>
        </w:rPr>
        <w:t>HW03</w:t>
      </w:r>
      <w:r>
        <w:rPr>
          <w:rFonts w:hint="eastAsia"/>
          <w:szCs w:val="21"/>
        </w:rPr>
        <w:t>废药物、药品、</w:t>
      </w:r>
      <w:r>
        <w:rPr>
          <w:rFonts w:hint="eastAsia"/>
        </w:rPr>
        <w:t>HW04</w:t>
      </w:r>
      <w:r>
        <w:rPr>
          <w:rFonts w:hint="eastAsia"/>
          <w:szCs w:val="21"/>
        </w:rPr>
        <w:t>农药废物</w:t>
      </w:r>
      <w:r>
        <w:rPr>
          <w:rFonts w:hint="eastAsia"/>
        </w:rPr>
        <w:t>、HW05</w:t>
      </w:r>
      <w:r>
        <w:rPr>
          <w:rFonts w:hint="eastAsia"/>
          <w:szCs w:val="21"/>
        </w:rPr>
        <w:t>木材防腐剂废物</w:t>
      </w:r>
      <w:r>
        <w:rPr>
          <w:rFonts w:hint="eastAsia"/>
        </w:rPr>
        <w:t>、HW06</w:t>
      </w:r>
      <w:r>
        <w:rPr>
          <w:rFonts w:hint="eastAsia"/>
          <w:szCs w:val="21"/>
        </w:rPr>
        <w:t>废有机溶剂</w:t>
      </w:r>
      <w:r>
        <w:rPr>
          <w:rFonts w:hint="eastAsia"/>
        </w:rPr>
        <w:t>、HW08</w:t>
      </w:r>
      <w:r>
        <w:rPr>
          <w:rFonts w:hint="eastAsia"/>
          <w:szCs w:val="21"/>
        </w:rPr>
        <w:t>废矿物油</w:t>
      </w:r>
      <w:r>
        <w:rPr>
          <w:rFonts w:hint="eastAsia"/>
        </w:rPr>
        <w:t>、HW09</w:t>
      </w:r>
      <w:r>
        <w:rPr>
          <w:rFonts w:hint="eastAsia"/>
          <w:szCs w:val="21"/>
        </w:rPr>
        <w:t>油</w:t>
      </w:r>
      <w:r>
        <w:rPr>
          <w:szCs w:val="21"/>
        </w:rPr>
        <w:t>/</w:t>
      </w:r>
      <w:r>
        <w:rPr>
          <w:rFonts w:hint="eastAsia"/>
          <w:szCs w:val="21"/>
        </w:rPr>
        <w:t>水、烃</w:t>
      </w:r>
      <w:r>
        <w:rPr>
          <w:szCs w:val="21"/>
        </w:rPr>
        <w:t>/</w:t>
      </w:r>
      <w:r>
        <w:rPr>
          <w:rFonts w:hint="eastAsia"/>
          <w:szCs w:val="21"/>
        </w:rPr>
        <w:t>水混合物</w:t>
      </w:r>
      <w:r>
        <w:rPr>
          <w:rFonts w:hint="eastAsia"/>
        </w:rPr>
        <w:t>、HW11</w:t>
      </w:r>
      <w:r>
        <w:rPr>
          <w:rFonts w:hint="eastAsia"/>
          <w:szCs w:val="21"/>
        </w:rPr>
        <w:t>精馏残渣</w:t>
      </w:r>
      <w:r>
        <w:rPr>
          <w:rFonts w:hint="eastAsia"/>
        </w:rPr>
        <w:t>、 HW12</w:t>
      </w:r>
      <w:r>
        <w:rPr>
          <w:rFonts w:hint="eastAsia"/>
          <w:szCs w:val="21"/>
        </w:rPr>
        <w:t>染料、涂料废物</w:t>
      </w:r>
      <w:r>
        <w:rPr>
          <w:rFonts w:hint="eastAsia"/>
        </w:rPr>
        <w:t>、HW13</w:t>
      </w:r>
      <w:r>
        <w:rPr>
          <w:rFonts w:hint="eastAsia"/>
          <w:szCs w:val="21"/>
        </w:rPr>
        <w:t>有机树脂废物</w:t>
      </w:r>
      <w:r>
        <w:rPr>
          <w:rFonts w:hint="eastAsia"/>
        </w:rPr>
        <w:t>、HW14</w:t>
      </w:r>
      <w:r>
        <w:rPr>
          <w:rFonts w:hint="eastAsia"/>
          <w:szCs w:val="21"/>
        </w:rPr>
        <w:t>新化学物质废物、</w:t>
      </w:r>
      <w:r>
        <w:rPr>
          <w:rFonts w:hint="eastAsia"/>
        </w:rPr>
        <w:t>HW37</w:t>
      </w:r>
      <w:r>
        <w:rPr>
          <w:rFonts w:hint="eastAsia"/>
          <w:szCs w:val="21"/>
        </w:rPr>
        <w:t>有机磷化合物废物</w:t>
      </w:r>
      <w:r>
        <w:rPr>
          <w:rFonts w:hint="eastAsia"/>
        </w:rPr>
        <w:t>、HW38</w:t>
      </w:r>
      <w:r>
        <w:rPr>
          <w:rFonts w:hint="eastAsia"/>
          <w:szCs w:val="21"/>
        </w:rPr>
        <w:t>有机氰化物废物</w:t>
      </w:r>
      <w:r>
        <w:rPr>
          <w:rFonts w:hint="eastAsia"/>
        </w:rPr>
        <w:t>、HW39</w:t>
      </w:r>
      <w:r>
        <w:rPr>
          <w:rFonts w:hint="eastAsia"/>
          <w:szCs w:val="21"/>
        </w:rPr>
        <w:t>含酚废物</w:t>
      </w:r>
      <w:r>
        <w:rPr>
          <w:rFonts w:hint="eastAsia"/>
        </w:rPr>
        <w:t>、 HW45</w:t>
      </w:r>
      <w:r>
        <w:rPr>
          <w:rFonts w:hint="eastAsia"/>
          <w:szCs w:val="21"/>
        </w:rPr>
        <w:t>含醚废物</w:t>
      </w:r>
      <w:r>
        <w:rPr>
          <w:rFonts w:hint="eastAsia"/>
        </w:rPr>
        <w:t>、HW45</w:t>
      </w:r>
      <w:r>
        <w:rPr>
          <w:rFonts w:hint="eastAsia"/>
          <w:szCs w:val="21"/>
        </w:rPr>
        <w:t>含有机卤化物废物</w:t>
      </w:r>
      <w:r>
        <w:rPr>
          <w:rFonts w:hint="eastAsia"/>
        </w:rPr>
        <w:t>、HW49</w:t>
      </w:r>
      <w:r>
        <w:rPr>
          <w:rFonts w:hint="eastAsia"/>
          <w:szCs w:val="21"/>
        </w:rPr>
        <w:t>其他废物；固化</w:t>
      </w:r>
      <w:r>
        <w:rPr>
          <w:rFonts w:hint="eastAsia"/>
        </w:rPr>
        <w:t>系统处理的外来危废种类主要包括：HW17</w:t>
      </w:r>
      <w:r>
        <w:rPr>
          <w:rFonts w:hint="eastAsia"/>
          <w:szCs w:val="21"/>
        </w:rPr>
        <w:t>表面处理废物</w:t>
      </w:r>
      <w:r>
        <w:rPr>
          <w:rFonts w:hint="eastAsia"/>
        </w:rPr>
        <w:t>、HW18</w:t>
      </w:r>
      <w:r>
        <w:rPr>
          <w:rFonts w:hint="eastAsia"/>
          <w:szCs w:val="21"/>
        </w:rPr>
        <w:t>焚烧处置残渣</w:t>
      </w:r>
      <w:r>
        <w:rPr>
          <w:rFonts w:hint="eastAsia"/>
        </w:rPr>
        <w:t>、HW19</w:t>
      </w:r>
      <w:r>
        <w:rPr>
          <w:rFonts w:hint="eastAsia"/>
          <w:szCs w:val="21"/>
        </w:rPr>
        <w:t>含金属羰基化合物废物</w:t>
      </w:r>
      <w:r>
        <w:rPr>
          <w:rFonts w:hint="eastAsia"/>
        </w:rPr>
        <w:t>、HW20</w:t>
      </w:r>
      <w:r>
        <w:rPr>
          <w:rFonts w:hint="eastAsia"/>
          <w:szCs w:val="21"/>
        </w:rPr>
        <w:t>含铍废物</w:t>
      </w:r>
      <w:r>
        <w:rPr>
          <w:rFonts w:hint="eastAsia"/>
        </w:rPr>
        <w:t>、HW21</w:t>
      </w:r>
      <w:r>
        <w:rPr>
          <w:rFonts w:hint="eastAsia"/>
          <w:szCs w:val="21"/>
        </w:rPr>
        <w:t>含铬废物</w:t>
      </w:r>
      <w:r>
        <w:rPr>
          <w:rFonts w:hint="eastAsia"/>
        </w:rPr>
        <w:t>、HW22</w:t>
      </w:r>
      <w:r>
        <w:rPr>
          <w:rFonts w:hint="eastAsia"/>
          <w:szCs w:val="21"/>
        </w:rPr>
        <w:t>含铜废物</w:t>
      </w:r>
      <w:r>
        <w:rPr>
          <w:rFonts w:hint="eastAsia"/>
        </w:rPr>
        <w:t>、HW23</w:t>
      </w:r>
      <w:r>
        <w:rPr>
          <w:rFonts w:hint="eastAsia"/>
          <w:szCs w:val="21"/>
        </w:rPr>
        <w:t>含锌废物</w:t>
      </w:r>
      <w:r>
        <w:rPr>
          <w:rFonts w:hint="eastAsia"/>
        </w:rPr>
        <w:t>、HW24</w:t>
      </w:r>
      <w:r>
        <w:rPr>
          <w:rFonts w:hint="eastAsia"/>
          <w:szCs w:val="21"/>
        </w:rPr>
        <w:t>含砷废物</w:t>
      </w:r>
      <w:r>
        <w:rPr>
          <w:rFonts w:hint="eastAsia"/>
        </w:rPr>
        <w:t>、HW25</w:t>
      </w:r>
      <w:r>
        <w:rPr>
          <w:rFonts w:hint="eastAsia"/>
          <w:szCs w:val="21"/>
        </w:rPr>
        <w:t>含硒废物</w:t>
      </w:r>
      <w:r>
        <w:rPr>
          <w:rFonts w:hint="eastAsia"/>
        </w:rPr>
        <w:t>、HW26</w:t>
      </w:r>
      <w:r>
        <w:rPr>
          <w:rFonts w:hint="eastAsia"/>
          <w:szCs w:val="21"/>
        </w:rPr>
        <w:t>含镉废物</w:t>
      </w:r>
      <w:r>
        <w:rPr>
          <w:rFonts w:hint="eastAsia"/>
        </w:rPr>
        <w:t>、HW27</w:t>
      </w:r>
      <w:r>
        <w:rPr>
          <w:rFonts w:hint="eastAsia"/>
          <w:szCs w:val="21"/>
        </w:rPr>
        <w:t>含锑废物</w:t>
      </w:r>
      <w:r>
        <w:rPr>
          <w:rFonts w:hint="eastAsia"/>
        </w:rPr>
        <w:t>、HW28</w:t>
      </w:r>
      <w:r>
        <w:rPr>
          <w:rFonts w:hint="eastAsia"/>
          <w:szCs w:val="21"/>
        </w:rPr>
        <w:t>含碲废物</w:t>
      </w:r>
      <w:r>
        <w:rPr>
          <w:rFonts w:hint="eastAsia"/>
        </w:rPr>
        <w:t>、HW29</w:t>
      </w:r>
      <w:r>
        <w:rPr>
          <w:rFonts w:hint="eastAsia"/>
          <w:szCs w:val="21"/>
        </w:rPr>
        <w:t>含汞废物</w:t>
      </w:r>
      <w:r>
        <w:rPr>
          <w:rFonts w:hint="eastAsia"/>
        </w:rPr>
        <w:t>、HW30</w:t>
      </w:r>
      <w:r>
        <w:rPr>
          <w:rFonts w:hint="eastAsia"/>
          <w:szCs w:val="21"/>
        </w:rPr>
        <w:t>含铊废物</w:t>
      </w:r>
      <w:r>
        <w:rPr>
          <w:rFonts w:hint="eastAsia"/>
        </w:rPr>
        <w:t>、HW31</w:t>
      </w:r>
      <w:r>
        <w:rPr>
          <w:rFonts w:hint="eastAsia"/>
          <w:szCs w:val="21"/>
        </w:rPr>
        <w:t>含铅废物</w:t>
      </w:r>
      <w:r>
        <w:rPr>
          <w:rFonts w:hint="eastAsia"/>
        </w:rPr>
        <w:t>、HW36</w:t>
      </w:r>
      <w:r>
        <w:rPr>
          <w:rFonts w:hint="eastAsia"/>
          <w:szCs w:val="21"/>
        </w:rPr>
        <w:t>石棉废物</w:t>
      </w:r>
      <w:r>
        <w:rPr>
          <w:rFonts w:hint="eastAsia"/>
        </w:rPr>
        <w:t>、HW46</w:t>
      </w:r>
      <w:r>
        <w:rPr>
          <w:rFonts w:hint="eastAsia"/>
          <w:szCs w:val="21"/>
        </w:rPr>
        <w:t>含镍废物</w:t>
      </w:r>
      <w:r>
        <w:rPr>
          <w:rFonts w:hint="eastAsia"/>
        </w:rPr>
        <w:t>、HW47</w:t>
      </w:r>
      <w:r>
        <w:rPr>
          <w:rFonts w:hint="eastAsia"/>
          <w:szCs w:val="21"/>
        </w:rPr>
        <w:t>含钡废物</w:t>
      </w:r>
      <w:r>
        <w:rPr>
          <w:rFonts w:hint="eastAsia"/>
        </w:rPr>
        <w:t>、HW48</w:t>
      </w:r>
      <w:r>
        <w:rPr>
          <w:rFonts w:hint="eastAsia"/>
          <w:szCs w:val="21"/>
        </w:rPr>
        <w:t>有机金属冶炼废物</w:t>
      </w:r>
      <w:r>
        <w:rPr>
          <w:rFonts w:hint="eastAsia"/>
        </w:rPr>
        <w:t>、HW50</w:t>
      </w:r>
      <w:r>
        <w:rPr>
          <w:rFonts w:hint="eastAsia"/>
          <w:szCs w:val="21"/>
        </w:rPr>
        <w:t>废催化剂</w:t>
      </w:r>
      <w:r>
        <w:rPr>
          <w:rFonts w:hint="eastAsia"/>
        </w:rPr>
        <w:t xml:space="preserve"> 、HW49</w:t>
      </w:r>
      <w:r>
        <w:rPr>
          <w:rFonts w:hint="eastAsia"/>
          <w:szCs w:val="21"/>
        </w:rPr>
        <w:t>其他废物</w:t>
      </w:r>
      <w:r>
        <w:rPr>
          <w:rFonts w:hint="eastAsia"/>
        </w:rPr>
        <w:t>。</w:t>
      </w:r>
    </w:p>
    <w:p>
      <w:pPr>
        <w:pStyle w:val="161"/>
        <w:ind w:firstLine="480"/>
      </w:pPr>
      <w:r>
        <w:rPr>
          <w:rFonts w:hint="eastAsia"/>
        </w:rPr>
        <w:t>改扩建后：根据开发区及周边如阿拉善经济技术开发区、中卫市各工业企业危废产生情况及本项目工艺特点，改扩建后本项目在原基础上新增8类（物化处理新增HW32无机氟化物废物、HW21、HW17；焚烧处理新增HW07含氰废物、HW16感光材料废物、HW33无机氰化废物、HW50废催化物、HW36石棉废物）进厂危废，经化验符合本项目物化系统和焚烧系统要求后，全部送至物化和焚烧系统进行处置。凡经化验不符合本项目要求的新增危废，本项目不予接收。</w:t>
      </w:r>
      <w:r>
        <w:rPr>
          <w:rFonts w:hint="eastAsia"/>
          <w:kern w:val="0"/>
        </w:rPr>
        <w:t>改扩建后本项目在原基础上不处理</w:t>
      </w:r>
      <w:r>
        <w:rPr>
          <w:kern w:val="0"/>
        </w:rPr>
        <w:t>3</w:t>
      </w:r>
      <w:r>
        <w:rPr>
          <w:rFonts w:hint="eastAsia"/>
          <w:kern w:val="0"/>
        </w:rPr>
        <w:t>类（</w:t>
      </w:r>
      <w:r>
        <w:rPr>
          <w:kern w:val="0"/>
        </w:rPr>
        <w:t>HW02</w:t>
      </w:r>
      <w:r>
        <w:rPr>
          <w:rFonts w:hint="eastAsia"/>
          <w:kern w:val="0"/>
        </w:rPr>
        <w:t>医药废物、</w:t>
      </w:r>
      <w:r>
        <w:rPr>
          <w:kern w:val="0"/>
        </w:rPr>
        <w:t>HW03</w:t>
      </w:r>
      <w:r>
        <w:rPr>
          <w:rFonts w:hint="eastAsia"/>
          <w:kern w:val="0"/>
        </w:rPr>
        <w:t>废药物、药品、</w:t>
      </w:r>
      <w:r>
        <w:rPr>
          <w:kern w:val="0"/>
        </w:rPr>
        <w:t>HW04</w:t>
      </w:r>
      <w:r>
        <w:rPr>
          <w:rFonts w:hint="eastAsia"/>
          <w:kern w:val="0"/>
        </w:rPr>
        <w:t>农药废物）危废。</w:t>
      </w:r>
    </w:p>
    <w:p>
      <w:pPr>
        <w:pStyle w:val="161"/>
        <w:ind w:firstLine="480"/>
      </w:pPr>
      <w:r>
        <w:rPr>
          <w:rFonts w:hint="eastAsia"/>
        </w:rPr>
        <w:t>改扩建前：项目危废厂内暂存见表</w:t>
      </w:r>
      <w:r>
        <w:t>1.1</w:t>
      </w:r>
      <w:r>
        <w:rPr>
          <w:rFonts w:hint="eastAsia"/>
        </w:rPr>
        <w:t>—</w:t>
      </w:r>
      <w:r>
        <w:t>1</w:t>
      </w:r>
      <w:r>
        <w:rPr>
          <w:rFonts w:hint="eastAsia"/>
        </w:rPr>
        <w:t>。</w:t>
      </w:r>
    </w:p>
    <w:p>
      <w:pPr>
        <w:pStyle w:val="161"/>
        <w:ind w:firstLine="480"/>
        <w:rPr>
          <w:rFonts w:hAnsi="宋体"/>
        </w:rPr>
      </w:pPr>
      <w:r>
        <w:rPr>
          <w:rFonts w:hint="eastAsia" w:hAnsi="宋体"/>
        </w:rPr>
        <w:t>表</w:t>
      </w:r>
      <w:r>
        <w:rPr>
          <w:rFonts w:hAnsi="宋体"/>
        </w:rPr>
        <w:t>1.1</w:t>
      </w:r>
      <w:r>
        <w:rPr>
          <w:rFonts w:hint="eastAsia" w:hAnsi="宋体"/>
        </w:rPr>
        <w:t>—</w:t>
      </w:r>
      <w:r>
        <w:rPr>
          <w:rFonts w:hAnsi="宋体"/>
        </w:rPr>
        <w:t xml:space="preserve">1            </w:t>
      </w:r>
      <w:r>
        <w:rPr>
          <w:rFonts w:hint="eastAsia"/>
        </w:rPr>
        <w:t>改扩建</w:t>
      </w:r>
      <w:r>
        <w:rPr>
          <w:rFonts w:hint="eastAsia" w:hAnsi="宋体"/>
        </w:rPr>
        <w:t>前危险废物收集贮存方式表</w:t>
      </w:r>
    </w:p>
    <w:tbl>
      <w:tblPr>
        <w:tblStyle w:val="88"/>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093"/>
        <w:gridCol w:w="2342"/>
        <w:gridCol w:w="1638"/>
        <w:gridCol w:w="1153"/>
        <w:gridCol w:w="1307"/>
        <w:gridCol w:w="175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093"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序号</w:t>
            </w:r>
          </w:p>
        </w:tc>
        <w:tc>
          <w:tcPr>
            <w:tcW w:w="2342"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名称</w:t>
            </w:r>
          </w:p>
        </w:tc>
        <w:tc>
          <w:tcPr>
            <w:tcW w:w="1638"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建设方案</w:t>
            </w:r>
          </w:p>
        </w:tc>
        <w:tc>
          <w:tcPr>
            <w:tcW w:w="1153"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建设个数</w:t>
            </w:r>
          </w:p>
        </w:tc>
        <w:tc>
          <w:tcPr>
            <w:tcW w:w="1307"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储存量</w:t>
            </w:r>
            <w:r>
              <w:rPr>
                <w:sz w:val="21"/>
              </w:rPr>
              <w:t>(t)</w:t>
            </w:r>
          </w:p>
        </w:tc>
        <w:tc>
          <w:tcPr>
            <w:tcW w:w="1753"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hAnsi="宋体"/>
                <w:sz w:val="21"/>
              </w:rPr>
              <w:t>备注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093"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342"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r>
              <w:rPr>
                <w:rFonts w:hint="eastAsia"/>
                <w:sz w:val="21"/>
              </w:rPr>
              <w:t>仓库</w:t>
            </w:r>
          </w:p>
        </w:tc>
        <w:tc>
          <w:tcPr>
            <w:tcW w:w="1638"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1584m</w:t>
            </w:r>
            <w:r>
              <w:rPr>
                <w:sz w:val="21"/>
                <w:vertAlign w:val="superscript"/>
              </w:rPr>
              <w:t>2</w:t>
            </w:r>
          </w:p>
        </w:tc>
        <w:tc>
          <w:tcPr>
            <w:tcW w:w="115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307"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530</w:t>
            </w:r>
          </w:p>
        </w:tc>
        <w:tc>
          <w:tcPr>
            <w:tcW w:w="1753"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09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234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r>
              <w:rPr>
                <w:rFonts w:hint="eastAsia"/>
                <w:sz w:val="21"/>
              </w:rPr>
              <w:t>仓库</w:t>
            </w:r>
          </w:p>
        </w:tc>
        <w:tc>
          <w:tcPr>
            <w:tcW w:w="16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1458m</w:t>
            </w:r>
            <w:r>
              <w:rPr>
                <w:sz w:val="21"/>
                <w:vertAlign w:val="superscript"/>
              </w:rPr>
              <w:t>2</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30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486</w:t>
            </w:r>
          </w:p>
        </w:tc>
        <w:tc>
          <w:tcPr>
            <w:tcW w:w="175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09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234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废酸储罐</w:t>
            </w:r>
          </w:p>
        </w:tc>
        <w:tc>
          <w:tcPr>
            <w:tcW w:w="16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23m</w:t>
            </w:r>
            <w:r>
              <w:rPr>
                <w:sz w:val="21"/>
                <w:vertAlign w:val="superscript"/>
              </w:rPr>
              <w:t>3</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130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133.5</w:t>
            </w:r>
          </w:p>
        </w:tc>
        <w:tc>
          <w:tcPr>
            <w:tcW w:w="175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hAnsi="宋体"/>
                <w:sz w:val="21"/>
              </w:rPr>
              <w:t>固定顶罐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09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234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废乳化液储罐</w:t>
            </w:r>
          </w:p>
        </w:tc>
        <w:tc>
          <w:tcPr>
            <w:tcW w:w="16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23m</w:t>
            </w:r>
            <w:r>
              <w:rPr>
                <w:sz w:val="21"/>
                <w:vertAlign w:val="superscript"/>
              </w:rPr>
              <w:t>3</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30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32.8</w:t>
            </w:r>
          </w:p>
        </w:tc>
        <w:tc>
          <w:tcPr>
            <w:tcW w:w="175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hAnsi="宋体"/>
                <w:sz w:val="21"/>
              </w:rPr>
              <w:t>固定顶罐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09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234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废液储罐</w:t>
            </w:r>
          </w:p>
        </w:tc>
        <w:tc>
          <w:tcPr>
            <w:tcW w:w="16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48.5m</w:t>
            </w:r>
            <w:r>
              <w:rPr>
                <w:sz w:val="21"/>
                <w:vertAlign w:val="superscript"/>
              </w:rPr>
              <w:t>3</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130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233</w:t>
            </w:r>
          </w:p>
        </w:tc>
        <w:tc>
          <w:tcPr>
            <w:tcW w:w="175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hAnsi="宋体"/>
                <w:sz w:val="21"/>
              </w:rPr>
              <w:t>固定顶罐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09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234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综合仓库</w:t>
            </w:r>
          </w:p>
        </w:tc>
        <w:tc>
          <w:tcPr>
            <w:tcW w:w="16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696</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30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320</w:t>
            </w:r>
          </w:p>
        </w:tc>
        <w:tc>
          <w:tcPr>
            <w:tcW w:w="175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09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234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柴油储罐</w:t>
            </w:r>
          </w:p>
        </w:tc>
        <w:tc>
          <w:tcPr>
            <w:tcW w:w="16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18.3</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30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31</w:t>
            </w:r>
          </w:p>
        </w:tc>
        <w:tc>
          <w:tcPr>
            <w:tcW w:w="175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hAnsi="宋体"/>
                <w:sz w:val="21"/>
              </w:rPr>
              <w:t>固定顶罐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093"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sz w:val="21"/>
              </w:rPr>
              <w:t>8</w:t>
            </w:r>
          </w:p>
        </w:tc>
        <w:tc>
          <w:tcPr>
            <w:tcW w:w="2342"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飞灰筒仓</w:t>
            </w:r>
          </w:p>
        </w:tc>
        <w:tc>
          <w:tcPr>
            <w:tcW w:w="1638"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30m</w:t>
            </w:r>
            <w:r>
              <w:rPr>
                <w:sz w:val="21"/>
                <w:vertAlign w:val="superscript"/>
              </w:rPr>
              <w:t>3</w:t>
            </w:r>
          </w:p>
        </w:tc>
        <w:tc>
          <w:tcPr>
            <w:tcW w:w="115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1</w:t>
            </w:r>
          </w:p>
        </w:tc>
        <w:tc>
          <w:tcPr>
            <w:tcW w:w="1307"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24</w:t>
            </w:r>
          </w:p>
        </w:tc>
        <w:tc>
          <w:tcPr>
            <w:tcW w:w="1753"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sz w:val="21"/>
              </w:rPr>
              <w:t>-</w:t>
            </w:r>
          </w:p>
        </w:tc>
      </w:tr>
    </w:tbl>
    <w:p>
      <w:pPr>
        <w:pStyle w:val="161"/>
        <w:ind w:firstLine="480"/>
      </w:pPr>
      <w:r>
        <w:rPr>
          <w:rFonts w:hint="eastAsia"/>
        </w:rPr>
        <w:t>改扩建后：项目改扩建后危废厂内暂存见表</w:t>
      </w:r>
      <w:r>
        <w:t>1.1</w:t>
      </w:r>
      <w:r>
        <w:rPr>
          <w:rFonts w:hint="eastAsia"/>
        </w:rPr>
        <w:t>—</w:t>
      </w:r>
      <w:r>
        <w:t>2</w:t>
      </w:r>
      <w:r>
        <w:rPr>
          <w:rFonts w:hint="eastAsia"/>
        </w:rPr>
        <w:t>。</w:t>
      </w:r>
    </w:p>
    <w:p>
      <w:pPr>
        <w:pStyle w:val="161"/>
        <w:ind w:firstLine="480"/>
        <w:rPr>
          <w:color w:val="000000"/>
        </w:rPr>
      </w:pPr>
      <w:r>
        <w:rPr>
          <w:rFonts w:hint="eastAsia"/>
          <w:color w:val="000000"/>
        </w:rPr>
        <w:t>表</w:t>
      </w:r>
      <w:r>
        <w:rPr>
          <w:color w:val="000000"/>
        </w:rPr>
        <w:t>1.1</w:t>
      </w:r>
      <w:r>
        <w:rPr>
          <w:rFonts w:hint="eastAsia"/>
        </w:rPr>
        <w:t>—</w:t>
      </w:r>
      <w:r>
        <w:rPr>
          <w:color w:val="000000"/>
        </w:rPr>
        <w:t xml:space="preserve">2              </w:t>
      </w:r>
      <w:r>
        <w:rPr>
          <w:rFonts w:hint="eastAsia"/>
        </w:rPr>
        <w:t>改扩建后</w:t>
      </w:r>
      <w:r>
        <w:rPr>
          <w:rFonts w:hint="eastAsia"/>
          <w:color w:val="000000"/>
        </w:rPr>
        <w:t>危险废物收集贮存方式表</w:t>
      </w:r>
    </w:p>
    <w:tbl>
      <w:tblPr>
        <w:tblStyle w:val="88"/>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959"/>
        <w:gridCol w:w="1983"/>
        <w:gridCol w:w="1562"/>
        <w:gridCol w:w="1274"/>
        <w:gridCol w:w="1419"/>
        <w:gridCol w:w="208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序号</w:t>
            </w:r>
          </w:p>
        </w:tc>
        <w:tc>
          <w:tcPr>
            <w:tcW w:w="1983"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名称</w:t>
            </w:r>
          </w:p>
        </w:tc>
        <w:tc>
          <w:tcPr>
            <w:tcW w:w="1562"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建设方案</w:t>
            </w:r>
          </w:p>
        </w:tc>
        <w:tc>
          <w:tcPr>
            <w:tcW w:w="1274"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建设个数</w:t>
            </w:r>
          </w:p>
        </w:tc>
        <w:tc>
          <w:tcPr>
            <w:tcW w:w="1419"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储存量</w:t>
            </w:r>
            <w:r>
              <w:rPr>
                <w:sz w:val="21"/>
              </w:rPr>
              <w:t>(t)</w:t>
            </w:r>
          </w:p>
        </w:tc>
        <w:tc>
          <w:tcPr>
            <w:tcW w:w="2089"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hAnsi="宋体"/>
                <w:sz w:val="21"/>
              </w:rPr>
              <w:t>备注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98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r>
              <w:rPr>
                <w:rFonts w:hint="eastAsia"/>
                <w:sz w:val="21"/>
              </w:rPr>
              <w:t>仓库</w:t>
            </w:r>
          </w:p>
        </w:tc>
        <w:tc>
          <w:tcPr>
            <w:tcW w:w="1562"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15</w:t>
            </w:r>
            <w:r>
              <w:rPr>
                <w:rFonts w:hint="eastAsia"/>
                <w:sz w:val="21"/>
              </w:rPr>
              <w:t>10.27</w:t>
            </w:r>
            <w:r>
              <w:rPr>
                <w:sz w:val="21"/>
              </w:rPr>
              <w:t>m</w:t>
            </w:r>
            <w:r>
              <w:rPr>
                <w:sz w:val="21"/>
                <w:vertAlign w:val="superscript"/>
              </w:rPr>
              <w:t>2</w:t>
            </w:r>
          </w:p>
        </w:tc>
        <w:tc>
          <w:tcPr>
            <w:tcW w:w="1274"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419"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480</w:t>
            </w:r>
          </w:p>
        </w:tc>
        <w:tc>
          <w:tcPr>
            <w:tcW w:w="2089"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r>
              <w:rPr>
                <w:rFonts w:hint="eastAsia"/>
                <w:sz w:val="21"/>
              </w:rPr>
              <w:t>仓库</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15</w:t>
            </w:r>
            <w:r>
              <w:rPr>
                <w:rFonts w:hint="eastAsia"/>
                <w:sz w:val="21"/>
              </w:rPr>
              <w:t>10.27</w:t>
            </w:r>
            <w:r>
              <w:rPr>
                <w:sz w:val="21"/>
              </w:rPr>
              <w:t>m</w:t>
            </w:r>
            <w:r>
              <w:rPr>
                <w:sz w:val="21"/>
                <w:vertAlign w:val="superscript"/>
              </w:rPr>
              <w:t>2</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w:t>
            </w:r>
            <w:r>
              <w:rPr>
                <w:rFonts w:hint="eastAsia"/>
                <w:sz w:val="21"/>
              </w:rPr>
              <w:t>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危废暂存库</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1710.27m</w:t>
            </w:r>
            <w:r>
              <w:rPr>
                <w:rFonts w:hint="eastAsia"/>
                <w:sz w:val="21"/>
                <w:vertAlign w:val="superscript"/>
              </w:rPr>
              <w:t>2</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530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废酸储罐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100</w:t>
            </w:r>
            <w:r>
              <w:rPr>
                <w:sz w:val="21"/>
              </w:rPr>
              <w:t>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320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asciiTheme="minorEastAsia" w:hAnsiTheme="minorEastAsia" w:eastAsiaTheme="minorEastAsia"/>
                <w:sz w:val="21"/>
              </w:rPr>
              <w:t>接地圆底罐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废乳化液储罐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100</w:t>
            </w:r>
            <w:r>
              <w:rPr>
                <w:sz w:val="21"/>
              </w:rPr>
              <w:t>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160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asciiTheme="minorEastAsia" w:hAnsiTheme="minorEastAsia" w:eastAsiaTheme="minorEastAsia"/>
                <w:sz w:val="21"/>
              </w:rPr>
              <w:t>接地圆底罐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废碱储罐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100</w:t>
            </w:r>
            <w:r>
              <w:rPr>
                <w:sz w:val="21"/>
              </w:rPr>
              <w:t>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4</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320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asciiTheme="minorEastAsia" w:hAnsiTheme="minorEastAsia" w:eastAsiaTheme="minorEastAsia"/>
                <w:sz w:val="21"/>
              </w:rPr>
              <w:t>接地圆底罐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预处理储罐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15</w:t>
            </w:r>
            <w:r>
              <w:rPr>
                <w:sz w:val="21"/>
              </w:rPr>
              <w:t xml:space="preserve"> 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Theme="minorEastAsia" w:hAnsiTheme="minorEastAsia" w:eastAsiaTheme="minorEastAsia"/>
                <w:sz w:val="21"/>
              </w:rPr>
            </w:pPr>
            <w:r>
              <w:rPr>
                <w:rFonts w:hint="eastAsia" w:asciiTheme="minorEastAsia" w:hAnsiTheme="minorEastAsia" w:eastAsiaTheme="minorEastAsia"/>
                <w:sz w:val="21"/>
              </w:rPr>
              <w:t>锥底罐</w:t>
            </w:r>
          </w:p>
          <w:p>
            <w:pPr>
              <w:spacing w:line="240" w:lineRule="atLeast"/>
              <w:ind w:firstLine="0" w:firstLineChars="0"/>
              <w:jc w:val="center"/>
              <w:rPr>
                <w:rFonts w:hAnsi="宋体"/>
                <w:sz w:val="21"/>
              </w:rPr>
            </w:pPr>
            <w:r>
              <w:rPr>
                <w:rFonts w:hint="eastAsia" w:asciiTheme="minorEastAsia" w:hAnsiTheme="minorEastAsia" w:eastAsiaTheme="minorEastAsia"/>
                <w:sz w:val="21"/>
              </w:rPr>
              <w:t>每预处理罐对应两个储罐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8</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废液储罐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300</w:t>
            </w:r>
            <w:r>
              <w:rPr>
                <w:sz w:val="21"/>
              </w:rPr>
              <w:t xml:space="preserve"> 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4</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960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Theme="minorEastAsia" w:hAnsiTheme="minorEastAsia" w:eastAsiaTheme="minorEastAsia"/>
                <w:sz w:val="21"/>
              </w:rPr>
            </w:pPr>
            <w:r>
              <w:rPr>
                <w:rFonts w:hint="eastAsia" w:asciiTheme="minorEastAsia" w:hAnsiTheme="minorEastAsia" w:eastAsiaTheme="minorEastAsia"/>
                <w:sz w:val="21"/>
              </w:rPr>
              <w:t>接地圆底罐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9</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综合仓库</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696</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320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10</w:t>
            </w:r>
          </w:p>
        </w:tc>
        <w:tc>
          <w:tcPr>
            <w:tcW w:w="198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柴油储罐</w:t>
            </w:r>
          </w:p>
        </w:tc>
        <w:tc>
          <w:tcPr>
            <w:tcW w:w="1562"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20.0</w:t>
            </w:r>
          </w:p>
        </w:tc>
        <w:tc>
          <w:tcPr>
            <w:tcW w:w="1274"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1</w:t>
            </w:r>
          </w:p>
        </w:tc>
        <w:tc>
          <w:tcPr>
            <w:tcW w:w="1419"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15</w:t>
            </w:r>
          </w:p>
        </w:tc>
        <w:tc>
          <w:tcPr>
            <w:tcW w:w="2089"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hAnsi="宋体"/>
                <w:sz w:val="21"/>
              </w:rPr>
              <w:t>固定顶罐</w:t>
            </w:r>
          </w:p>
        </w:tc>
      </w:tr>
    </w:tbl>
    <w:p>
      <w:pPr>
        <w:pStyle w:val="161"/>
        <w:ind w:firstLine="480"/>
      </w:pPr>
    </w:p>
    <w:p>
      <w:pPr>
        <w:pStyle w:val="161"/>
        <w:ind w:firstLine="480"/>
      </w:pPr>
      <w:r>
        <w:rPr>
          <w:rFonts w:hint="eastAsia"/>
        </w:rPr>
        <w:t>改扩建后新增了危废暂存库，预处理储罐、废酸、废碱、废乳化液储罐的数量和体积都进行了改扩建，焚烧车间飞灰堆存在2</w:t>
      </w:r>
      <w:r>
        <w:t>#</w:t>
      </w:r>
      <w:r>
        <w:rPr>
          <w:rFonts w:hint="eastAsia"/>
        </w:rPr>
        <w:t>仓库，取消了飞灰筒仓。</w:t>
      </w:r>
    </w:p>
    <w:p>
      <w:pPr>
        <w:pStyle w:val="161"/>
        <w:ind w:firstLine="480"/>
        <w:outlineLvl w:val="0"/>
      </w:pPr>
      <w:bookmarkStart w:id="36" w:name="_Toc13582007"/>
      <w:bookmarkStart w:id="37" w:name="_Toc13760055"/>
      <w:r>
        <w:t>(3)</w:t>
      </w:r>
      <w:r>
        <w:rPr>
          <w:rFonts w:hint="eastAsia"/>
        </w:rPr>
        <w:t>物化系统</w:t>
      </w:r>
      <w:bookmarkEnd w:id="36"/>
      <w:bookmarkEnd w:id="37"/>
    </w:p>
    <w:p>
      <w:pPr>
        <w:pStyle w:val="161"/>
        <w:ind w:firstLine="480"/>
        <w:rPr>
          <w:rFonts w:hAnsi="宋体"/>
        </w:rPr>
      </w:pPr>
      <w:r>
        <w:rPr>
          <w:rFonts w:hint="eastAsia" w:hAnsi="宋体"/>
        </w:rPr>
        <w:t>改扩建前：废酸处理能力1000t/a，废碱处理能力1000t/a，废乳化液处理能力200t/a。</w:t>
      </w:r>
    </w:p>
    <w:p>
      <w:pPr>
        <w:pStyle w:val="161"/>
        <w:ind w:firstLine="480"/>
        <w:rPr>
          <w:rFonts w:hAnsi="宋体"/>
        </w:rPr>
      </w:pPr>
      <w:r>
        <w:rPr>
          <w:rFonts w:hint="eastAsia" w:hAnsi="宋体"/>
        </w:rPr>
        <w:t>改扩建后：</w:t>
      </w:r>
      <w:r>
        <w:rPr>
          <w:rFonts w:hint="eastAsia"/>
        </w:rPr>
        <w:t>处理工艺与之前的环评没变化，只是处理规模扩大为废酸</w:t>
      </w:r>
      <w:r>
        <w:rPr>
          <w:rFonts w:hint="eastAsia" w:hAnsi="宋体"/>
        </w:rPr>
        <w:t>处理能力10000t/a，废碱处理能力10000t/a，废乳化液处理能力3000t/a。</w:t>
      </w:r>
    </w:p>
    <w:p>
      <w:pPr>
        <w:pStyle w:val="161"/>
        <w:ind w:firstLine="480"/>
        <w:outlineLvl w:val="0"/>
      </w:pPr>
      <w:bookmarkStart w:id="38" w:name="_Toc13760056"/>
      <w:bookmarkStart w:id="39" w:name="_Toc13582008"/>
      <w:r>
        <w:t>(4)</w:t>
      </w:r>
      <w:r>
        <w:rPr>
          <w:rFonts w:hint="eastAsia"/>
        </w:rPr>
        <w:t>危废焚烧系统</w:t>
      </w:r>
      <w:bookmarkEnd w:id="38"/>
      <w:bookmarkEnd w:id="39"/>
    </w:p>
    <w:p>
      <w:pPr>
        <w:pStyle w:val="161"/>
        <w:ind w:firstLine="480"/>
      </w:pPr>
      <w:r>
        <w:rPr>
          <w:rFonts w:hint="eastAsia"/>
        </w:rPr>
        <w:t>改扩建前：焚烧系统主要工艺采用“上料系统</w:t>
      </w:r>
      <w:r>
        <w:t>+</w:t>
      </w:r>
      <w:r>
        <w:rPr>
          <w:rFonts w:hint="eastAsia"/>
        </w:rPr>
        <w:t>回转窑</w:t>
      </w:r>
      <w:r>
        <w:t>+</w:t>
      </w:r>
      <w:r>
        <w:rPr>
          <w:rFonts w:hint="eastAsia"/>
        </w:rPr>
        <w:t>二燃室焚烧系统</w:t>
      </w:r>
      <w:r>
        <w:t>+SNCR</w:t>
      </w:r>
      <w:r>
        <w:rPr>
          <w:rFonts w:hint="eastAsia"/>
        </w:rPr>
        <w:t>脱硝系统</w:t>
      </w:r>
      <w:r>
        <w:t>+</w:t>
      </w:r>
      <w:r>
        <w:rPr>
          <w:rFonts w:hint="eastAsia"/>
        </w:rPr>
        <w:t>旋风收尘器</w:t>
      </w:r>
      <w:r>
        <w:t>+</w:t>
      </w:r>
      <w:r>
        <w:rPr>
          <w:rFonts w:hint="eastAsia"/>
        </w:rPr>
        <w:t>余热锅炉</w:t>
      </w:r>
      <w:r>
        <w:t>+</w:t>
      </w:r>
      <w:r>
        <w:rPr>
          <w:rFonts w:hint="eastAsia"/>
        </w:rPr>
        <w:t>急冷脱酸塔</w:t>
      </w:r>
      <w:r>
        <w:t>+</w:t>
      </w:r>
      <w:r>
        <w:rPr>
          <w:rFonts w:hint="eastAsia"/>
        </w:rPr>
        <w:t>干式反应器</w:t>
      </w:r>
      <w:r>
        <w:t>+</w:t>
      </w:r>
      <w:r>
        <w:rPr>
          <w:rFonts w:hint="eastAsia"/>
        </w:rPr>
        <w:t>袋式除尘器</w:t>
      </w:r>
      <w:r>
        <w:t>+</w:t>
      </w:r>
      <w:r>
        <w:rPr>
          <w:rFonts w:hint="eastAsia"/>
        </w:rPr>
        <w:t>喷淋洗涤塔</w:t>
      </w:r>
      <w:r>
        <w:t>+</w:t>
      </w:r>
      <w:r>
        <w:rPr>
          <w:rFonts w:hint="eastAsia"/>
        </w:rPr>
        <w:t>烟囱”，处理规模为15t/d。</w:t>
      </w:r>
    </w:p>
    <w:p>
      <w:pPr>
        <w:pStyle w:val="161"/>
        <w:ind w:firstLine="480"/>
      </w:pPr>
      <w:r>
        <w:rPr>
          <w:rFonts w:hint="eastAsia"/>
        </w:rPr>
        <w:t>改扩建后：焚烧处理工艺采用“上料系统</w:t>
      </w:r>
      <w:r>
        <w:t>+</w:t>
      </w:r>
      <w:r>
        <w:rPr>
          <w:rFonts w:hint="eastAsia"/>
        </w:rPr>
        <w:t>回转窑</w:t>
      </w:r>
      <w:r>
        <w:t>+</w:t>
      </w:r>
      <w:r>
        <w:rPr>
          <w:rFonts w:hint="eastAsia"/>
        </w:rPr>
        <w:t>二燃室焚烧系统</w:t>
      </w:r>
      <w:r>
        <w:t>+SNCR</w:t>
      </w:r>
      <w:r>
        <w:rPr>
          <w:rFonts w:hint="eastAsia"/>
        </w:rPr>
        <w:t>脱硝系统</w:t>
      </w:r>
      <w:r>
        <w:t>+</w:t>
      </w:r>
      <w:r>
        <w:rPr>
          <w:rFonts w:hint="eastAsia"/>
        </w:rPr>
        <w:t>余热锅炉</w:t>
      </w:r>
      <w:r>
        <w:t>+</w:t>
      </w:r>
      <w:r>
        <w:rPr>
          <w:rFonts w:hint="eastAsia"/>
        </w:rPr>
        <w:t>急冷脱酸塔</w:t>
      </w:r>
      <w:r>
        <w:t>+</w:t>
      </w:r>
      <w:r>
        <w:rPr>
          <w:rFonts w:hint="eastAsia"/>
        </w:rPr>
        <w:t>干式反应器</w:t>
      </w:r>
      <w:r>
        <w:t>+</w:t>
      </w:r>
      <w:r>
        <w:rPr>
          <w:rFonts w:hint="eastAsia"/>
        </w:rPr>
        <w:t>袋式除尘器</w:t>
      </w:r>
      <w:r>
        <w:t>+</w:t>
      </w:r>
      <w:r>
        <w:rPr>
          <w:rFonts w:hint="eastAsia"/>
        </w:rPr>
        <w:t>喷淋洗涤塔</w:t>
      </w:r>
      <w:r>
        <w:t>+</w:t>
      </w:r>
      <w:r>
        <w:rPr>
          <w:rFonts w:hint="eastAsia"/>
        </w:rPr>
        <w:t>湿电除尘+烟囱”，建设2套处理能力为50</w:t>
      </w:r>
      <w:r>
        <w:t>t/d</w:t>
      </w:r>
      <w:r>
        <w:rPr>
          <w:rFonts w:hint="eastAsia"/>
        </w:rPr>
        <w:t>的回转窑型焚烧炉及其配套设施，焚烧系统年运行天数为</w:t>
      </w:r>
      <w:r>
        <w:t>330d</w:t>
      </w:r>
      <w:r>
        <w:rPr>
          <w:rFonts w:hint="eastAsia"/>
        </w:rPr>
        <w:t>，年危废处理能力为3300</w:t>
      </w:r>
      <w:r>
        <w:t>0t/a</w:t>
      </w:r>
      <w:r>
        <w:rPr>
          <w:rFonts w:hint="eastAsia"/>
        </w:rPr>
        <w:t>。</w:t>
      </w:r>
    </w:p>
    <w:p>
      <w:pPr>
        <w:pStyle w:val="161"/>
        <w:ind w:firstLine="480"/>
        <w:rPr>
          <w:rFonts w:hAnsi="宋体"/>
        </w:rPr>
      </w:pPr>
      <w:r>
        <w:rPr>
          <w:rFonts w:hint="eastAsia"/>
        </w:rPr>
        <w:t>改扩建后烟气处理工艺对各项废气污染物的去除效率与原环评一致，所以产、排情况在原环评基础上进行计算分析。</w:t>
      </w:r>
    </w:p>
    <w:p>
      <w:pPr>
        <w:pStyle w:val="161"/>
        <w:ind w:firstLine="480"/>
        <w:outlineLvl w:val="0"/>
      </w:pPr>
      <w:r>
        <w:rPr>
          <w:rFonts w:hint="eastAsia"/>
        </w:rPr>
        <w:fldChar w:fldCharType="begin"/>
      </w:r>
      <w:r>
        <w:instrText xml:space="preserve"> = 5 \* GB2 </w:instrText>
      </w:r>
      <w:r>
        <w:rPr>
          <w:rFonts w:hint="eastAsia"/>
        </w:rPr>
        <w:fldChar w:fldCharType="separate"/>
      </w:r>
      <w:r>
        <w:rPr>
          <w:rFonts w:hint="eastAsia"/>
        </w:rPr>
        <w:t>⑸</w:t>
      </w:r>
      <w:r>
        <w:rPr>
          <w:rFonts w:hint="eastAsia"/>
        </w:rPr>
        <w:fldChar w:fldCharType="end"/>
      </w:r>
      <w:r>
        <w:rPr>
          <w:rFonts w:hint="eastAsia"/>
        </w:rPr>
        <w:t>固化处理系统</w:t>
      </w:r>
    </w:p>
    <w:p>
      <w:pPr>
        <w:ind w:firstLine="480"/>
      </w:pPr>
      <w:r>
        <w:rPr>
          <w:rFonts w:hint="eastAsia" w:hAnsi="宋体"/>
        </w:rPr>
        <w:t>改扩建前：固化系统</w:t>
      </w:r>
      <w:r>
        <w:rPr>
          <w:rFonts w:hint="eastAsia"/>
        </w:rPr>
        <w:t>主要工艺采用以水泥基固化法为主，药剂稳定化为辅的处理技术，处理规模为60t/a。</w:t>
      </w:r>
    </w:p>
    <w:p>
      <w:pPr>
        <w:ind w:firstLine="480"/>
      </w:pPr>
      <w:r>
        <w:rPr>
          <w:rFonts w:hint="eastAsia" w:hAnsi="宋体"/>
        </w:rPr>
        <w:t>改扩建后：固化处理工艺与之前环评没有变化，</w:t>
      </w:r>
      <w:r>
        <w:rPr>
          <w:rFonts w:hint="eastAsia"/>
        </w:rPr>
        <w:t>处理能力为150t/d，分区建设：安全填埋场设置处理能力60t/d，危废处置场设置处理能力90t/d。</w:t>
      </w:r>
    </w:p>
    <w:p>
      <w:pPr>
        <w:pStyle w:val="161"/>
        <w:ind w:firstLine="480"/>
        <w:outlineLvl w:val="0"/>
      </w:pPr>
      <w:r>
        <w:rPr>
          <w:rFonts w:hint="eastAsia"/>
        </w:rPr>
        <w:fldChar w:fldCharType="begin"/>
      </w:r>
      <w:r>
        <w:instrText xml:space="preserve"> = 6 \* GB2 </w:instrText>
      </w:r>
      <w:r>
        <w:rPr>
          <w:rFonts w:hint="eastAsia"/>
        </w:rPr>
        <w:fldChar w:fldCharType="separate"/>
      </w:r>
      <w:r>
        <w:rPr>
          <w:rFonts w:hint="eastAsia"/>
        </w:rPr>
        <w:t>⑹</w:t>
      </w:r>
      <w:r>
        <w:rPr>
          <w:rFonts w:hint="eastAsia"/>
        </w:rPr>
        <w:fldChar w:fldCharType="end"/>
      </w:r>
      <w:r>
        <w:rPr>
          <w:rFonts w:hint="eastAsia"/>
        </w:rPr>
        <w:t>污水处理站</w:t>
      </w:r>
    </w:p>
    <w:p>
      <w:pPr>
        <w:pStyle w:val="161"/>
        <w:ind w:firstLine="480"/>
      </w:pPr>
      <w:r>
        <w:rPr>
          <w:rFonts w:hint="eastAsia" w:hAnsi="宋体"/>
        </w:rPr>
        <w:t>改扩建</w:t>
      </w:r>
      <w:r>
        <w:rPr>
          <w:rFonts w:hint="eastAsia"/>
        </w:rPr>
        <w:t>前：项目焚烧车间喷淋洗涤塔排水</w:t>
      </w:r>
      <w:r>
        <w:rPr>
          <w:rFonts w:hint="eastAsia" w:hAnsi="宋体"/>
        </w:rPr>
        <w:t>由本车间污水处理模块经“絮凝沉淀”处理后送至物化车间污水处理模块</w:t>
      </w:r>
      <w:r>
        <w:rPr>
          <w:rFonts w:hint="eastAsia"/>
        </w:rPr>
        <w:t>；物化车间澄清池排水</w:t>
      </w:r>
      <w:r>
        <w:rPr>
          <w:rFonts w:hint="eastAsia" w:hAnsi="宋体"/>
        </w:rPr>
        <w:t>和</w:t>
      </w:r>
      <w:r>
        <w:rPr>
          <w:rFonts w:hint="eastAsia"/>
        </w:rPr>
        <w:t>沉淀池废水</w:t>
      </w:r>
      <w:r>
        <w:rPr>
          <w:rFonts w:hint="eastAsia" w:hAnsi="宋体"/>
        </w:rPr>
        <w:t>经“絮凝沉淀”处理后</w:t>
      </w:r>
      <w:r>
        <w:rPr>
          <w:rFonts w:hint="eastAsia"/>
        </w:rPr>
        <w:t>，与焚烧车间污水处理模块排水</w:t>
      </w:r>
      <w:r>
        <w:rPr>
          <w:rFonts w:hint="eastAsia" w:hAnsi="宋体"/>
        </w:rPr>
        <w:t>、</w:t>
      </w:r>
      <w:r>
        <w:rPr>
          <w:rFonts w:hint="eastAsia"/>
        </w:rPr>
        <w:t>污水处理站排浓水采用“</w:t>
      </w:r>
      <w:r>
        <w:t>Fenton+</w:t>
      </w:r>
      <w:r>
        <w:rPr>
          <w:rFonts w:hint="eastAsia"/>
        </w:rPr>
        <w:t>强制循环蒸发”的方法进行处理，处理后的冷凝液与冲洗废水、化验用水、安全填埋场渗滤液</w:t>
      </w:r>
      <w:r>
        <w:rPr>
          <w:rFonts w:hint="eastAsia" w:hAnsi="宋体"/>
        </w:rPr>
        <w:t>以及生活污水送至全厂污水处理站，</w:t>
      </w:r>
      <w:r>
        <w:rPr>
          <w:rFonts w:hint="eastAsia"/>
        </w:rPr>
        <w:t>经“絮凝沉淀</w:t>
      </w:r>
      <w:r>
        <w:t>+</w:t>
      </w:r>
      <w:r>
        <w:rPr>
          <w:rFonts w:hint="eastAsia"/>
        </w:rPr>
        <w:t>水解酸化</w:t>
      </w:r>
      <w:r>
        <w:t>+MBR+</w:t>
      </w:r>
      <w:r>
        <w:rPr>
          <w:rFonts w:hint="eastAsia"/>
        </w:rPr>
        <w:t>回用系统”处理后</w:t>
      </w:r>
      <w:r>
        <w:rPr>
          <w:rFonts w:hint="eastAsia" w:hAnsi="宋体"/>
        </w:rPr>
        <w:t>，出水部分回用至固化车间，其余回用至焚烧车间，浓水送至物化车间污水处理模块。本项目循环水系统排水、物化车间酸雾吸收塔排水、余热锅炉排水及软化水系统排水等直接送至焚烧车间进行综合利用。</w:t>
      </w:r>
      <w:r>
        <w:rPr>
          <w:rFonts w:hint="eastAsia"/>
          <w:lang w:val="pt-BR"/>
        </w:rPr>
        <w:t>本项目处理后的废水全部回用于各生产工段，全厂无废水外排。</w:t>
      </w:r>
    </w:p>
    <w:p>
      <w:pPr>
        <w:pStyle w:val="161"/>
        <w:ind w:firstLine="480"/>
        <w:rPr>
          <w:rFonts w:cs="Times New Roman"/>
          <w:lang w:val="pt-BR"/>
        </w:rPr>
      </w:pPr>
      <w:r>
        <w:rPr>
          <w:rFonts w:hint="eastAsia" w:hAnsi="宋体"/>
        </w:rPr>
        <w:t>改扩建</w:t>
      </w:r>
      <w:r>
        <w:rPr>
          <w:rFonts w:hint="eastAsia"/>
        </w:rPr>
        <w:t>后：</w:t>
      </w:r>
      <w:r>
        <w:rPr>
          <w:rFonts w:cs="Times New Roman"/>
        </w:rPr>
        <w:t>项目物化车间澄清池排水和沉淀池废水经“絮凝沉淀”处理后</w:t>
      </w:r>
      <w:r>
        <w:rPr>
          <w:rFonts w:hint="eastAsia" w:cs="Times New Roman"/>
        </w:rPr>
        <w:t>排水、</w:t>
      </w:r>
      <w:r>
        <w:rPr>
          <w:rFonts w:cs="Times New Roman"/>
        </w:rPr>
        <w:t>焚烧车间喷淋洗涤塔排水由本车间污水处理模块经“絮凝沉淀”处理后排水、冲洗废水、安全填埋场渗滤液</w:t>
      </w:r>
      <w:r>
        <w:rPr>
          <w:rFonts w:hint="eastAsia" w:cs="Times New Roman"/>
        </w:rPr>
        <w:t>、</w:t>
      </w:r>
      <w:r>
        <w:rPr>
          <w:rFonts w:cs="Times New Roman"/>
        </w:rPr>
        <w:t>物化车间酸雾吸收塔排水</w:t>
      </w:r>
      <w:r>
        <w:rPr>
          <w:rFonts w:hint="eastAsia" w:cs="Times New Roman"/>
        </w:rPr>
        <w:t>、</w:t>
      </w:r>
      <w:r>
        <w:rPr>
          <w:rFonts w:cs="Times New Roman"/>
        </w:rPr>
        <w:t>循环水系统排水</w:t>
      </w:r>
      <w:r>
        <w:rPr>
          <w:rFonts w:hint="eastAsia" w:cs="Times New Roman"/>
        </w:rPr>
        <w:t>、</w:t>
      </w:r>
      <w:r>
        <w:rPr>
          <w:rFonts w:cs="Times New Roman"/>
        </w:rPr>
        <w:t>余热锅炉排水及软化水系统排水</w:t>
      </w:r>
      <w:r>
        <w:rPr>
          <w:rFonts w:hint="eastAsia" w:cs="Times New Roman"/>
        </w:rPr>
        <w:t>、</w:t>
      </w:r>
      <w:r>
        <w:rPr>
          <w:rFonts w:cs="Times New Roman"/>
        </w:rPr>
        <w:t>污水处理站排浓水</w:t>
      </w:r>
      <w:r>
        <w:rPr>
          <w:rFonts w:hint="eastAsia" w:cs="Times New Roman"/>
        </w:rPr>
        <w:t>进污水处理站</w:t>
      </w:r>
      <w:r>
        <w:rPr>
          <w:rFonts w:cs="Times New Roman"/>
        </w:rPr>
        <w:t>采用“Fenton+强制循环蒸发”的方法进行处理，处理后的冷凝液与化验用水以及生活污水送至污水处理站，经“絮凝沉淀+水解酸化+MBR+回用系统”处理后，出水部分回用至固化车间，其余回用至焚烧车间，浓水送至</w:t>
      </w:r>
      <w:r>
        <w:rPr>
          <w:rFonts w:hint="eastAsia" w:cs="Times New Roman"/>
        </w:rPr>
        <w:t>固化</w:t>
      </w:r>
      <w:r>
        <w:rPr>
          <w:rFonts w:cs="Times New Roman"/>
        </w:rPr>
        <w:t>车间。</w:t>
      </w:r>
      <w:r>
        <w:rPr>
          <w:rFonts w:cs="Times New Roman"/>
          <w:lang w:val="pt-BR"/>
        </w:rPr>
        <w:t>本项目处理后的废水全部回用于各生产工段，全厂无废水外排。</w:t>
      </w:r>
    </w:p>
    <w:p>
      <w:pPr>
        <w:pStyle w:val="5"/>
        <w:rPr>
          <w:szCs w:val="24"/>
        </w:rPr>
      </w:pPr>
      <w:r>
        <w:rPr>
          <w:rFonts w:hint="eastAsia"/>
        </w:rPr>
        <w:t>1.1.3项目改扩建的必要性</w:t>
      </w:r>
    </w:p>
    <w:p>
      <w:pPr>
        <w:pStyle w:val="739"/>
        <w:ind w:firstLine="480"/>
        <w:rPr>
          <w:color w:val="FF0000"/>
        </w:rPr>
      </w:pPr>
      <w:r>
        <w:rPr>
          <w:rFonts w:hint="eastAsia"/>
          <w:color w:val="FF0000"/>
        </w:rPr>
        <w:t>本项目主要处置腾格里经济技术开发区各企业产生的特定危险废物及周边相关地区</w:t>
      </w:r>
      <w:r>
        <w:rPr>
          <w:color w:val="FF0000"/>
        </w:rPr>
        <w:t>(</w:t>
      </w:r>
      <w:r>
        <w:rPr>
          <w:rFonts w:hint="eastAsia"/>
          <w:color w:val="FF0000"/>
        </w:rPr>
        <w:t>如阿拉善经济技术开发区、中卫市各工业企业等</w:t>
      </w:r>
      <w:r>
        <w:rPr>
          <w:color w:val="FF0000"/>
        </w:rPr>
        <w:t>)</w:t>
      </w:r>
      <w:r>
        <w:rPr>
          <w:rFonts w:hint="eastAsia"/>
          <w:color w:val="FF0000"/>
        </w:rPr>
        <w:t>产生的特定危险废物。</w:t>
      </w:r>
    </w:p>
    <w:p>
      <w:pPr>
        <w:pStyle w:val="739"/>
        <w:ind w:firstLine="480"/>
        <w:rPr>
          <w:color w:val="FF0000"/>
        </w:rPr>
      </w:pPr>
      <w:r>
        <w:rPr>
          <w:rFonts w:hint="eastAsia"/>
          <w:color w:val="FF0000"/>
        </w:rPr>
        <w:t>现有园区企业的危废以自建焚烧炉焚烧和外送为主。根据腾格里经济技术开发区近期蒸馏渣等危险废物（不含厂家回收、出售）产量</w:t>
      </w:r>
      <w:r>
        <w:rPr>
          <w:color w:val="FF0000"/>
        </w:rPr>
        <w:t>2.4</w:t>
      </w:r>
      <w:r>
        <w:rPr>
          <w:rFonts w:hint="eastAsia"/>
          <w:color w:val="FF0000"/>
        </w:rPr>
        <w:t>万吨</w:t>
      </w:r>
      <w:r>
        <w:rPr>
          <w:color w:val="FF0000"/>
        </w:rPr>
        <w:t>/</w:t>
      </w:r>
      <w:r>
        <w:rPr>
          <w:rFonts w:hint="eastAsia"/>
          <w:color w:val="FF0000"/>
        </w:rPr>
        <w:t>年，远期蒸馏渣等危险废物（不含厂家回收、出售）产量</w:t>
      </w:r>
      <w:r>
        <w:rPr>
          <w:color w:val="FF0000"/>
        </w:rPr>
        <w:t>3.3</w:t>
      </w:r>
      <w:r>
        <w:rPr>
          <w:rFonts w:hint="eastAsia"/>
          <w:color w:val="FF0000"/>
        </w:rPr>
        <w:t>万吨</w:t>
      </w:r>
      <w:r>
        <w:rPr>
          <w:color w:val="FF0000"/>
        </w:rPr>
        <w:t>/</w:t>
      </w:r>
      <w:r>
        <w:rPr>
          <w:rFonts w:hint="eastAsia"/>
          <w:color w:val="FF0000"/>
        </w:rPr>
        <w:t>年；近期</w:t>
      </w:r>
      <w:r>
        <w:rPr>
          <w:color w:val="FF0000"/>
        </w:rPr>
        <w:t>2020</w:t>
      </w:r>
      <w:r>
        <w:rPr>
          <w:rFonts w:hint="eastAsia"/>
          <w:color w:val="FF0000"/>
        </w:rPr>
        <w:t>年污泥产生量为</w:t>
      </w:r>
      <w:r>
        <w:rPr>
          <w:color w:val="FF0000"/>
        </w:rPr>
        <w:t>6600</w:t>
      </w:r>
      <w:r>
        <w:rPr>
          <w:rFonts w:hint="eastAsia"/>
          <w:color w:val="FF0000"/>
        </w:rPr>
        <w:t>吨</w:t>
      </w:r>
      <w:r>
        <w:rPr>
          <w:color w:val="FF0000"/>
        </w:rPr>
        <w:t>/</w:t>
      </w:r>
      <w:r>
        <w:rPr>
          <w:rFonts w:hint="eastAsia"/>
          <w:color w:val="FF0000"/>
        </w:rPr>
        <w:t>年，远期</w:t>
      </w:r>
      <w:r>
        <w:rPr>
          <w:color w:val="FF0000"/>
        </w:rPr>
        <w:t>2030</w:t>
      </w:r>
      <w:r>
        <w:rPr>
          <w:rFonts w:hint="eastAsia"/>
          <w:color w:val="FF0000"/>
        </w:rPr>
        <w:t>年污泥产生量为</w:t>
      </w:r>
      <w:r>
        <w:rPr>
          <w:color w:val="FF0000"/>
        </w:rPr>
        <w:t>14850</w:t>
      </w:r>
      <w:r>
        <w:rPr>
          <w:rFonts w:hint="eastAsia"/>
          <w:color w:val="FF0000"/>
        </w:rPr>
        <w:t>吨</w:t>
      </w:r>
      <w:r>
        <w:rPr>
          <w:color w:val="FF0000"/>
        </w:rPr>
        <w:t>/</w:t>
      </w:r>
      <w:r>
        <w:rPr>
          <w:rFonts w:hint="eastAsia"/>
          <w:color w:val="FF0000"/>
        </w:rPr>
        <w:t>年；近期</w:t>
      </w:r>
      <w:r>
        <w:rPr>
          <w:color w:val="FF0000"/>
        </w:rPr>
        <w:t>2020</w:t>
      </w:r>
      <w:r>
        <w:rPr>
          <w:rFonts w:hint="eastAsia"/>
          <w:color w:val="FF0000"/>
        </w:rPr>
        <w:t>年结晶盐产生量为</w:t>
      </w:r>
      <w:r>
        <w:rPr>
          <w:color w:val="FF0000"/>
        </w:rPr>
        <w:t>5</w:t>
      </w:r>
      <w:r>
        <w:rPr>
          <w:rFonts w:hint="eastAsia"/>
          <w:color w:val="FF0000"/>
        </w:rPr>
        <w:t>万吨</w:t>
      </w:r>
      <w:r>
        <w:rPr>
          <w:color w:val="FF0000"/>
        </w:rPr>
        <w:t>/</w:t>
      </w:r>
      <w:r>
        <w:rPr>
          <w:rFonts w:hint="eastAsia"/>
          <w:color w:val="FF0000"/>
        </w:rPr>
        <w:t>年，远期</w:t>
      </w:r>
      <w:r>
        <w:rPr>
          <w:color w:val="FF0000"/>
        </w:rPr>
        <w:t>2030</w:t>
      </w:r>
      <w:r>
        <w:rPr>
          <w:rFonts w:hint="eastAsia"/>
          <w:color w:val="FF0000"/>
        </w:rPr>
        <w:t>年结晶盐产生量为</w:t>
      </w:r>
      <w:r>
        <w:rPr>
          <w:color w:val="FF0000"/>
        </w:rPr>
        <w:t>12</w:t>
      </w:r>
      <w:r>
        <w:rPr>
          <w:rFonts w:hint="eastAsia"/>
          <w:color w:val="FF0000"/>
        </w:rPr>
        <w:t>万吨</w:t>
      </w:r>
      <w:r>
        <w:rPr>
          <w:color w:val="FF0000"/>
        </w:rPr>
        <w:t>/</w:t>
      </w:r>
      <w:r>
        <w:rPr>
          <w:rFonts w:hint="eastAsia"/>
          <w:color w:val="FF0000"/>
        </w:rPr>
        <w:t>年。除接收腾格里经济技术开发区产生的危险废物外，本项目还接收开发区周边地区产生的危险废物。随着精细化工企业的增加产生的危废种类和数量也相应增加，之前的物化、焚烧、固化工艺规模不能满足未来工业园区处理危废的数量，所以进行项目改扩建。</w:t>
      </w:r>
    </w:p>
    <w:p>
      <w:pPr>
        <w:pStyle w:val="739"/>
        <w:ind w:firstLine="480"/>
        <w:rPr>
          <w:color w:val="FF0000"/>
        </w:rPr>
      </w:pPr>
    </w:p>
    <w:p>
      <w:pPr>
        <w:pStyle w:val="739"/>
        <w:ind w:firstLine="480"/>
        <w:rPr>
          <w:color w:val="FF0000"/>
        </w:rPr>
      </w:pPr>
      <w:r>
        <w:rPr>
          <w:rFonts w:hint="eastAsia"/>
          <w:color w:val="FF0000"/>
        </w:rPr>
        <w:t>1.1—3       本项目拟处理的腾格里经济技术开发区产生危废预期量一览表</w:t>
      </w:r>
    </w:p>
    <w:tbl>
      <w:tblPr>
        <w:tblStyle w:val="89"/>
        <w:tblW w:w="5000" w:type="pct"/>
        <w:tblInd w:w="0" w:type="dxa"/>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Layout w:type="autofit"/>
        <w:tblCellMar>
          <w:top w:w="0" w:type="dxa"/>
          <w:left w:w="0" w:type="dxa"/>
          <w:bottom w:w="0" w:type="dxa"/>
          <w:right w:w="0" w:type="dxa"/>
        </w:tblCellMar>
      </w:tblPr>
      <w:tblGrid>
        <w:gridCol w:w="1545"/>
        <w:gridCol w:w="1949"/>
        <w:gridCol w:w="2398"/>
        <w:gridCol w:w="2759"/>
        <w:gridCol w:w="987"/>
      </w:tblGrid>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tcBorders>
              <w:top w:val="single" w:color="000000" w:themeColor="text1" w:sz="12" w:space="0"/>
              <w:bottom w:val="single" w:color="000000" w:themeColor="text1" w:sz="12" w:space="0"/>
            </w:tcBorders>
            <w:vAlign w:val="center"/>
          </w:tcPr>
          <w:p>
            <w:pPr>
              <w:pStyle w:val="739"/>
              <w:spacing w:line="240" w:lineRule="atLeast"/>
              <w:ind w:firstLine="0" w:firstLineChars="0"/>
              <w:jc w:val="center"/>
              <w:rPr>
                <w:rFonts w:cs="Times New Roman"/>
                <w:color w:val="FF0000"/>
                <w:sz w:val="21"/>
                <w:szCs w:val="21"/>
              </w:rPr>
            </w:pPr>
            <w:r>
              <w:rPr>
                <w:rFonts w:hint="eastAsia" w:cs="Times New Roman"/>
                <w:color w:val="FF0000"/>
                <w:sz w:val="21"/>
                <w:szCs w:val="21"/>
              </w:rPr>
              <w:t>产业类别</w:t>
            </w:r>
          </w:p>
        </w:tc>
        <w:tc>
          <w:tcPr>
            <w:tcW w:w="1949" w:type="dxa"/>
            <w:tcBorders>
              <w:top w:val="single" w:color="000000" w:themeColor="text1" w:sz="12" w:space="0"/>
              <w:bottom w:val="single" w:color="000000" w:themeColor="text1" w:sz="12" w:space="0"/>
            </w:tcBorders>
            <w:vAlign w:val="center"/>
          </w:tcPr>
          <w:p>
            <w:pPr>
              <w:pStyle w:val="739"/>
              <w:spacing w:line="240" w:lineRule="atLeast"/>
              <w:ind w:firstLine="0" w:firstLineChars="0"/>
              <w:jc w:val="center"/>
              <w:rPr>
                <w:rFonts w:cs="Times New Roman"/>
                <w:color w:val="FF0000"/>
                <w:sz w:val="21"/>
                <w:szCs w:val="21"/>
              </w:rPr>
            </w:pPr>
            <w:r>
              <w:rPr>
                <w:rFonts w:hint="eastAsia" w:cs="Times New Roman"/>
                <w:color w:val="FF0000"/>
                <w:sz w:val="21"/>
                <w:szCs w:val="21"/>
              </w:rPr>
              <w:t>项目</w:t>
            </w:r>
          </w:p>
        </w:tc>
        <w:tc>
          <w:tcPr>
            <w:tcW w:w="2398" w:type="dxa"/>
            <w:tcBorders>
              <w:top w:val="single" w:color="000000" w:themeColor="text1" w:sz="12" w:space="0"/>
              <w:bottom w:val="single" w:color="000000" w:themeColor="text1" w:sz="12" w:space="0"/>
            </w:tcBorders>
            <w:vAlign w:val="center"/>
          </w:tcPr>
          <w:p>
            <w:pPr>
              <w:pStyle w:val="739"/>
              <w:spacing w:line="240" w:lineRule="atLeast"/>
              <w:ind w:firstLine="0" w:firstLineChars="0"/>
              <w:jc w:val="center"/>
              <w:rPr>
                <w:rFonts w:cs="Times New Roman"/>
                <w:color w:val="FF0000"/>
                <w:sz w:val="21"/>
                <w:szCs w:val="21"/>
              </w:rPr>
            </w:pPr>
            <w:r>
              <w:rPr>
                <w:rFonts w:hint="eastAsia" w:cs="Times New Roman"/>
                <w:color w:val="FF0000"/>
                <w:sz w:val="21"/>
                <w:szCs w:val="21"/>
              </w:rPr>
              <w:t>2020年</w:t>
            </w:r>
          </w:p>
          <w:p>
            <w:pPr>
              <w:pStyle w:val="739"/>
              <w:spacing w:line="240" w:lineRule="atLeast"/>
              <w:ind w:firstLine="0" w:firstLineChars="0"/>
              <w:jc w:val="center"/>
              <w:rPr>
                <w:rFonts w:cs="Times New Roman"/>
                <w:color w:val="FF0000"/>
                <w:sz w:val="21"/>
                <w:szCs w:val="21"/>
              </w:rPr>
            </w:pPr>
            <w:r>
              <w:rPr>
                <w:rFonts w:hint="eastAsia" w:cs="Times New Roman"/>
                <w:color w:val="FF0000"/>
                <w:sz w:val="21"/>
                <w:szCs w:val="21"/>
              </w:rPr>
              <w:t>危废预期产生量</w:t>
            </w:r>
          </w:p>
        </w:tc>
        <w:tc>
          <w:tcPr>
            <w:tcW w:w="2759" w:type="dxa"/>
            <w:tcBorders>
              <w:top w:val="single" w:color="000000" w:themeColor="text1" w:sz="12" w:space="0"/>
              <w:bottom w:val="single" w:color="000000" w:themeColor="text1" w:sz="12" w:space="0"/>
            </w:tcBorders>
            <w:vAlign w:val="center"/>
          </w:tcPr>
          <w:p>
            <w:pPr>
              <w:pStyle w:val="739"/>
              <w:spacing w:line="240" w:lineRule="atLeast"/>
              <w:ind w:firstLine="0" w:firstLineChars="0"/>
              <w:jc w:val="center"/>
              <w:rPr>
                <w:rFonts w:cs="Times New Roman"/>
                <w:color w:val="FF0000"/>
                <w:sz w:val="21"/>
                <w:szCs w:val="21"/>
              </w:rPr>
            </w:pPr>
            <w:r>
              <w:rPr>
                <w:rFonts w:hint="eastAsia" w:cs="Times New Roman"/>
                <w:color w:val="FF0000"/>
                <w:sz w:val="21"/>
                <w:szCs w:val="21"/>
              </w:rPr>
              <w:t>2030年</w:t>
            </w:r>
          </w:p>
          <w:p>
            <w:pPr>
              <w:pStyle w:val="739"/>
              <w:spacing w:line="240" w:lineRule="atLeast"/>
              <w:ind w:firstLine="0" w:firstLineChars="0"/>
              <w:jc w:val="center"/>
              <w:rPr>
                <w:rFonts w:cs="Times New Roman"/>
                <w:color w:val="FF0000"/>
                <w:sz w:val="21"/>
                <w:szCs w:val="21"/>
              </w:rPr>
            </w:pPr>
            <w:r>
              <w:rPr>
                <w:rFonts w:hint="eastAsia" w:cs="Times New Roman"/>
                <w:color w:val="FF0000"/>
                <w:sz w:val="21"/>
                <w:szCs w:val="21"/>
              </w:rPr>
              <w:t>危废预期产生量</w:t>
            </w:r>
          </w:p>
        </w:tc>
        <w:tc>
          <w:tcPr>
            <w:tcW w:w="987" w:type="dxa"/>
            <w:tcBorders>
              <w:top w:val="single" w:color="000000" w:themeColor="text1" w:sz="12" w:space="0"/>
              <w:bottom w:val="single" w:color="000000" w:themeColor="text1" w:sz="12" w:space="0"/>
            </w:tcBorders>
            <w:vAlign w:val="center"/>
          </w:tcPr>
          <w:p>
            <w:pPr>
              <w:pStyle w:val="739"/>
              <w:spacing w:line="240" w:lineRule="atLeast"/>
              <w:ind w:firstLine="0" w:firstLineChars="0"/>
              <w:jc w:val="center"/>
              <w:rPr>
                <w:rFonts w:cs="Times New Roman"/>
                <w:color w:val="FF0000"/>
                <w:sz w:val="21"/>
                <w:szCs w:val="21"/>
              </w:rPr>
            </w:pPr>
            <w:r>
              <w:rPr>
                <w:rFonts w:hint="eastAsia" w:cs="Times New Roman"/>
                <w:color w:val="FF0000"/>
                <w:sz w:val="21"/>
                <w:szCs w:val="21"/>
              </w:rPr>
              <w:t>备注</w:t>
            </w: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restart"/>
            <w:tcBorders>
              <w:top w:val="single" w:color="000000" w:themeColor="text1" w:sz="12" w:space="0"/>
            </w:tcBorders>
            <w:vAlign w:val="center"/>
          </w:tcPr>
          <w:p>
            <w:pPr>
              <w:widowControl/>
              <w:spacing w:line="240" w:lineRule="atLeast"/>
              <w:ind w:firstLine="0" w:firstLineChars="0"/>
              <w:jc w:val="center"/>
              <w:rPr>
                <w:rFonts w:cs="Times New Roman"/>
                <w:color w:val="FF0000"/>
                <w:sz w:val="21"/>
              </w:rPr>
            </w:pPr>
            <w:r>
              <w:rPr>
                <w:rFonts w:hint="eastAsia"/>
                <w:bCs/>
                <w:color w:val="FF0000"/>
                <w:kern w:val="0"/>
                <w:sz w:val="21"/>
              </w:rPr>
              <w:t>现代煤化工</w:t>
            </w:r>
          </w:p>
        </w:tc>
        <w:tc>
          <w:tcPr>
            <w:tcW w:w="1949" w:type="dxa"/>
            <w:tcBorders>
              <w:top w:val="single" w:color="000000" w:themeColor="text1" w:sz="12" w:space="0"/>
            </w:tcBorders>
            <w:vAlign w:val="center"/>
          </w:tcPr>
          <w:p>
            <w:pPr>
              <w:widowControl/>
              <w:spacing w:line="240" w:lineRule="atLeast"/>
              <w:ind w:firstLine="0" w:firstLineChars="0"/>
              <w:jc w:val="center"/>
              <w:rPr>
                <w:bCs/>
                <w:color w:val="FF0000"/>
                <w:kern w:val="0"/>
                <w:sz w:val="21"/>
              </w:rPr>
            </w:pPr>
            <w:r>
              <w:rPr>
                <w:rFonts w:hint="eastAsia"/>
                <w:bCs/>
                <w:color w:val="FF0000"/>
                <w:kern w:val="0"/>
                <w:sz w:val="21"/>
              </w:rPr>
              <w:t>煤制甲醇</w:t>
            </w:r>
          </w:p>
        </w:tc>
        <w:tc>
          <w:tcPr>
            <w:tcW w:w="2398" w:type="dxa"/>
            <w:tcBorders>
              <w:top w:val="single" w:color="000000" w:themeColor="text1" w:sz="12" w:space="0"/>
            </w:tcBorders>
          </w:tcPr>
          <w:p>
            <w:pPr>
              <w:pStyle w:val="739"/>
              <w:spacing w:line="240" w:lineRule="atLeast"/>
              <w:ind w:firstLine="0" w:firstLineChars="0"/>
              <w:rPr>
                <w:rFonts w:cs="Times New Roman"/>
                <w:color w:val="FF0000"/>
                <w:sz w:val="21"/>
                <w:szCs w:val="21"/>
              </w:rPr>
            </w:pPr>
          </w:p>
        </w:tc>
        <w:tc>
          <w:tcPr>
            <w:tcW w:w="2759" w:type="dxa"/>
            <w:tcBorders>
              <w:top w:val="single" w:color="000000" w:themeColor="text1" w:sz="12" w:space="0"/>
            </w:tcBorders>
            <w:vAlign w:val="center"/>
          </w:tcPr>
          <w:p>
            <w:pPr>
              <w:widowControl/>
              <w:snapToGrid w:val="0"/>
              <w:spacing w:line="240" w:lineRule="atLeast"/>
              <w:ind w:firstLine="0" w:firstLineChars="0"/>
              <w:rPr>
                <w:rFonts w:cs="Times New Roman"/>
                <w:bCs/>
                <w:color w:val="FF0000"/>
                <w:kern w:val="0"/>
                <w:sz w:val="21"/>
              </w:rPr>
            </w:pPr>
            <w:r>
              <w:rPr>
                <w:rFonts w:hint="eastAsia"/>
                <w:bCs/>
                <w:color w:val="FF0000"/>
                <w:kern w:val="0"/>
                <w:sz w:val="21"/>
              </w:rPr>
              <w:t>气化灰渣：</w:t>
            </w:r>
            <w:r>
              <w:rPr>
                <w:bCs/>
                <w:color w:val="FF0000"/>
                <w:kern w:val="0"/>
                <w:sz w:val="21"/>
              </w:rPr>
              <w:t>32</w:t>
            </w:r>
            <w:r>
              <w:rPr>
                <w:rFonts w:hint="eastAsia"/>
                <w:bCs/>
                <w:color w:val="FF0000"/>
                <w:kern w:val="0"/>
                <w:sz w:val="21"/>
              </w:rPr>
              <w:t>万</w:t>
            </w:r>
          </w:p>
          <w:p>
            <w:pPr>
              <w:widowControl/>
              <w:snapToGrid w:val="0"/>
              <w:spacing w:line="240" w:lineRule="atLeast"/>
              <w:ind w:firstLine="0" w:firstLineChars="0"/>
              <w:rPr>
                <w:bCs/>
                <w:color w:val="FF0000"/>
                <w:kern w:val="0"/>
                <w:sz w:val="21"/>
              </w:rPr>
            </w:pPr>
            <w:r>
              <w:rPr>
                <w:rFonts w:hint="eastAsia"/>
                <w:bCs/>
                <w:color w:val="FF0000"/>
                <w:kern w:val="0"/>
                <w:sz w:val="21"/>
              </w:rPr>
              <w:t>催化剂：</w:t>
            </w:r>
            <w:r>
              <w:rPr>
                <w:bCs/>
                <w:color w:val="FF0000"/>
                <w:kern w:val="0"/>
                <w:sz w:val="21"/>
              </w:rPr>
              <w:t>708</w:t>
            </w:r>
          </w:p>
          <w:p>
            <w:pPr>
              <w:widowControl/>
              <w:snapToGrid w:val="0"/>
              <w:spacing w:line="240" w:lineRule="atLeast"/>
              <w:ind w:firstLine="0" w:firstLineChars="0"/>
              <w:rPr>
                <w:bCs/>
                <w:color w:val="FF0000"/>
                <w:kern w:val="0"/>
                <w:sz w:val="21"/>
              </w:rPr>
            </w:pPr>
            <w:r>
              <w:rPr>
                <w:rFonts w:hint="eastAsia"/>
                <w:bCs/>
                <w:color w:val="FF0000"/>
                <w:kern w:val="0"/>
                <w:sz w:val="21"/>
              </w:rPr>
              <w:t>滤饼渣、污泥：</w:t>
            </w:r>
            <w:r>
              <w:rPr>
                <w:bCs/>
                <w:color w:val="FF0000"/>
                <w:kern w:val="0"/>
                <w:sz w:val="21"/>
              </w:rPr>
              <w:t>1360</w:t>
            </w:r>
          </w:p>
        </w:tc>
        <w:tc>
          <w:tcPr>
            <w:tcW w:w="987" w:type="dxa"/>
            <w:tcBorders>
              <w:top w:val="single" w:color="000000" w:themeColor="text1" w:sz="12" w:space="0"/>
            </w:tcBorders>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pacing w:line="240" w:lineRule="atLeast"/>
              <w:ind w:firstLine="0" w:firstLineChars="0"/>
              <w:jc w:val="center"/>
              <w:rPr>
                <w:bCs/>
                <w:color w:val="FF0000"/>
                <w:kern w:val="0"/>
                <w:sz w:val="21"/>
              </w:rPr>
            </w:pPr>
            <w:r>
              <w:rPr>
                <w:rFonts w:hint="eastAsia"/>
                <w:bCs/>
                <w:color w:val="FF0000"/>
                <w:kern w:val="0"/>
                <w:sz w:val="21"/>
              </w:rPr>
              <w:t>煤制天然气</w:t>
            </w:r>
          </w:p>
        </w:tc>
        <w:tc>
          <w:tcPr>
            <w:tcW w:w="2398" w:type="dxa"/>
          </w:tcPr>
          <w:p>
            <w:pPr>
              <w:pStyle w:val="739"/>
              <w:spacing w:line="240" w:lineRule="atLeast"/>
              <w:ind w:firstLine="0" w:firstLineChars="0"/>
              <w:rPr>
                <w:rFonts w:cs="Times New Roman"/>
                <w:color w:val="FF0000"/>
                <w:sz w:val="21"/>
                <w:szCs w:val="21"/>
              </w:rPr>
            </w:pPr>
          </w:p>
        </w:tc>
        <w:tc>
          <w:tcPr>
            <w:tcW w:w="2759" w:type="dxa"/>
            <w:vAlign w:val="center"/>
          </w:tcPr>
          <w:p>
            <w:pPr>
              <w:widowControl/>
              <w:snapToGrid w:val="0"/>
              <w:spacing w:line="240" w:lineRule="atLeast"/>
              <w:ind w:firstLine="0" w:firstLineChars="0"/>
              <w:rPr>
                <w:rFonts w:cs="Times New Roman"/>
                <w:bCs/>
                <w:color w:val="FF0000"/>
                <w:kern w:val="0"/>
                <w:sz w:val="21"/>
              </w:rPr>
            </w:pPr>
            <w:r>
              <w:rPr>
                <w:rFonts w:hint="eastAsia"/>
                <w:bCs/>
                <w:color w:val="FF0000"/>
                <w:kern w:val="0"/>
                <w:sz w:val="21"/>
              </w:rPr>
              <w:t>气化灰渣：</w:t>
            </w:r>
            <w:r>
              <w:rPr>
                <w:bCs/>
                <w:color w:val="FF0000"/>
                <w:kern w:val="0"/>
                <w:sz w:val="21"/>
              </w:rPr>
              <w:t>285</w:t>
            </w:r>
            <w:r>
              <w:rPr>
                <w:rFonts w:hint="eastAsia"/>
                <w:bCs/>
                <w:color w:val="FF0000"/>
                <w:kern w:val="0"/>
                <w:sz w:val="21"/>
              </w:rPr>
              <w:t>万</w:t>
            </w:r>
          </w:p>
          <w:p>
            <w:pPr>
              <w:widowControl/>
              <w:snapToGrid w:val="0"/>
              <w:spacing w:line="240" w:lineRule="atLeast"/>
              <w:ind w:firstLine="0" w:firstLineChars="0"/>
              <w:rPr>
                <w:bCs/>
                <w:color w:val="FF0000"/>
                <w:kern w:val="0"/>
                <w:sz w:val="21"/>
              </w:rPr>
            </w:pPr>
            <w:r>
              <w:rPr>
                <w:rFonts w:hint="eastAsia"/>
                <w:bCs/>
                <w:color w:val="FF0000"/>
                <w:kern w:val="0"/>
                <w:sz w:val="21"/>
              </w:rPr>
              <w:t>催化剂：</w:t>
            </w:r>
            <w:r>
              <w:rPr>
                <w:bCs/>
                <w:color w:val="FF0000"/>
                <w:kern w:val="0"/>
                <w:sz w:val="21"/>
              </w:rPr>
              <w:t>800</w:t>
            </w:r>
          </w:p>
          <w:p>
            <w:pPr>
              <w:widowControl/>
              <w:snapToGrid w:val="0"/>
              <w:spacing w:line="240" w:lineRule="atLeast"/>
              <w:ind w:firstLine="0" w:firstLineChars="0"/>
              <w:rPr>
                <w:bCs/>
                <w:color w:val="FF0000"/>
                <w:kern w:val="0"/>
                <w:sz w:val="21"/>
              </w:rPr>
            </w:pPr>
            <w:r>
              <w:rPr>
                <w:rFonts w:hint="eastAsia"/>
                <w:bCs/>
                <w:color w:val="FF0000"/>
                <w:kern w:val="0"/>
                <w:sz w:val="21"/>
              </w:rPr>
              <w:t>滤饼渣、污泥：</w:t>
            </w:r>
            <w:r>
              <w:rPr>
                <w:bCs/>
                <w:color w:val="FF0000"/>
                <w:kern w:val="0"/>
                <w:sz w:val="21"/>
              </w:rPr>
              <w:t>1352</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pacing w:line="240" w:lineRule="atLeast"/>
              <w:ind w:firstLine="0" w:firstLineChars="0"/>
              <w:jc w:val="center"/>
              <w:rPr>
                <w:bCs/>
                <w:color w:val="FF0000"/>
                <w:kern w:val="0"/>
                <w:sz w:val="21"/>
              </w:rPr>
            </w:pPr>
            <w:r>
              <w:rPr>
                <w:rFonts w:hint="eastAsia"/>
                <w:bCs/>
                <w:color w:val="FF0000"/>
                <w:kern w:val="0"/>
                <w:sz w:val="21"/>
              </w:rPr>
              <w:t>煤制合成氨</w:t>
            </w:r>
            <w:r>
              <w:rPr>
                <w:bCs/>
                <w:color w:val="FF0000"/>
                <w:kern w:val="0"/>
                <w:sz w:val="21"/>
              </w:rPr>
              <w:t>/</w:t>
            </w:r>
            <w:r>
              <w:rPr>
                <w:rFonts w:hint="eastAsia"/>
                <w:bCs/>
                <w:color w:val="FF0000"/>
                <w:kern w:val="0"/>
                <w:sz w:val="21"/>
              </w:rPr>
              <w:t>尿素</w:t>
            </w:r>
          </w:p>
        </w:tc>
        <w:tc>
          <w:tcPr>
            <w:tcW w:w="2398" w:type="dxa"/>
          </w:tcPr>
          <w:p>
            <w:pPr>
              <w:pStyle w:val="739"/>
              <w:spacing w:line="240" w:lineRule="atLeast"/>
              <w:ind w:firstLine="0" w:firstLineChars="0"/>
              <w:rPr>
                <w:rFonts w:cs="Times New Roman"/>
                <w:color w:val="FF0000"/>
                <w:sz w:val="21"/>
                <w:szCs w:val="21"/>
              </w:rPr>
            </w:pPr>
          </w:p>
        </w:tc>
        <w:tc>
          <w:tcPr>
            <w:tcW w:w="2759" w:type="dxa"/>
            <w:vAlign w:val="center"/>
          </w:tcPr>
          <w:p>
            <w:pPr>
              <w:widowControl/>
              <w:snapToGrid w:val="0"/>
              <w:spacing w:line="240" w:lineRule="atLeast"/>
              <w:ind w:firstLine="0" w:firstLineChars="0"/>
              <w:rPr>
                <w:rFonts w:cs="Times New Roman"/>
                <w:bCs/>
                <w:color w:val="FF0000"/>
                <w:kern w:val="0"/>
                <w:sz w:val="21"/>
              </w:rPr>
            </w:pPr>
            <w:r>
              <w:rPr>
                <w:rFonts w:hint="eastAsia"/>
                <w:bCs/>
                <w:color w:val="FF0000"/>
                <w:kern w:val="0"/>
                <w:sz w:val="21"/>
              </w:rPr>
              <w:t>气化灰渣：</w:t>
            </w:r>
            <w:r>
              <w:rPr>
                <w:bCs/>
                <w:color w:val="FF0000"/>
                <w:kern w:val="0"/>
                <w:sz w:val="21"/>
              </w:rPr>
              <w:t>8.5</w:t>
            </w:r>
            <w:r>
              <w:rPr>
                <w:rFonts w:hint="eastAsia"/>
                <w:bCs/>
                <w:color w:val="FF0000"/>
                <w:kern w:val="0"/>
                <w:sz w:val="21"/>
              </w:rPr>
              <w:t>万</w:t>
            </w:r>
          </w:p>
          <w:p>
            <w:pPr>
              <w:widowControl/>
              <w:snapToGrid w:val="0"/>
              <w:spacing w:line="240" w:lineRule="atLeast"/>
              <w:ind w:firstLine="0" w:firstLineChars="0"/>
              <w:rPr>
                <w:bCs/>
                <w:color w:val="FF0000"/>
                <w:kern w:val="0"/>
                <w:sz w:val="21"/>
              </w:rPr>
            </w:pPr>
            <w:r>
              <w:rPr>
                <w:rFonts w:hint="eastAsia"/>
                <w:bCs/>
                <w:color w:val="FF0000"/>
                <w:kern w:val="0"/>
                <w:sz w:val="21"/>
              </w:rPr>
              <w:t>催化剂：</w:t>
            </w:r>
            <w:r>
              <w:rPr>
                <w:bCs/>
                <w:color w:val="FF0000"/>
                <w:kern w:val="0"/>
                <w:sz w:val="21"/>
              </w:rPr>
              <w:t>50</w:t>
            </w:r>
          </w:p>
          <w:p>
            <w:pPr>
              <w:widowControl/>
              <w:snapToGrid w:val="0"/>
              <w:spacing w:line="240" w:lineRule="atLeast"/>
              <w:ind w:firstLine="0" w:firstLineChars="0"/>
              <w:rPr>
                <w:bCs/>
                <w:color w:val="FF0000"/>
                <w:kern w:val="0"/>
                <w:sz w:val="21"/>
              </w:rPr>
            </w:pPr>
            <w:r>
              <w:rPr>
                <w:rFonts w:hint="eastAsia"/>
                <w:bCs/>
                <w:color w:val="FF0000"/>
                <w:kern w:val="0"/>
                <w:sz w:val="21"/>
              </w:rPr>
              <w:t>滤饼渣、污泥：</w:t>
            </w:r>
            <w:r>
              <w:rPr>
                <w:bCs/>
                <w:color w:val="FF0000"/>
                <w:kern w:val="0"/>
                <w:sz w:val="21"/>
              </w:rPr>
              <w:t>309</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pacing w:line="240" w:lineRule="atLeast"/>
              <w:ind w:firstLine="0" w:firstLineChars="0"/>
              <w:jc w:val="center"/>
              <w:rPr>
                <w:bCs/>
                <w:color w:val="FF0000"/>
                <w:kern w:val="0"/>
                <w:sz w:val="21"/>
              </w:rPr>
            </w:pPr>
            <w:r>
              <w:rPr>
                <w:rFonts w:hint="eastAsia"/>
                <w:bCs/>
                <w:color w:val="FF0000"/>
                <w:kern w:val="0"/>
                <w:sz w:val="21"/>
              </w:rPr>
              <w:t>煤制烯烃</w:t>
            </w:r>
          </w:p>
        </w:tc>
        <w:tc>
          <w:tcPr>
            <w:tcW w:w="2398" w:type="dxa"/>
          </w:tcPr>
          <w:p>
            <w:pPr>
              <w:pStyle w:val="739"/>
              <w:spacing w:line="240" w:lineRule="atLeast"/>
              <w:ind w:firstLine="0" w:firstLineChars="0"/>
              <w:rPr>
                <w:rFonts w:cs="Times New Roman"/>
                <w:color w:val="FF0000"/>
                <w:sz w:val="21"/>
                <w:szCs w:val="21"/>
              </w:rPr>
            </w:pPr>
          </w:p>
        </w:tc>
        <w:tc>
          <w:tcPr>
            <w:tcW w:w="2759" w:type="dxa"/>
            <w:vAlign w:val="center"/>
          </w:tcPr>
          <w:p>
            <w:pPr>
              <w:widowControl/>
              <w:snapToGrid w:val="0"/>
              <w:spacing w:line="240" w:lineRule="atLeast"/>
              <w:ind w:firstLine="0" w:firstLineChars="0"/>
              <w:rPr>
                <w:rFonts w:cs="Times New Roman"/>
                <w:bCs/>
                <w:color w:val="FF0000"/>
                <w:kern w:val="0"/>
                <w:sz w:val="21"/>
              </w:rPr>
            </w:pPr>
            <w:r>
              <w:rPr>
                <w:rFonts w:hint="eastAsia"/>
                <w:bCs/>
                <w:color w:val="FF0000"/>
                <w:kern w:val="0"/>
                <w:sz w:val="21"/>
              </w:rPr>
              <w:t>灰渣：</w:t>
            </w:r>
            <w:r>
              <w:rPr>
                <w:bCs/>
                <w:color w:val="FF0000"/>
                <w:kern w:val="0"/>
                <w:sz w:val="21"/>
              </w:rPr>
              <w:t>80</w:t>
            </w:r>
            <w:r>
              <w:rPr>
                <w:rFonts w:hint="eastAsia"/>
                <w:bCs/>
                <w:color w:val="FF0000"/>
                <w:kern w:val="0"/>
                <w:sz w:val="21"/>
              </w:rPr>
              <w:t>万</w:t>
            </w:r>
          </w:p>
          <w:p>
            <w:pPr>
              <w:widowControl/>
              <w:snapToGrid w:val="0"/>
              <w:spacing w:line="240" w:lineRule="atLeast"/>
              <w:ind w:firstLine="0" w:firstLineChars="0"/>
              <w:rPr>
                <w:bCs/>
                <w:color w:val="FF0000"/>
                <w:kern w:val="0"/>
                <w:sz w:val="21"/>
              </w:rPr>
            </w:pPr>
            <w:r>
              <w:rPr>
                <w:rFonts w:hint="eastAsia"/>
                <w:bCs/>
                <w:color w:val="FF0000"/>
                <w:kern w:val="0"/>
                <w:sz w:val="21"/>
              </w:rPr>
              <w:t>催化剂：</w:t>
            </w:r>
            <w:r>
              <w:rPr>
                <w:bCs/>
                <w:color w:val="FF0000"/>
                <w:kern w:val="0"/>
                <w:sz w:val="21"/>
              </w:rPr>
              <w:t>540</w:t>
            </w:r>
          </w:p>
          <w:p>
            <w:pPr>
              <w:widowControl/>
              <w:snapToGrid w:val="0"/>
              <w:spacing w:line="240" w:lineRule="atLeast"/>
              <w:ind w:firstLine="0" w:firstLineChars="0"/>
              <w:rPr>
                <w:bCs/>
                <w:color w:val="FF0000"/>
                <w:kern w:val="0"/>
                <w:sz w:val="21"/>
              </w:rPr>
            </w:pPr>
            <w:r>
              <w:rPr>
                <w:rFonts w:hint="eastAsia"/>
                <w:bCs/>
                <w:color w:val="FF0000"/>
                <w:kern w:val="0"/>
                <w:sz w:val="21"/>
              </w:rPr>
              <w:t>滤饼渣、污泥：</w:t>
            </w:r>
            <w:r>
              <w:rPr>
                <w:bCs/>
                <w:color w:val="FF0000"/>
                <w:kern w:val="0"/>
                <w:sz w:val="21"/>
              </w:rPr>
              <w:t>684</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pacing w:line="240" w:lineRule="atLeast"/>
              <w:ind w:firstLine="0" w:firstLineChars="0"/>
              <w:jc w:val="center"/>
              <w:rPr>
                <w:bCs/>
                <w:color w:val="FF0000"/>
                <w:kern w:val="0"/>
                <w:sz w:val="21"/>
              </w:rPr>
            </w:pPr>
            <w:r>
              <w:rPr>
                <w:rFonts w:hint="eastAsia"/>
                <w:bCs/>
                <w:color w:val="FF0000"/>
                <w:kern w:val="0"/>
                <w:sz w:val="21"/>
              </w:rPr>
              <w:t>煤制乙二醇</w:t>
            </w:r>
          </w:p>
        </w:tc>
        <w:tc>
          <w:tcPr>
            <w:tcW w:w="2398" w:type="dxa"/>
          </w:tcPr>
          <w:p>
            <w:pPr>
              <w:pStyle w:val="807"/>
              <w:spacing w:line="240" w:lineRule="atLeast"/>
              <w:jc w:val="both"/>
              <w:rPr>
                <w:rFonts w:ascii="Times New Roman" w:cs="Times New Roman"/>
                <w:color w:val="FF0000"/>
                <w:sz w:val="21"/>
                <w:szCs w:val="21"/>
                <w:lang w:val="en-US"/>
              </w:rPr>
            </w:pPr>
            <w:r>
              <w:rPr>
                <w:rFonts w:hint="eastAsia" w:ascii="Times New Roman" w:cs="Times New Roman"/>
                <w:color w:val="FF0000"/>
                <w:sz w:val="21"/>
                <w:szCs w:val="21"/>
              </w:rPr>
              <w:t>气化灰渣</w:t>
            </w:r>
            <w:r>
              <w:rPr>
                <w:rFonts w:hint="eastAsia" w:ascii="Times New Roman" w:cs="Times New Roman"/>
                <w:color w:val="FF0000"/>
                <w:sz w:val="21"/>
                <w:szCs w:val="21"/>
                <w:lang w:val="en-US"/>
              </w:rPr>
              <w:t>：</w:t>
            </w:r>
            <w:r>
              <w:rPr>
                <w:rFonts w:ascii="Times New Roman" w:cs="Times New Roman"/>
                <w:color w:val="FF0000"/>
                <w:sz w:val="21"/>
                <w:szCs w:val="21"/>
                <w:lang w:val="en-US"/>
              </w:rPr>
              <w:t>19</w:t>
            </w:r>
            <w:r>
              <w:rPr>
                <w:rFonts w:hint="eastAsia" w:ascii="Times New Roman" w:cs="Times New Roman"/>
                <w:color w:val="FF0000"/>
                <w:sz w:val="21"/>
                <w:szCs w:val="21"/>
                <w:lang w:val="en-US"/>
              </w:rPr>
              <w:t>万</w:t>
            </w:r>
          </w:p>
          <w:p>
            <w:pPr>
              <w:pStyle w:val="807"/>
              <w:spacing w:line="240" w:lineRule="atLeast"/>
              <w:jc w:val="both"/>
              <w:rPr>
                <w:rFonts w:ascii="Times New Roman" w:cs="Times New Roman"/>
                <w:color w:val="FF0000"/>
                <w:sz w:val="21"/>
                <w:szCs w:val="21"/>
                <w:lang w:val="en-US"/>
              </w:rPr>
            </w:pPr>
            <w:r>
              <w:rPr>
                <w:rFonts w:hint="eastAsia" w:ascii="Times New Roman" w:cs="Times New Roman"/>
                <w:color w:val="FF0000"/>
                <w:sz w:val="21"/>
                <w:szCs w:val="21"/>
              </w:rPr>
              <w:t>污泥</w:t>
            </w:r>
            <w:r>
              <w:rPr>
                <w:rFonts w:hint="eastAsia" w:ascii="Times New Roman" w:cs="Times New Roman"/>
                <w:color w:val="FF0000"/>
                <w:sz w:val="21"/>
                <w:szCs w:val="21"/>
                <w:lang w:val="en-US"/>
              </w:rPr>
              <w:t>：</w:t>
            </w:r>
            <w:r>
              <w:rPr>
                <w:rFonts w:ascii="Times New Roman" w:cs="Times New Roman"/>
                <w:color w:val="FF0000"/>
                <w:sz w:val="21"/>
                <w:szCs w:val="21"/>
                <w:lang w:val="en-US"/>
              </w:rPr>
              <w:t>600</w:t>
            </w:r>
          </w:p>
          <w:p>
            <w:pPr>
              <w:pStyle w:val="807"/>
              <w:spacing w:line="240" w:lineRule="atLeast"/>
              <w:jc w:val="both"/>
              <w:rPr>
                <w:rFonts w:ascii="Times New Roman" w:cs="Times New Roman"/>
                <w:color w:val="FF0000"/>
                <w:sz w:val="21"/>
                <w:szCs w:val="21"/>
              </w:rPr>
            </w:pPr>
            <w:r>
              <w:rPr>
                <w:rFonts w:hint="eastAsia" w:ascii="Times New Roman" w:cs="Times New Roman"/>
                <w:color w:val="FF0000"/>
                <w:sz w:val="21"/>
                <w:szCs w:val="21"/>
              </w:rPr>
              <w:t>废催化剂：</w:t>
            </w:r>
            <w:r>
              <w:rPr>
                <w:rFonts w:ascii="Times New Roman" w:cs="Times New Roman"/>
                <w:color w:val="FF0000"/>
                <w:sz w:val="21"/>
                <w:szCs w:val="21"/>
              </w:rPr>
              <w:t>520</w:t>
            </w:r>
          </w:p>
          <w:p>
            <w:pPr>
              <w:pStyle w:val="739"/>
              <w:spacing w:line="240" w:lineRule="atLeast"/>
              <w:ind w:firstLine="0" w:firstLineChars="0"/>
              <w:rPr>
                <w:rFonts w:cs="Times New Roman"/>
                <w:color w:val="FF0000"/>
                <w:sz w:val="21"/>
                <w:szCs w:val="21"/>
              </w:rPr>
            </w:pPr>
            <w:r>
              <w:rPr>
                <w:rFonts w:hint="eastAsia"/>
                <w:color w:val="FF0000"/>
                <w:sz w:val="21"/>
                <w:szCs w:val="21"/>
              </w:rPr>
              <w:t>废分子筛：</w:t>
            </w:r>
            <w:r>
              <w:rPr>
                <w:color w:val="FF0000"/>
                <w:sz w:val="21"/>
                <w:szCs w:val="21"/>
              </w:rPr>
              <w:t>260</w:t>
            </w:r>
          </w:p>
        </w:tc>
        <w:tc>
          <w:tcPr>
            <w:tcW w:w="2759" w:type="dxa"/>
            <w:vAlign w:val="center"/>
          </w:tcPr>
          <w:p>
            <w:pPr>
              <w:pStyle w:val="807"/>
              <w:spacing w:line="240" w:lineRule="atLeast"/>
              <w:jc w:val="both"/>
              <w:rPr>
                <w:rFonts w:ascii="Times New Roman" w:hAnsi="Times New Roman" w:cs="Times New Roman"/>
                <w:color w:val="FF0000"/>
                <w:sz w:val="21"/>
                <w:szCs w:val="21"/>
                <w:lang w:val="en-US"/>
              </w:rPr>
            </w:pPr>
            <w:r>
              <w:rPr>
                <w:rFonts w:hint="eastAsia" w:ascii="Times New Roman" w:cs="Times New Roman"/>
                <w:color w:val="FF0000"/>
                <w:sz w:val="21"/>
                <w:szCs w:val="21"/>
              </w:rPr>
              <w:t>气化灰渣</w:t>
            </w:r>
            <w:r>
              <w:rPr>
                <w:rFonts w:hint="eastAsia" w:ascii="Times New Roman" w:cs="Times New Roman"/>
                <w:color w:val="FF0000"/>
                <w:sz w:val="21"/>
                <w:szCs w:val="21"/>
                <w:lang w:val="en-US"/>
              </w:rPr>
              <w:t>：</w:t>
            </w:r>
            <w:r>
              <w:rPr>
                <w:rFonts w:ascii="Times New Roman" w:cs="Times New Roman"/>
                <w:color w:val="FF0000"/>
                <w:sz w:val="21"/>
                <w:szCs w:val="21"/>
                <w:lang w:val="en-US"/>
              </w:rPr>
              <w:t>19</w:t>
            </w:r>
            <w:r>
              <w:rPr>
                <w:rFonts w:hint="eastAsia" w:ascii="Times New Roman" w:cs="Times New Roman"/>
                <w:color w:val="FF0000"/>
                <w:sz w:val="21"/>
                <w:szCs w:val="21"/>
                <w:lang w:val="en-US"/>
              </w:rPr>
              <w:t>万</w:t>
            </w:r>
          </w:p>
          <w:p>
            <w:pPr>
              <w:pStyle w:val="807"/>
              <w:spacing w:line="240" w:lineRule="atLeast"/>
              <w:jc w:val="both"/>
              <w:rPr>
                <w:rFonts w:ascii="Times New Roman" w:cs="Times New Roman"/>
                <w:color w:val="FF0000"/>
                <w:sz w:val="21"/>
                <w:szCs w:val="21"/>
                <w:lang w:val="en-US"/>
              </w:rPr>
            </w:pPr>
            <w:r>
              <w:rPr>
                <w:rFonts w:hint="eastAsia" w:ascii="Times New Roman" w:cs="Times New Roman"/>
                <w:color w:val="FF0000"/>
                <w:sz w:val="21"/>
                <w:szCs w:val="21"/>
              </w:rPr>
              <w:t>污泥</w:t>
            </w:r>
            <w:r>
              <w:rPr>
                <w:rFonts w:hint="eastAsia" w:ascii="Times New Roman" w:cs="Times New Roman"/>
                <w:color w:val="FF0000"/>
                <w:sz w:val="21"/>
                <w:szCs w:val="21"/>
                <w:lang w:val="en-US"/>
              </w:rPr>
              <w:t>：</w:t>
            </w:r>
            <w:r>
              <w:rPr>
                <w:rFonts w:ascii="Times New Roman" w:cs="Times New Roman"/>
                <w:color w:val="FF0000"/>
                <w:sz w:val="21"/>
                <w:szCs w:val="21"/>
                <w:lang w:val="en-US"/>
              </w:rPr>
              <w:t>600</w:t>
            </w:r>
          </w:p>
          <w:p>
            <w:pPr>
              <w:pStyle w:val="807"/>
              <w:spacing w:line="240" w:lineRule="atLeast"/>
              <w:jc w:val="both"/>
              <w:rPr>
                <w:rFonts w:ascii="Times New Roman" w:cs="Times New Roman"/>
                <w:color w:val="FF0000"/>
                <w:sz w:val="21"/>
                <w:szCs w:val="21"/>
              </w:rPr>
            </w:pPr>
            <w:r>
              <w:rPr>
                <w:rFonts w:hint="eastAsia" w:ascii="Times New Roman" w:cs="Times New Roman"/>
                <w:color w:val="FF0000"/>
                <w:sz w:val="21"/>
                <w:szCs w:val="21"/>
              </w:rPr>
              <w:t>废催化剂：</w:t>
            </w:r>
            <w:r>
              <w:rPr>
                <w:rFonts w:ascii="Times New Roman" w:cs="Times New Roman"/>
                <w:color w:val="FF0000"/>
                <w:sz w:val="21"/>
                <w:szCs w:val="21"/>
              </w:rPr>
              <w:t>520</w:t>
            </w:r>
          </w:p>
          <w:p>
            <w:pPr>
              <w:widowControl/>
              <w:snapToGrid w:val="0"/>
              <w:spacing w:line="240" w:lineRule="atLeast"/>
              <w:ind w:firstLine="0" w:firstLineChars="0"/>
              <w:rPr>
                <w:bCs/>
                <w:color w:val="FF0000"/>
                <w:kern w:val="0"/>
                <w:sz w:val="21"/>
              </w:rPr>
            </w:pPr>
            <w:r>
              <w:rPr>
                <w:rFonts w:hint="eastAsia"/>
                <w:color w:val="FF0000"/>
                <w:sz w:val="21"/>
              </w:rPr>
              <w:t>废分子筛：</w:t>
            </w:r>
            <w:r>
              <w:rPr>
                <w:color w:val="FF0000"/>
                <w:sz w:val="21"/>
              </w:rPr>
              <w:t>260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restart"/>
            <w:vAlign w:val="center"/>
          </w:tcPr>
          <w:p>
            <w:pPr>
              <w:pStyle w:val="739"/>
              <w:spacing w:line="240" w:lineRule="atLeast"/>
              <w:ind w:firstLine="0" w:firstLineChars="0"/>
              <w:jc w:val="center"/>
              <w:rPr>
                <w:rFonts w:cs="Times New Roman"/>
                <w:color w:val="FF0000"/>
                <w:sz w:val="21"/>
                <w:szCs w:val="21"/>
              </w:rPr>
            </w:pPr>
            <w:r>
              <w:rPr>
                <w:rFonts w:hint="eastAsia"/>
                <w:color w:val="FF0000"/>
                <w:kern w:val="0"/>
                <w:sz w:val="21"/>
                <w:szCs w:val="21"/>
              </w:rPr>
              <w:t>煤化工下游新材料及精细化学品</w:t>
            </w: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煤焦化</w:t>
            </w:r>
          </w:p>
        </w:tc>
        <w:tc>
          <w:tcPr>
            <w:tcW w:w="2398" w:type="dxa"/>
            <w:vMerge w:val="restart"/>
            <w:vAlign w:val="center"/>
          </w:tcPr>
          <w:p>
            <w:pPr>
              <w:pStyle w:val="2904"/>
              <w:spacing w:beforeLines="0" w:afterLines="0" w:line="240" w:lineRule="atLeast"/>
              <w:jc w:val="both"/>
              <w:rPr>
                <w:color w:val="FF0000"/>
                <w:kern w:val="0"/>
              </w:rPr>
            </w:pPr>
            <w:r>
              <w:rPr>
                <w:rFonts w:hint="eastAsia"/>
                <w:color w:val="FF0000"/>
              </w:rPr>
              <w:t>危险废物：</w:t>
            </w:r>
            <w:r>
              <w:rPr>
                <w:color w:val="FF0000"/>
              </w:rPr>
              <w:t>60600</w:t>
            </w:r>
          </w:p>
        </w:tc>
        <w:tc>
          <w:tcPr>
            <w:tcW w:w="2759" w:type="dxa"/>
            <w:vMerge w:val="restart"/>
            <w:vAlign w:val="center"/>
          </w:tcPr>
          <w:p>
            <w:pPr>
              <w:pStyle w:val="2904"/>
              <w:spacing w:beforeLines="0" w:afterLines="0" w:line="240" w:lineRule="atLeast"/>
              <w:jc w:val="both"/>
              <w:rPr>
                <w:color w:val="FF0000"/>
                <w:kern w:val="2"/>
              </w:rPr>
            </w:pPr>
            <w:r>
              <w:rPr>
                <w:rFonts w:hint="eastAsia"/>
                <w:color w:val="FF0000"/>
              </w:rPr>
              <w:t>危险废物：</w:t>
            </w:r>
            <w:r>
              <w:rPr>
                <w:color w:val="FF0000"/>
              </w:rPr>
              <w:t>151200</w:t>
            </w:r>
          </w:p>
        </w:tc>
        <w:tc>
          <w:tcPr>
            <w:tcW w:w="987" w:type="dxa"/>
            <w:vMerge w:val="restart"/>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己内酰胺</w:t>
            </w:r>
          </w:p>
        </w:tc>
        <w:tc>
          <w:tcPr>
            <w:tcW w:w="2398" w:type="dxa"/>
            <w:vMerge w:val="continue"/>
            <w:vAlign w:val="center"/>
          </w:tcPr>
          <w:p>
            <w:pPr>
              <w:widowControl/>
              <w:spacing w:line="240" w:lineRule="atLeast"/>
              <w:ind w:firstLine="0" w:firstLineChars="0"/>
              <w:jc w:val="left"/>
              <w:rPr>
                <w:color w:val="FF0000"/>
                <w:kern w:val="0"/>
                <w:sz w:val="21"/>
              </w:rPr>
            </w:pPr>
          </w:p>
        </w:tc>
        <w:tc>
          <w:tcPr>
            <w:tcW w:w="2759" w:type="dxa"/>
            <w:vMerge w:val="continue"/>
            <w:vAlign w:val="center"/>
          </w:tcPr>
          <w:p>
            <w:pPr>
              <w:widowControl/>
              <w:spacing w:line="240" w:lineRule="atLeast"/>
              <w:ind w:firstLine="0" w:firstLineChars="0"/>
              <w:jc w:val="left"/>
              <w:rPr>
                <w:color w:val="FF0000"/>
                <w:sz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针状焦</w:t>
            </w:r>
          </w:p>
        </w:tc>
        <w:tc>
          <w:tcPr>
            <w:tcW w:w="2398" w:type="dxa"/>
            <w:vMerge w:val="continue"/>
            <w:vAlign w:val="center"/>
          </w:tcPr>
          <w:p>
            <w:pPr>
              <w:widowControl/>
              <w:spacing w:line="240" w:lineRule="atLeast"/>
              <w:ind w:firstLine="0" w:firstLineChars="0"/>
              <w:jc w:val="left"/>
              <w:rPr>
                <w:color w:val="FF0000"/>
                <w:kern w:val="0"/>
                <w:sz w:val="21"/>
              </w:rPr>
            </w:pPr>
          </w:p>
        </w:tc>
        <w:tc>
          <w:tcPr>
            <w:tcW w:w="2759" w:type="dxa"/>
            <w:vMerge w:val="continue"/>
            <w:vAlign w:val="center"/>
          </w:tcPr>
          <w:p>
            <w:pPr>
              <w:widowControl/>
              <w:spacing w:line="240" w:lineRule="atLeast"/>
              <w:ind w:firstLine="0" w:firstLineChars="0"/>
              <w:jc w:val="left"/>
              <w:rPr>
                <w:color w:val="FF0000"/>
                <w:sz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苯酚</w:t>
            </w:r>
            <w:r>
              <w:rPr>
                <w:color w:val="FF0000"/>
                <w:kern w:val="0"/>
                <w:sz w:val="21"/>
              </w:rPr>
              <w:t>/</w:t>
            </w:r>
            <w:r>
              <w:rPr>
                <w:rFonts w:hint="eastAsia"/>
                <w:color w:val="FF0000"/>
                <w:kern w:val="0"/>
                <w:sz w:val="21"/>
              </w:rPr>
              <w:t>丙酮</w:t>
            </w:r>
          </w:p>
        </w:tc>
        <w:tc>
          <w:tcPr>
            <w:tcW w:w="2398" w:type="dxa"/>
            <w:vAlign w:val="center"/>
          </w:tcPr>
          <w:p>
            <w:pPr>
              <w:widowControl/>
              <w:snapToGrid w:val="0"/>
              <w:spacing w:line="240" w:lineRule="atLeast"/>
              <w:ind w:firstLine="0" w:firstLineChars="0"/>
              <w:jc w:val="left"/>
              <w:rPr>
                <w:color w:val="FF0000"/>
                <w:kern w:val="0"/>
                <w:sz w:val="21"/>
              </w:rPr>
            </w:pPr>
            <w:r>
              <w:rPr>
                <w:rFonts w:hint="eastAsia"/>
                <w:color w:val="FF0000"/>
                <w:kern w:val="0"/>
                <w:sz w:val="21"/>
              </w:rPr>
              <w:t>废催化剂</w:t>
            </w:r>
          </w:p>
        </w:tc>
        <w:tc>
          <w:tcPr>
            <w:tcW w:w="2759" w:type="dxa"/>
            <w:vAlign w:val="center"/>
          </w:tcPr>
          <w:p>
            <w:pPr>
              <w:widowControl/>
              <w:snapToGrid w:val="0"/>
              <w:spacing w:line="240" w:lineRule="atLeast"/>
              <w:ind w:firstLine="0" w:firstLineChars="0"/>
              <w:jc w:val="left"/>
              <w:rPr>
                <w:color w:val="FF0000"/>
                <w:kern w:val="0"/>
                <w:sz w:val="21"/>
              </w:rPr>
            </w:pPr>
            <w:r>
              <w:rPr>
                <w:rFonts w:hint="eastAsia"/>
                <w:color w:val="FF0000"/>
                <w:kern w:val="0"/>
                <w:sz w:val="21"/>
              </w:rPr>
              <w:t>废催化剂</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1,4-</w:t>
            </w:r>
            <w:r>
              <w:rPr>
                <w:rFonts w:hint="eastAsia" w:ascii="宋体" w:hAnsi="宋体"/>
                <w:color w:val="FF0000"/>
                <w:kern w:val="0"/>
                <w:sz w:val="21"/>
              </w:rPr>
              <w:t>丁二醇（</w:t>
            </w:r>
            <w:r>
              <w:rPr>
                <w:color w:val="FF0000"/>
                <w:kern w:val="0"/>
                <w:sz w:val="21"/>
              </w:rPr>
              <w:t>BDO</w:t>
            </w:r>
            <w:r>
              <w:rPr>
                <w:rFonts w:hint="eastAsia" w:ascii="宋体" w:hAnsi="宋体"/>
                <w:color w:val="FF0000"/>
                <w:kern w:val="0"/>
                <w:sz w:val="21"/>
              </w:rPr>
              <w:t>）</w:t>
            </w:r>
          </w:p>
        </w:tc>
        <w:tc>
          <w:tcPr>
            <w:tcW w:w="2398" w:type="dxa"/>
            <w:vAlign w:val="center"/>
          </w:tcPr>
          <w:p>
            <w:pPr>
              <w:widowControl/>
              <w:snapToGrid w:val="0"/>
              <w:spacing w:line="240" w:lineRule="atLeast"/>
              <w:ind w:firstLine="0" w:firstLineChars="0"/>
              <w:jc w:val="left"/>
              <w:rPr>
                <w:rFonts w:cs="Times New Roman"/>
                <w:color w:val="FF0000"/>
                <w:kern w:val="0"/>
                <w:sz w:val="21"/>
              </w:rPr>
            </w:pPr>
            <w:r>
              <w:rPr>
                <w:rFonts w:hint="eastAsia"/>
                <w:color w:val="FF0000"/>
                <w:kern w:val="0"/>
                <w:sz w:val="21"/>
              </w:rPr>
              <w:t>危险废物：</w:t>
            </w:r>
            <w:r>
              <w:rPr>
                <w:color w:val="FF0000"/>
                <w:kern w:val="0"/>
                <w:sz w:val="21"/>
              </w:rPr>
              <w:t>4800</w:t>
            </w:r>
          </w:p>
          <w:p>
            <w:pPr>
              <w:widowControl/>
              <w:snapToGrid w:val="0"/>
              <w:spacing w:line="240" w:lineRule="atLeast"/>
              <w:ind w:firstLine="0" w:firstLineChars="0"/>
              <w:jc w:val="left"/>
              <w:rPr>
                <w:color w:val="FF0000"/>
                <w:kern w:val="0"/>
                <w:sz w:val="21"/>
              </w:rPr>
            </w:pPr>
            <w:r>
              <w:rPr>
                <w:rFonts w:hint="eastAsia"/>
                <w:color w:val="FF0000"/>
                <w:kern w:val="0"/>
                <w:sz w:val="21"/>
              </w:rPr>
              <w:t>一般固废：</w:t>
            </w:r>
            <w:r>
              <w:rPr>
                <w:color w:val="FF0000"/>
                <w:kern w:val="0"/>
                <w:sz w:val="21"/>
              </w:rPr>
              <w:t>12</w:t>
            </w:r>
            <w:r>
              <w:rPr>
                <w:rFonts w:hint="eastAsia"/>
                <w:color w:val="FF0000"/>
                <w:kern w:val="0"/>
                <w:sz w:val="21"/>
              </w:rPr>
              <w:t>万</w:t>
            </w:r>
          </w:p>
        </w:tc>
        <w:tc>
          <w:tcPr>
            <w:tcW w:w="2759" w:type="dxa"/>
            <w:vAlign w:val="center"/>
          </w:tcPr>
          <w:p>
            <w:pPr>
              <w:widowControl/>
              <w:snapToGrid w:val="0"/>
              <w:spacing w:line="240" w:lineRule="atLeast"/>
              <w:ind w:firstLine="0" w:firstLineChars="0"/>
              <w:jc w:val="left"/>
              <w:rPr>
                <w:rFonts w:cs="Times New Roman"/>
                <w:color w:val="FF0000"/>
                <w:kern w:val="0"/>
                <w:sz w:val="21"/>
              </w:rPr>
            </w:pPr>
            <w:r>
              <w:rPr>
                <w:rFonts w:hint="eastAsia"/>
                <w:color w:val="FF0000"/>
                <w:kern w:val="0"/>
                <w:sz w:val="21"/>
              </w:rPr>
              <w:t>危险废物：</w:t>
            </w:r>
            <w:r>
              <w:rPr>
                <w:color w:val="FF0000"/>
                <w:kern w:val="0"/>
                <w:sz w:val="21"/>
              </w:rPr>
              <w:t>9600</w:t>
            </w:r>
          </w:p>
          <w:p>
            <w:pPr>
              <w:widowControl/>
              <w:snapToGrid w:val="0"/>
              <w:spacing w:line="240" w:lineRule="atLeast"/>
              <w:ind w:firstLine="0" w:firstLineChars="0"/>
              <w:jc w:val="left"/>
              <w:rPr>
                <w:color w:val="FF0000"/>
                <w:kern w:val="0"/>
                <w:sz w:val="21"/>
              </w:rPr>
            </w:pPr>
            <w:r>
              <w:rPr>
                <w:rFonts w:hint="eastAsia"/>
                <w:color w:val="FF0000"/>
                <w:kern w:val="0"/>
                <w:sz w:val="21"/>
              </w:rPr>
              <w:t>一般固废：</w:t>
            </w:r>
            <w:r>
              <w:rPr>
                <w:color w:val="FF0000"/>
                <w:kern w:val="0"/>
                <w:sz w:val="21"/>
              </w:rPr>
              <w:t>24</w:t>
            </w:r>
            <w:r>
              <w:rPr>
                <w:rFonts w:hint="eastAsia"/>
                <w:color w:val="FF0000"/>
                <w:kern w:val="0"/>
                <w:sz w:val="21"/>
              </w:rPr>
              <w:t>万</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碳酸二甲酯（</w:t>
            </w:r>
            <w:r>
              <w:rPr>
                <w:color w:val="FF0000"/>
                <w:kern w:val="0"/>
                <w:sz w:val="21"/>
              </w:rPr>
              <w:t>DMC</w:t>
            </w:r>
            <w:r>
              <w:rPr>
                <w:rFonts w:hint="eastAsia" w:ascii="宋体" w:hAnsi="宋体"/>
                <w:color w:val="FF0000"/>
                <w:kern w:val="0"/>
                <w:sz w:val="21"/>
              </w:rPr>
              <w:t>）</w:t>
            </w:r>
          </w:p>
        </w:tc>
        <w:tc>
          <w:tcPr>
            <w:tcW w:w="2398" w:type="dxa"/>
            <w:vAlign w:val="center"/>
          </w:tcPr>
          <w:p>
            <w:pPr>
              <w:widowControl/>
              <w:snapToGrid w:val="0"/>
              <w:spacing w:line="240" w:lineRule="atLeast"/>
              <w:ind w:firstLine="0" w:firstLineChars="0"/>
              <w:jc w:val="left"/>
              <w:rPr>
                <w:color w:val="FF0000"/>
                <w:kern w:val="0"/>
                <w:sz w:val="21"/>
              </w:rPr>
            </w:pPr>
            <w:r>
              <w:rPr>
                <w:color w:val="FF0000"/>
                <w:kern w:val="0"/>
                <w:sz w:val="21"/>
              </w:rPr>
              <w:t>-</w:t>
            </w:r>
          </w:p>
        </w:tc>
        <w:tc>
          <w:tcPr>
            <w:tcW w:w="2759" w:type="dxa"/>
            <w:vAlign w:val="center"/>
          </w:tcPr>
          <w:p>
            <w:pPr>
              <w:widowControl/>
              <w:snapToGrid w:val="0"/>
              <w:spacing w:line="240" w:lineRule="atLeast"/>
              <w:ind w:firstLine="0" w:firstLineChars="0"/>
              <w:jc w:val="left"/>
              <w:rPr>
                <w:color w:val="FF0000"/>
                <w:kern w:val="0"/>
                <w:sz w:val="21"/>
              </w:rPr>
            </w:pPr>
            <w:r>
              <w:rPr>
                <w:rFonts w:hint="eastAsia"/>
                <w:color w:val="FF0000"/>
                <w:kern w:val="0"/>
                <w:sz w:val="21"/>
              </w:rPr>
              <w:t>釜残：</w:t>
            </w:r>
            <w:r>
              <w:rPr>
                <w:color w:val="FF0000"/>
                <w:kern w:val="0"/>
                <w:sz w:val="21"/>
              </w:rPr>
              <w:t>13.6</w:t>
            </w:r>
            <w:r>
              <w:rPr>
                <w:rFonts w:hint="eastAsia"/>
                <w:color w:val="FF0000"/>
                <w:kern w:val="0"/>
                <w:sz w:val="21"/>
              </w:rPr>
              <w:t>；渣料：</w:t>
            </w:r>
            <w:r>
              <w:rPr>
                <w:color w:val="FF0000"/>
                <w:kern w:val="0"/>
                <w:sz w:val="21"/>
              </w:rPr>
              <w:t>900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吡啶</w:t>
            </w:r>
          </w:p>
        </w:tc>
        <w:tc>
          <w:tcPr>
            <w:tcW w:w="2398" w:type="dxa"/>
            <w:vAlign w:val="center"/>
          </w:tcPr>
          <w:p>
            <w:pPr>
              <w:widowControl/>
              <w:snapToGrid w:val="0"/>
              <w:spacing w:line="240" w:lineRule="atLeast"/>
              <w:ind w:firstLine="0" w:firstLineChars="0"/>
              <w:jc w:val="left"/>
              <w:rPr>
                <w:color w:val="FF0000"/>
                <w:kern w:val="0"/>
                <w:sz w:val="21"/>
              </w:rPr>
            </w:pPr>
            <w:r>
              <w:rPr>
                <w:rFonts w:hint="eastAsia"/>
                <w:color w:val="FF0000"/>
                <w:kern w:val="0"/>
                <w:sz w:val="21"/>
              </w:rPr>
              <w:t>废液渣：</w:t>
            </w:r>
            <w:r>
              <w:rPr>
                <w:color w:val="FF0000"/>
                <w:kern w:val="0"/>
                <w:sz w:val="21"/>
              </w:rPr>
              <w:t>40</w:t>
            </w:r>
          </w:p>
        </w:tc>
        <w:tc>
          <w:tcPr>
            <w:tcW w:w="2759" w:type="dxa"/>
            <w:vAlign w:val="center"/>
          </w:tcPr>
          <w:p>
            <w:pPr>
              <w:widowControl/>
              <w:snapToGrid w:val="0"/>
              <w:spacing w:line="240" w:lineRule="atLeast"/>
              <w:ind w:firstLine="0" w:firstLineChars="0"/>
              <w:jc w:val="left"/>
              <w:rPr>
                <w:color w:val="FF0000"/>
                <w:kern w:val="0"/>
                <w:sz w:val="21"/>
              </w:rPr>
            </w:pPr>
            <w:r>
              <w:rPr>
                <w:rFonts w:hint="eastAsia"/>
                <w:color w:val="FF0000"/>
                <w:kern w:val="0"/>
                <w:sz w:val="21"/>
              </w:rPr>
              <w:t>废液渣：</w:t>
            </w:r>
            <w:r>
              <w:rPr>
                <w:color w:val="FF0000"/>
                <w:kern w:val="0"/>
                <w:sz w:val="21"/>
              </w:rPr>
              <w:t>600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环氧丙烷</w:t>
            </w:r>
          </w:p>
        </w:tc>
        <w:tc>
          <w:tcPr>
            <w:tcW w:w="2398" w:type="dxa"/>
            <w:vAlign w:val="center"/>
          </w:tcPr>
          <w:p>
            <w:pPr>
              <w:widowControl/>
              <w:snapToGrid w:val="0"/>
              <w:spacing w:line="240" w:lineRule="atLeast"/>
              <w:ind w:firstLine="0" w:firstLineChars="0"/>
              <w:jc w:val="left"/>
              <w:rPr>
                <w:color w:val="FF0000"/>
                <w:kern w:val="0"/>
                <w:sz w:val="21"/>
              </w:rPr>
            </w:pPr>
            <w:r>
              <w:rPr>
                <w:rFonts w:hint="eastAsia"/>
                <w:color w:val="FF0000"/>
                <w:sz w:val="21"/>
              </w:rPr>
              <w:t>废催化剂、废树脂：</w:t>
            </w:r>
            <w:r>
              <w:rPr>
                <w:color w:val="FF0000"/>
                <w:sz w:val="21"/>
              </w:rPr>
              <w:t>15</w:t>
            </w:r>
          </w:p>
        </w:tc>
        <w:tc>
          <w:tcPr>
            <w:tcW w:w="2759" w:type="dxa"/>
            <w:vAlign w:val="center"/>
          </w:tcPr>
          <w:p>
            <w:pPr>
              <w:pStyle w:val="2904"/>
              <w:spacing w:beforeLines="0" w:afterLines="0" w:line="240" w:lineRule="atLeast"/>
              <w:jc w:val="left"/>
              <w:rPr>
                <w:color w:val="FF0000"/>
                <w:kern w:val="2"/>
              </w:rPr>
            </w:pPr>
            <w:r>
              <w:rPr>
                <w:rFonts w:hint="eastAsia"/>
                <w:color w:val="FF0000"/>
              </w:rPr>
              <w:t>废催化剂、废树脂：</w:t>
            </w:r>
            <w:r>
              <w:rPr>
                <w:color w:val="FF0000"/>
              </w:rPr>
              <w:t>30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醋酸乙烯</w:t>
            </w:r>
          </w:p>
        </w:tc>
        <w:tc>
          <w:tcPr>
            <w:tcW w:w="2398" w:type="dxa"/>
            <w:vMerge w:val="restart"/>
            <w:vAlign w:val="center"/>
          </w:tcPr>
          <w:p>
            <w:pPr>
              <w:widowControl/>
              <w:snapToGrid w:val="0"/>
              <w:spacing w:line="240" w:lineRule="atLeast"/>
              <w:ind w:firstLine="0" w:firstLineChars="0"/>
              <w:jc w:val="left"/>
              <w:rPr>
                <w:color w:val="FF0000"/>
                <w:kern w:val="0"/>
                <w:sz w:val="21"/>
              </w:rPr>
            </w:pPr>
            <w:r>
              <w:rPr>
                <w:rFonts w:hint="eastAsia"/>
                <w:color w:val="FF0000"/>
                <w:kern w:val="0"/>
                <w:sz w:val="21"/>
              </w:rPr>
              <w:t>危险废物：</w:t>
            </w:r>
            <w:r>
              <w:rPr>
                <w:color w:val="FF0000"/>
                <w:kern w:val="0"/>
                <w:sz w:val="21"/>
              </w:rPr>
              <w:t>1300</w:t>
            </w:r>
          </w:p>
        </w:tc>
        <w:tc>
          <w:tcPr>
            <w:tcW w:w="2759" w:type="dxa"/>
            <w:vMerge w:val="restart"/>
            <w:vAlign w:val="center"/>
          </w:tcPr>
          <w:p>
            <w:pPr>
              <w:widowControl/>
              <w:snapToGrid w:val="0"/>
              <w:spacing w:line="240" w:lineRule="atLeast"/>
              <w:ind w:firstLine="0" w:firstLineChars="0"/>
              <w:jc w:val="left"/>
              <w:rPr>
                <w:color w:val="FF0000"/>
                <w:kern w:val="0"/>
                <w:sz w:val="21"/>
              </w:rPr>
            </w:pPr>
            <w:r>
              <w:rPr>
                <w:rFonts w:hint="eastAsia"/>
                <w:color w:val="FF0000"/>
                <w:kern w:val="0"/>
                <w:sz w:val="21"/>
              </w:rPr>
              <w:t>危险废物：</w:t>
            </w:r>
            <w:r>
              <w:rPr>
                <w:color w:val="FF0000"/>
                <w:kern w:val="0"/>
                <w:sz w:val="21"/>
              </w:rPr>
              <w:t>3080</w:t>
            </w:r>
          </w:p>
        </w:tc>
        <w:tc>
          <w:tcPr>
            <w:tcW w:w="987" w:type="dxa"/>
            <w:vMerge w:val="restart"/>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rFonts w:cs="Times New Roman"/>
                <w:color w:val="FF0000"/>
                <w:kern w:val="0"/>
                <w:sz w:val="21"/>
              </w:rPr>
            </w:pPr>
            <w:r>
              <w:rPr>
                <w:rFonts w:hint="eastAsia"/>
                <w:color w:val="FF0000"/>
                <w:kern w:val="0"/>
                <w:sz w:val="21"/>
              </w:rPr>
              <w:t>醋酸乙烯</w:t>
            </w:r>
          </w:p>
          <w:p>
            <w:pPr>
              <w:widowControl/>
              <w:snapToGrid w:val="0"/>
              <w:spacing w:line="240" w:lineRule="atLeast"/>
              <w:ind w:firstLine="0" w:firstLineChars="0"/>
              <w:jc w:val="center"/>
              <w:rPr>
                <w:color w:val="FF0000"/>
                <w:kern w:val="0"/>
                <w:sz w:val="21"/>
              </w:rPr>
            </w:pPr>
            <w:r>
              <w:rPr>
                <w:color w:val="FF0000"/>
                <w:kern w:val="0"/>
                <w:sz w:val="21"/>
              </w:rPr>
              <w:t>-</w:t>
            </w:r>
            <w:r>
              <w:rPr>
                <w:rFonts w:hint="eastAsia" w:ascii="宋体" w:hAnsi="宋体"/>
                <w:color w:val="FF0000"/>
                <w:kern w:val="0"/>
                <w:sz w:val="21"/>
              </w:rPr>
              <w:t>乙烯共聚物</w:t>
            </w:r>
          </w:p>
        </w:tc>
        <w:tc>
          <w:tcPr>
            <w:tcW w:w="2398" w:type="dxa"/>
            <w:vMerge w:val="continue"/>
            <w:vAlign w:val="center"/>
          </w:tcPr>
          <w:p>
            <w:pPr>
              <w:widowControl/>
              <w:spacing w:line="240" w:lineRule="atLeast"/>
              <w:ind w:firstLine="0" w:firstLineChars="0"/>
              <w:jc w:val="left"/>
              <w:rPr>
                <w:color w:val="FF0000"/>
                <w:kern w:val="0"/>
                <w:sz w:val="21"/>
              </w:rPr>
            </w:pPr>
          </w:p>
        </w:tc>
        <w:tc>
          <w:tcPr>
            <w:tcW w:w="2759" w:type="dxa"/>
            <w:vMerge w:val="continue"/>
            <w:vAlign w:val="center"/>
          </w:tcPr>
          <w:p>
            <w:pPr>
              <w:widowControl/>
              <w:spacing w:line="240" w:lineRule="atLeast"/>
              <w:ind w:firstLine="0" w:firstLineChars="0"/>
              <w:jc w:val="left"/>
              <w:rPr>
                <w:color w:val="FF0000"/>
                <w:kern w:val="0"/>
                <w:sz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丙烯酸酯</w:t>
            </w:r>
          </w:p>
        </w:tc>
        <w:tc>
          <w:tcPr>
            <w:tcW w:w="2398" w:type="dxa"/>
            <w:vAlign w:val="center"/>
          </w:tcPr>
          <w:p>
            <w:pPr>
              <w:widowControl/>
              <w:snapToGrid w:val="0"/>
              <w:spacing w:line="240" w:lineRule="atLeast"/>
              <w:ind w:firstLine="0" w:firstLineChars="0"/>
              <w:jc w:val="center"/>
              <w:rPr>
                <w:color w:val="FF0000"/>
                <w:kern w:val="0"/>
                <w:sz w:val="21"/>
              </w:rPr>
            </w:pPr>
            <w:r>
              <w:rPr>
                <w:color w:val="FF0000"/>
                <w:kern w:val="0"/>
                <w:sz w:val="21"/>
              </w:rPr>
              <w:t>-</w:t>
            </w:r>
          </w:p>
        </w:tc>
        <w:tc>
          <w:tcPr>
            <w:tcW w:w="2759" w:type="dxa"/>
            <w:vAlign w:val="center"/>
          </w:tcPr>
          <w:p>
            <w:pPr>
              <w:widowControl/>
              <w:snapToGrid w:val="0"/>
              <w:spacing w:line="240" w:lineRule="atLeast"/>
              <w:ind w:firstLine="0" w:firstLineChars="0"/>
              <w:rPr>
                <w:color w:val="FF0000"/>
                <w:kern w:val="0"/>
                <w:sz w:val="21"/>
              </w:rPr>
            </w:pPr>
            <w:r>
              <w:rPr>
                <w:rFonts w:hint="eastAsia"/>
                <w:color w:val="FF0000"/>
                <w:kern w:val="0"/>
                <w:sz w:val="21"/>
              </w:rPr>
              <w:t>危险废物：</w:t>
            </w:r>
            <w:r>
              <w:rPr>
                <w:color w:val="FF0000"/>
                <w:kern w:val="0"/>
                <w:sz w:val="21"/>
              </w:rPr>
              <w:t>4000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restart"/>
            <w:vAlign w:val="center"/>
          </w:tcPr>
          <w:p>
            <w:pPr>
              <w:pStyle w:val="739"/>
              <w:spacing w:line="240" w:lineRule="atLeast"/>
              <w:ind w:firstLine="0" w:firstLineChars="0"/>
              <w:jc w:val="center"/>
              <w:rPr>
                <w:rFonts w:cs="Times New Roman"/>
                <w:color w:val="FF0000"/>
                <w:sz w:val="21"/>
                <w:szCs w:val="21"/>
              </w:rPr>
            </w:pPr>
            <w:r>
              <w:rPr>
                <w:rFonts w:hint="eastAsia"/>
                <w:color w:val="FF0000"/>
                <w:kern w:val="0"/>
                <w:sz w:val="21"/>
                <w:szCs w:val="21"/>
              </w:rPr>
              <w:t>发泡剂、橡胶助剂及中间体</w:t>
            </w: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水合肼</w:t>
            </w:r>
          </w:p>
        </w:tc>
        <w:tc>
          <w:tcPr>
            <w:tcW w:w="2398" w:type="dxa"/>
            <w:vMerge w:val="restart"/>
            <w:vAlign w:val="center"/>
          </w:tcPr>
          <w:p>
            <w:pPr>
              <w:widowControl/>
              <w:snapToGrid w:val="0"/>
              <w:spacing w:line="240" w:lineRule="atLeast"/>
              <w:ind w:firstLine="0" w:firstLineChars="0"/>
              <w:jc w:val="center"/>
              <w:rPr>
                <w:rFonts w:hAnsi="宋体"/>
                <w:color w:val="FF0000"/>
                <w:sz w:val="21"/>
              </w:rPr>
            </w:pPr>
            <w:r>
              <w:rPr>
                <w:rFonts w:hint="eastAsia" w:hAnsi="宋体"/>
                <w:color w:val="FF0000"/>
                <w:sz w:val="21"/>
              </w:rPr>
              <w:t>汽提塔、精馏釜残：</w:t>
            </w:r>
            <w:r>
              <w:rPr>
                <w:rFonts w:hAnsi="宋体"/>
                <w:color w:val="FF0000"/>
                <w:sz w:val="21"/>
              </w:rPr>
              <w:t>5700</w:t>
            </w:r>
          </w:p>
          <w:p>
            <w:pPr>
              <w:pStyle w:val="739"/>
              <w:spacing w:line="240" w:lineRule="atLeast"/>
              <w:ind w:firstLine="0" w:firstLineChars="0"/>
              <w:jc w:val="center"/>
              <w:rPr>
                <w:rFonts w:cs="Times New Roman"/>
                <w:color w:val="FF0000"/>
                <w:sz w:val="21"/>
                <w:szCs w:val="21"/>
              </w:rPr>
            </w:pPr>
            <w:r>
              <w:rPr>
                <w:rFonts w:hint="eastAsia" w:hAnsi="宋体"/>
                <w:color w:val="FF0000"/>
                <w:sz w:val="21"/>
                <w:szCs w:val="21"/>
              </w:rPr>
              <w:t>压滤渣：</w:t>
            </w:r>
            <w:r>
              <w:rPr>
                <w:rFonts w:hAnsi="宋体"/>
                <w:color w:val="FF0000"/>
                <w:sz w:val="21"/>
                <w:szCs w:val="21"/>
              </w:rPr>
              <w:t>4.7</w:t>
            </w:r>
            <w:r>
              <w:rPr>
                <w:rFonts w:hint="eastAsia" w:hAnsi="宋体"/>
                <w:color w:val="FF0000"/>
                <w:sz w:val="21"/>
                <w:szCs w:val="21"/>
              </w:rPr>
              <w:t>万</w:t>
            </w:r>
          </w:p>
        </w:tc>
        <w:tc>
          <w:tcPr>
            <w:tcW w:w="2759" w:type="dxa"/>
            <w:vMerge w:val="restart"/>
            <w:vAlign w:val="center"/>
          </w:tcPr>
          <w:p>
            <w:pPr>
              <w:widowControl/>
              <w:snapToGrid w:val="0"/>
              <w:spacing w:line="240" w:lineRule="atLeast"/>
              <w:ind w:firstLine="0" w:firstLineChars="0"/>
              <w:jc w:val="center"/>
              <w:rPr>
                <w:rFonts w:hAnsi="宋体"/>
                <w:color w:val="FF0000"/>
                <w:sz w:val="21"/>
              </w:rPr>
            </w:pPr>
            <w:r>
              <w:rPr>
                <w:rFonts w:hint="eastAsia" w:hAnsi="宋体"/>
                <w:color w:val="FF0000"/>
                <w:sz w:val="21"/>
              </w:rPr>
              <w:t>汽提塔、精馏釜残：</w:t>
            </w:r>
            <w:r>
              <w:rPr>
                <w:rFonts w:hAnsi="宋体"/>
                <w:color w:val="FF0000"/>
                <w:sz w:val="21"/>
              </w:rPr>
              <w:t>9500</w:t>
            </w:r>
          </w:p>
          <w:p>
            <w:pPr>
              <w:pStyle w:val="739"/>
              <w:spacing w:line="240" w:lineRule="atLeast"/>
              <w:ind w:firstLine="0" w:firstLineChars="0"/>
              <w:jc w:val="center"/>
              <w:rPr>
                <w:rFonts w:cs="Times New Roman"/>
                <w:color w:val="FF0000"/>
                <w:sz w:val="21"/>
                <w:szCs w:val="21"/>
              </w:rPr>
            </w:pPr>
            <w:r>
              <w:rPr>
                <w:rFonts w:hint="eastAsia" w:hAnsi="宋体"/>
                <w:color w:val="FF0000"/>
                <w:sz w:val="21"/>
                <w:szCs w:val="21"/>
              </w:rPr>
              <w:t>压滤渣：</w:t>
            </w:r>
            <w:r>
              <w:rPr>
                <w:rFonts w:hAnsi="宋体"/>
                <w:color w:val="FF0000"/>
                <w:sz w:val="21"/>
                <w:szCs w:val="21"/>
              </w:rPr>
              <w:t>7.8</w:t>
            </w:r>
            <w:r>
              <w:rPr>
                <w:rFonts w:hint="eastAsia" w:hAnsi="宋体"/>
                <w:color w:val="FF0000"/>
                <w:sz w:val="21"/>
                <w:szCs w:val="21"/>
              </w:rPr>
              <w:t>万</w:t>
            </w:r>
          </w:p>
        </w:tc>
        <w:tc>
          <w:tcPr>
            <w:tcW w:w="987" w:type="dxa"/>
            <w:vMerge w:val="restart"/>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AC</w:t>
            </w:r>
            <w:r>
              <w:rPr>
                <w:rFonts w:hint="eastAsia" w:ascii="宋体" w:hAnsi="宋体"/>
                <w:color w:val="FF0000"/>
                <w:kern w:val="0"/>
                <w:sz w:val="21"/>
              </w:rPr>
              <w:t>发泡剂</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4,4-</w:t>
            </w:r>
            <w:r>
              <w:rPr>
                <w:rFonts w:hint="eastAsia" w:ascii="宋体" w:hAnsi="宋体"/>
                <w:color w:val="FF0000"/>
                <w:kern w:val="0"/>
                <w:sz w:val="21"/>
              </w:rPr>
              <w:t>氧代双苯磺酰肼</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邻（间）苯二胺</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2-</w:t>
            </w:r>
            <w:r>
              <w:rPr>
                <w:rFonts w:hint="eastAsia" w:ascii="宋体" w:hAnsi="宋体"/>
                <w:color w:val="FF0000"/>
                <w:kern w:val="0"/>
                <w:sz w:val="21"/>
              </w:rPr>
              <w:t>巯基苯并噻唑</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二苄基硫</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2-</w:t>
            </w:r>
            <w:r>
              <w:rPr>
                <w:rFonts w:hint="eastAsia" w:ascii="宋体" w:hAnsi="宋体"/>
                <w:color w:val="FF0000"/>
                <w:kern w:val="0"/>
                <w:sz w:val="21"/>
              </w:rPr>
              <w:t>巯基乙醇</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vAlign w:val="center"/>
          </w:tcPr>
          <w:p>
            <w:pPr>
              <w:pStyle w:val="739"/>
              <w:spacing w:line="240" w:lineRule="atLeast"/>
              <w:ind w:firstLine="0" w:firstLineChars="0"/>
              <w:jc w:val="center"/>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防老剂</w:t>
            </w:r>
            <w:r>
              <w:rPr>
                <w:color w:val="FF0000"/>
                <w:kern w:val="0"/>
                <w:sz w:val="21"/>
              </w:rPr>
              <w:t>TPL</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Align w:val="center"/>
          </w:tcPr>
          <w:p>
            <w:pPr>
              <w:pStyle w:val="739"/>
              <w:spacing w:line="240" w:lineRule="atLeast"/>
              <w:ind w:firstLine="0" w:firstLineChars="0"/>
              <w:jc w:val="center"/>
              <w:rPr>
                <w:rFonts w:cs="Times New Roman"/>
                <w:color w:val="FF0000"/>
                <w:sz w:val="21"/>
                <w:szCs w:val="21"/>
              </w:rPr>
            </w:pPr>
            <w:r>
              <w:rPr>
                <w:rFonts w:hint="eastAsia"/>
                <w:color w:val="FF0000"/>
                <w:kern w:val="0"/>
                <w:sz w:val="21"/>
                <w:szCs w:val="21"/>
              </w:rPr>
              <w:t>氟硅精细化工</w:t>
            </w:r>
          </w:p>
        </w:tc>
        <w:tc>
          <w:tcPr>
            <w:tcW w:w="1949" w:type="dxa"/>
            <w:vAlign w:val="center"/>
          </w:tcPr>
          <w:p>
            <w:pPr>
              <w:pStyle w:val="739"/>
              <w:spacing w:line="240" w:lineRule="atLeast"/>
              <w:ind w:firstLine="0" w:firstLineChars="0"/>
              <w:rPr>
                <w:rFonts w:cs="Times New Roman"/>
                <w:color w:val="FF0000"/>
                <w:sz w:val="21"/>
                <w:szCs w:val="21"/>
              </w:rPr>
            </w:pPr>
            <w:r>
              <w:rPr>
                <w:rFonts w:hint="eastAsia"/>
                <w:color w:val="FF0000"/>
                <w:kern w:val="0"/>
                <w:sz w:val="21"/>
                <w:szCs w:val="21"/>
              </w:rPr>
              <w:t>有机硅单体</w:t>
            </w:r>
          </w:p>
        </w:tc>
        <w:tc>
          <w:tcPr>
            <w:tcW w:w="2398" w:type="dxa"/>
          </w:tcPr>
          <w:p>
            <w:pPr>
              <w:pStyle w:val="2904"/>
              <w:spacing w:beforeLines="0" w:afterLines="0" w:line="240" w:lineRule="atLeast"/>
              <w:jc w:val="left"/>
              <w:rPr>
                <w:color w:val="FF0000"/>
              </w:rPr>
            </w:pPr>
            <w:r>
              <w:rPr>
                <w:rFonts w:hint="eastAsia"/>
                <w:color w:val="FF0000"/>
              </w:rPr>
              <w:t>细硅粉：</w:t>
            </w:r>
            <w:r>
              <w:rPr>
                <w:color w:val="FF0000"/>
              </w:rPr>
              <w:t>438</w:t>
            </w:r>
          </w:p>
          <w:p>
            <w:pPr>
              <w:pStyle w:val="2904"/>
              <w:spacing w:beforeLines="0" w:afterLines="0" w:line="240" w:lineRule="atLeast"/>
              <w:jc w:val="left"/>
              <w:rPr>
                <w:color w:val="FF0000"/>
              </w:rPr>
            </w:pPr>
            <w:r>
              <w:rPr>
                <w:rFonts w:hint="eastAsia"/>
                <w:color w:val="FF0000"/>
              </w:rPr>
              <w:t>废硫酸：</w:t>
            </w:r>
            <w:r>
              <w:rPr>
                <w:color w:val="FF0000"/>
              </w:rPr>
              <w:t>2600</w:t>
            </w:r>
          </w:p>
          <w:p>
            <w:pPr>
              <w:pStyle w:val="2904"/>
              <w:spacing w:beforeLines="0" w:afterLines="0" w:line="240" w:lineRule="atLeast"/>
              <w:jc w:val="left"/>
              <w:rPr>
                <w:color w:val="FF0000"/>
              </w:rPr>
            </w:pPr>
            <w:r>
              <w:rPr>
                <w:rFonts w:hint="eastAsia"/>
                <w:color w:val="FF0000"/>
              </w:rPr>
              <w:t>浆液：</w:t>
            </w:r>
            <w:r>
              <w:rPr>
                <w:color w:val="FF0000"/>
              </w:rPr>
              <w:t>1970</w:t>
            </w:r>
          </w:p>
          <w:p>
            <w:pPr>
              <w:pStyle w:val="2904"/>
              <w:spacing w:beforeLines="0" w:afterLines="0" w:line="240" w:lineRule="atLeast"/>
              <w:jc w:val="left"/>
              <w:rPr>
                <w:color w:val="FF0000"/>
              </w:rPr>
            </w:pPr>
            <w:r>
              <w:rPr>
                <w:rFonts w:hint="eastAsia"/>
                <w:color w:val="FF0000"/>
              </w:rPr>
              <w:t>干废触体：</w:t>
            </w:r>
            <w:r>
              <w:rPr>
                <w:color w:val="FF0000"/>
              </w:rPr>
              <w:t>1248</w:t>
            </w:r>
          </w:p>
          <w:p>
            <w:pPr>
              <w:pStyle w:val="2904"/>
              <w:spacing w:beforeLines="0" w:afterLines="0" w:line="240" w:lineRule="atLeast"/>
              <w:jc w:val="left"/>
              <w:rPr>
                <w:color w:val="FF0000"/>
              </w:rPr>
            </w:pPr>
            <w:r>
              <w:rPr>
                <w:rFonts w:hint="eastAsia"/>
                <w:color w:val="FF0000"/>
              </w:rPr>
              <w:t>水解回收线装物：</w:t>
            </w:r>
            <w:r>
              <w:rPr>
                <w:color w:val="FF0000"/>
              </w:rPr>
              <w:t>500</w:t>
            </w:r>
          </w:p>
          <w:p>
            <w:pPr>
              <w:pStyle w:val="739"/>
              <w:spacing w:line="240" w:lineRule="atLeast"/>
              <w:ind w:firstLine="0" w:firstLineChars="0"/>
              <w:jc w:val="left"/>
              <w:rPr>
                <w:rFonts w:cs="Times New Roman"/>
                <w:color w:val="FF0000"/>
                <w:sz w:val="21"/>
                <w:szCs w:val="21"/>
              </w:rPr>
            </w:pPr>
            <w:r>
              <w:rPr>
                <w:rFonts w:hint="eastAsia"/>
                <w:color w:val="FF0000"/>
                <w:sz w:val="21"/>
                <w:szCs w:val="21"/>
              </w:rPr>
              <w:t>废溶解油、裂解残渣：</w:t>
            </w:r>
            <w:r>
              <w:rPr>
                <w:color w:val="FF0000"/>
                <w:sz w:val="21"/>
                <w:szCs w:val="21"/>
              </w:rPr>
              <w:t>1415</w:t>
            </w:r>
          </w:p>
        </w:tc>
        <w:tc>
          <w:tcPr>
            <w:tcW w:w="2759" w:type="dxa"/>
          </w:tcPr>
          <w:p>
            <w:pPr>
              <w:pStyle w:val="2904"/>
              <w:spacing w:beforeLines="0" w:afterLines="0" w:line="240" w:lineRule="atLeast"/>
              <w:jc w:val="left"/>
              <w:rPr>
                <w:color w:val="FF0000"/>
              </w:rPr>
            </w:pPr>
            <w:r>
              <w:rPr>
                <w:rFonts w:hint="eastAsia"/>
                <w:color w:val="FF0000"/>
              </w:rPr>
              <w:t>细硅粉：</w:t>
            </w:r>
            <w:r>
              <w:rPr>
                <w:color w:val="FF0000"/>
              </w:rPr>
              <w:t>875</w:t>
            </w:r>
          </w:p>
          <w:p>
            <w:pPr>
              <w:pStyle w:val="2904"/>
              <w:spacing w:beforeLines="0" w:afterLines="0" w:line="240" w:lineRule="atLeast"/>
              <w:jc w:val="left"/>
              <w:rPr>
                <w:color w:val="FF0000"/>
              </w:rPr>
            </w:pPr>
            <w:r>
              <w:rPr>
                <w:rFonts w:hint="eastAsia"/>
                <w:color w:val="FF0000"/>
              </w:rPr>
              <w:t>废硫酸：</w:t>
            </w:r>
            <w:r>
              <w:rPr>
                <w:color w:val="FF0000"/>
              </w:rPr>
              <w:t>5200</w:t>
            </w:r>
          </w:p>
          <w:p>
            <w:pPr>
              <w:pStyle w:val="2904"/>
              <w:spacing w:beforeLines="0" w:afterLines="0" w:line="240" w:lineRule="atLeast"/>
              <w:jc w:val="left"/>
              <w:rPr>
                <w:color w:val="FF0000"/>
              </w:rPr>
            </w:pPr>
            <w:r>
              <w:rPr>
                <w:rFonts w:hint="eastAsia"/>
                <w:color w:val="FF0000"/>
              </w:rPr>
              <w:t>浆液：</w:t>
            </w:r>
            <w:r>
              <w:rPr>
                <w:color w:val="FF0000"/>
              </w:rPr>
              <w:t>3940</w:t>
            </w:r>
          </w:p>
          <w:p>
            <w:pPr>
              <w:pStyle w:val="2904"/>
              <w:spacing w:beforeLines="0" w:afterLines="0" w:line="240" w:lineRule="atLeast"/>
              <w:jc w:val="left"/>
              <w:rPr>
                <w:color w:val="FF0000"/>
              </w:rPr>
            </w:pPr>
            <w:r>
              <w:rPr>
                <w:rFonts w:hint="eastAsia"/>
                <w:color w:val="FF0000"/>
              </w:rPr>
              <w:t>干废触体：</w:t>
            </w:r>
            <w:r>
              <w:rPr>
                <w:color w:val="FF0000"/>
              </w:rPr>
              <w:t>2495</w:t>
            </w:r>
          </w:p>
          <w:p>
            <w:pPr>
              <w:pStyle w:val="2904"/>
              <w:spacing w:beforeLines="0" w:afterLines="0" w:line="240" w:lineRule="atLeast"/>
              <w:jc w:val="left"/>
              <w:rPr>
                <w:color w:val="FF0000"/>
              </w:rPr>
            </w:pPr>
            <w:r>
              <w:rPr>
                <w:rFonts w:hint="eastAsia"/>
                <w:color w:val="FF0000"/>
              </w:rPr>
              <w:t>水解回收线装物：</w:t>
            </w:r>
            <w:r>
              <w:rPr>
                <w:color w:val="FF0000"/>
              </w:rPr>
              <w:t>1000</w:t>
            </w:r>
          </w:p>
          <w:p>
            <w:pPr>
              <w:pStyle w:val="739"/>
              <w:spacing w:line="240" w:lineRule="atLeast"/>
              <w:ind w:firstLine="0" w:firstLineChars="0"/>
              <w:jc w:val="left"/>
              <w:rPr>
                <w:rFonts w:cs="Times New Roman"/>
                <w:color w:val="FF0000"/>
                <w:sz w:val="21"/>
                <w:szCs w:val="21"/>
              </w:rPr>
            </w:pPr>
            <w:r>
              <w:rPr>
                <w:rFonts w:hint="eastAsia"/>
                <w:color w:val="FF0000"/>
                <w:sz w:val="21"/>
                <w:szCs w:val="21"/>
              </w:rPr>
              <w:t>废溶解油、裂解残渣：</w:t>
            </w:r>
            <w:r>
              <w:rPr>
                <w:color w:val="FF0000"/>
                <w:sz w:val="21"/>
                <w:szCs w:val="21"/>
              </w:rPr>
              <w:t>2830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restart"/>
            <w:vAlign w:val="center"/>
          </w:tcPr>
          <w:p>
            <w:pPr>
              <w:pStyle w:val="739"/>
              <w:spacing w:line="240" w:lineRule="atLeast"/>
              <w:ind w:firstLine="0" w:firstLineChars="0"/>
              <w:jc w:val="center"/>
              <w:rPr>
                <w:rFonts w:cs="Times New Roman"/>
                <w:color w:val="FF0000"/>
                <w:sz w:val="21"/>
                <w:szCs w:val="21"/>
              </w:rPr>
            </w:pPr>
            <w:r>
              <w:rPr>
                <w:rFonts w:hint="eastAsia"/>
                <w:color w:val="FF0000"/>
                <w:kern w:val="0"/>
                <w:sz w:val="21"/>
                <w:szCs w:val="21"/>
              </w:rPr>
              <w:t>重要基础化工原料</w:t>
            </w:r>
          </w:p>
        </w:tc>
        <w:tc>
          <w:tcPr>
            <w:tcW w:w="1949" w:type="dxa"/>
            <w:vAlign w:val="center"/>
          </w:tcPr>
          <w:p>
            <w:pPr>
              <w:snapToGrid w:val="0"/>
              <w:spacing w:line="240" w:lineRule="atLeast"/>
              <w:ind w:firstLine="0" w:firstLineChars="0"/>
              <w:jc w:val="center"/>
              <w:rPr>
                <w:color w:val="FF0000"/>
                <w:kern w:val="0"/>
                <w:sz w:val="21"/>
              </w:rPr>
            </w:pPr>
            <w:r>
              <w:rPr>
                <w:rFonts w:hint="eastAsia"/>
                <w:color w:val="FF0000"/>
                <w:kern w:val="0"/>
                <w:sz w:val="21"/>
              </w:rPr>
              <w:t>苯胺</w:t>
            </w:r>
          </w:p>
        </w:tc>
        <w:tc>
          <w:tcPr>
            <w:tcW w:w="2398" w:type="dxa"/>
            <w:vMerge w:val="restart"/>
          </w:tcPr>
          <w:p>
            <w:pPr>
              <w:widowControl/>
              <w:snapToGrid w:val="0"/>
              <w:spacing w:line="240" w:lineRule="atLeast"/>
              <w:ind w:firstLine="0" w:firstLineChars="0"/>
              <w:rPr>
                <w:color w:val="FF0000"/>
                <w:kern w:val="0"/>
                <w:sz w:val="21"/>
              </w:rPr>
            </w:pPr>
            <w:r>
              <w:rPr>
                <w:rFonts w:hint="eastAsia"/>
                <w:color w:val="FF0000"/>
                <w:kern w:val="0"/>
                <w:sz w:val="21"/>
              </w:rPr>
              <w:t>沉淀渣：</w:t>
            </w:r>
            <w:r>
              <w:rPr>
                <w:color w:val="FF0000"/>
                <w:kern w:val="0"/>
                <w:sz w:val="21"/>
              </w:rPr>
              <w:t>3800</w:t>
            </w:r>
          </w:p>
          <w:p>
            <w:pPr>
              <w:spacing w:line="240" w:lineRule="atLeast"/>
              <w:ind w:firstLine="0" w:firstLineChars="0"/>
              <w:rPr>
                <w:color w:val="FF0000"/>
                <w:kern w:val="0"/>
                <w:sz w:val="21"/>
              </w:rPr>
            </w:pPr>
            <w:r>
              <w:rPr>
                <w:rFonts w:hint="eastAsia"/>
                <w:color w:val="FF0000"/>
                <w:kern w:val="0"/>
                <w:sz w:val="21"/>
              </w:rPr>
              <w:t>焦油杂质等：</w:t>
            </w:r>
            <w:r>
              <w:rPr>
                <w:color w:val="FF0000"/>
                <w:kern w:val="0"/>
                <w:sz w:val="21"/>
              </w:rPr>
              <w:t>300</w:t>
            </w:r>
          </w:p>
        </w:tc>
        <w:tc>
          <w:tcPr>
            <w:tcW w:w="2759" w:type="dxa"/>
            <w:vMerge w:val="restart"/>
            <w:vAlign w:val="center"/>
          </w:tcPr>
          <w:p>
            <w:pPr>
              <w:widowControl/>
              <w:snapToGrid w:val="0"/>
              <w:spacing w:line="240" w:lineRule="atLeast"/>
              <w:ind w:firstLine="0" w:firstLineChars="0"/>
              <w:rPr>
                <w:rFonts w:cs="Times New Roman"/>
                <w:color w:val="FF0000"/>
                <w:kern w:val="0"/>
                <w:sz w:val="21"/>
              </w:rPr>
            </w:pPr>
            <w:r>
              <w:rPr>
                <w:rFonts w:hint="eastAsia"/>
                <w:color w:val="FF0000"/>
                <w:kern w:val="0"/>
                <w:sz w:val="21"/>
              </w:rPr>
              <w:t>沉淀渣：</w:t>
            </w:r>
            <w:r>
              <w:rPr>
                <w:color w:val="FF0000"/>
                <w:kern w:val="0"/>
                <w:sz w:val="21"/>
              </w:rPr>
              <w:t>7600</w:t>
            </w:r>
          </w:p>
          <w:p>
            <w:pPr>
              <w:widowControl/>
              <w:snapToGrid w:val="0"/>
              <w:spacing w:line="240" w:lineRule="atLeast"/>
              <w:ind w:firstLine="0" w:firstLineChars="0"/>
              <w:rPr>
                <w:color w:val="FF0000"/>
                <w:kern w:val="0"/>
                <w:sz w:val="21"/>
              </w:rPr>
            </w:pPr>
            <w:r>
              <w:rPr>
                <w:rFonts w:hint="eastAsia"/>
                <w:color w:val="FF0000"/>
                <w:kern w:val="0"/>
                <w:sz w:val="21"/>
              </w:rPr>
              <w:t>焦油杂质等：</w:t>
            </w:r>
            <w:r>
              <w:rPr>
                <w:color w:val="FF0000"/>
                <w:kern w:val="0"/>
                <w:sz w:val="21"/>
              </w:rPr>
              <w:t>600</w:t>
            </w:r>
          </w:p>
        </w:tc>
        <w:tc>
          <w:tcPr>
            <w:tcW w:w="987" w:type="dxa"/>
            <w:vMerge w:val="restart"/>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硝基苯</w:t>
            </w:r>
          </w:p>
        </w:tc>
        <w:tc>
          <w:tcPr>
            <w:tcW w:w="2398" w:type="dxa"/>
            <w:vMerge w:val="continue"/>
          </w:tcPr>
          <w:p>
            <w:pPr>
              <w:spacing w:line="240" w:lineRule="atLeast"/>
              <w:ind w:firstLine="0" w:firstLineChars="0"/>
              <w:rPr>
                <w:color w:val="FF0000"/>
                <w:sz w:val="21"/>
              </w:rPr>
            </w:pPr>
          </w:p>
        </w:tc>
        <w:tc>
          <w:tcPr>
            <w:tcW w:w="2759" w:type="dxa"/>
            <w:vMerge w:val="continue"/>
            <w:vAlign w:val="center"/>
          </w:tcPr>
          <w:p>
            <w:pPr>
              <w:widowControl/>
              <w:spacing w:line="240" w:lineRule="atLeast"/>
              <w:ind w:firstLine="0" w:firstLineChars="0"/>
              <w:jc w:val="left"/>
              <w:rPr>
                <w:color w:val="FF0000"/>
                <w:kern w:val="0"/>
                <w:sz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二甲基亚砜</w:t>
            </w:r>
          </w:p>
        </w:tc>
        <w:tc>
          <w:tcPr>
            <w:tcW w:w="2398" w:type="dxa"/>
          </w:tcPr>
          <w:p>
            <w:pPr>
              <w:pStyle w:val="739"/>
              <w:spacing w:line="240" w:lineRule="atLeast"/>
              <w:ind w:firstLine="0" w:firstLineChars="0"/>
              <w:rPr>
                <w:rFonts w:cs="Times New Roman"/>
                <w:color w:val="FF0000"/>
                <w:sz w:val="21"/>
                <w:szCs w:val="21"/>
              </w:rPr>
            </w:pPr>
          </w:p>
        </w:tc>
        <w:tc>
          <w:tcPr>
            <w:tcW w:w="2759" w:type="dxa"/>
            <w:vAlign w:val="center"/>
          </w:tcPr>
          <w:p>
            <w:pPr>
              <w:widowControl/>
              <w:snapToGrid w:val="0"/>
              <w:spacing w:line="240" w:lineRule="atLeast"/>
              <w:ind w:firstLine="0" w:firstLineChars="0"/>
              <w:rPr>
                <w:rFonts w:cs="Times New Roman"/>
                <w:color w:val="FF0000"/>
                <w:kern w:val="0"/>
                <w:sz w:val="21"/>
              </w:rPr>
            </w:pPr>
            <w:r>
              <w:rPr>
                <w:rFonts w:hint="eastAsia"/>
                <w:color w:val="FF0000"/>
                <w:kern w:val="0"/>
                <w:sz w:val="21"/>
              </w:rPr>
              <w:t>废催化剂：</w:t>
            </w:r>
            <w:r>
              <w:rPr>
                <w:color w:val="FF0000"/>
                <w:kern w:val="0"/>
                <w:sz w:val="21"/>
              </w:rPr>
              <w:t>8</w:t>
            </w:r>
          </w:p>
          <w:p>
            <w:pPr>
              <w:widowControl/>
              <w:snapToGrid w:val="0"/>
              <w:spacing w:line="240" w:lineRule="atLeast"/>
              <w:ind w:firstLine="0" w:firstLineChars="0"/>
              <w:rPr>
                <w:color w:val="FF0000"/>
                <w:kern w:val="0"/>
                <w:sz w:val="21"/>
              </w:rPr>
            </w:pPr>
            <w:r>
              <w:rPr>
                <w:rFonts w:hint="eastAsia"/>
                <w:color w:val="FF0000"/>
                <w:kern w:val="0"/>
                <w:sz w:val="21"/>
              </w:rPr>
              <w:t>废液：</w:t>
            </w:r>
            <w:r>
              <w:rPr>
                <w:color w:val="FF0000"/>
                <w:kern w:val="0"/>
                <w:sz w:val="21"/>
              </w:rPr>
              <w:t>288</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restart"/>
            <w:vAlign w:val="center"/>
          </w:tcPr>
          <w:p>
            <w:pPr>
              <w:pStyle w:val="739"/>
              <w:spacing w:line="240" w:lineRule="atLeast"/>
              <w:ind w:firstLine="0" w:firstLineChars="0"/>
              <w:jc w:val="center"/>
              <w:rPr>
                <w:rFonts w:cs="Times New Roman"/>
                <w:color w:val="FF0000"/>
                <w:sz w:val="21"/>
                <w:szCs w:val="21"/>
              </w:rPr>
            </w:pPr>
            <w:r>
              <w:rPr>
                <w:rFonts w:hint="eastAsia"/>
                <w:color w:val="FF0000"/>
                <w:kern w:val="0"/>
                <w:sz w:val="21"/>
                <w:szCs w:val="21"/>
              </w:rPr>
              <w:t>石墨材料</w:t>
            </w: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高纯石墨</w:t>
            </w:r>
          </w:p>
        </w:tc>
        <w:tc>
          <w:tcPr>
            <w:tcW w:w="2398" w:type="dxa"/>
            <w:vMerge w:val="restart"/>
          </w:tcPr>
          <w:p>
            <w:pPr>
              <w:snapToGrid w:val="0"/>
              <w:spacing w:line="240" w:lineRule="atLeast"/>
              <w:ind w:firstLine="0" w:firstLineChars="0"/>
              <w:rPr>
                <w:color w:val="FF0000"/>
                <w:kern w:val="0"/>
                <w:sz w:val="21"/>
              </w:rPr>
            </w:pPr>
            <w:r>
              <w:rPr>
                <w:rFonts w:hint="eastAsia"/>
                <w:color w:val="FF0000"/>
                <w:kern w:val="0"/>
                <w:sz w:val="21"/>
              </w:rPr>
              <w:t>废石墨：</w:t>
            </w:r>
            <w:r>
              <w:rPr>
                <w:color w:val="FF0000"/>
                <w:kern w:val="0"/>
                <w:sz w:val="21"/>
              </w:rPr>
              <w:t>30</w:t>
            </w:r>
          </w:p>
          <w:p>
            <w:pPr>
              <w:snapToGrid w:val="0"/>
              <w:spacing w:line="240" w:lineRule="atLeast"/>
              <w:ind w:firstLine="0" w:firstLineChars="0"/>
              <w:rPr>
                <w:color w:val="FF0000"/>
                <w:kern w:val="0"/>
                <w:sz w:val="21"/>
              </w:rPr>
            </w:pPr>
            <w:r>
              <w:rPr>
                <w:rFonts w:hint="eastAsia"/>
                <w:color w:val="FF0000"/>
                <w:kern w:val="0"/>
                <w:sz w:val="21"/>
              </w:rPr>
              <w:t>焦油：</w:t>
            </w:r>
            <w:r>
              <w:rPr>
                <w:color w:val="FF0000"/>
                <w:kern w:val="0"/>
                <w:sz w:val="21"/>
              </w:rPr>
              <w:t>200</w:t>
            </w:r>
          </w:p>
          <w:p>
            <w:pPr>
              <w:pStyle w:val="739"/>
              <w:spacing w:line="240" w:lineRule="atLeast"/>
              <w:ind w:firstLine="0" w:firstLineChars="0"/>
              <w:rPr>
                <w:rFonts w:cs="Times New Roman"/>
                <w:color w:val="FF0000"/>
                <w:sz w:val="21"/>
                <w:szCs w:val="21"/>
              </w:rPr>
            </w:pPr>
            <w:r>
              <w:rPr>
                <w:rFonts w:hint="eastAsia"/>
                <w:color w:val="FF0000"/>
                <w:kern w:val="0"/>
                <w:sz w:val="21"/>
                <w:szCs w:val="21"/>
              </w:rPr>
              <w:t>炉渣：</w:t>
            </w:r>
            <w:r>
              <w:rPr>
                <w:color w:val="FF0000"/>
                <w:kern w:val="0"/>
                <w:sz w:val="21"/>
                <w:szCs w:val="21"/>
              </w:rPr>
              <w:t>900</w:t>
            </w:r>
          </w:p>
        </w:tc>
        <w:tc>
          <w:tcPr>
            <w:tcW w:w="2759" w:type="dxa"/>
            <w:vMerge w:val="restart"/>
          </w:tcPr>
          <w:p>
            <w:pPr>
              <w:snapToGrid w:val="0"/>
              <w:spacing w:line="240" w:lineRule="atLeast"/>
              <w:ind w:firstLine="0" w:firstLineChars="0"/>
              <w:rPr>
                <w:color w:val="FF0000"/>
                <w:kern w:val="0"/>
                <w:sz w:val="21"/>
              </w:rPr>
            </w:pPr>
            <w:r>
              <w:rPr>
                <w:rFonts w:hint="eastAsia"/>
                <w:color w:val="FF0000"/>
                <w:kern w:val="0"/>
                <w:sz w:val="21"/>
              </w:rPr>
              <w:t>废石墨：</w:t>
            </w:r>
            <w:r>
              <w:rPr>
                <w:color w:val="FF0000"/>
                <w:kern w:val="0"/>
                <w:sz w:val="21"/>
              </w:rPr>
              <w:t>60</w:t>
            </w:r>
          </w:p>
          <w:p>
            <w:pPr>
              <w:snapToGrid w:val="0"/>
              <w:spacing w:line="240" w:lineRule="atLeast"/>
              <w:ind w:firstLine="0" w:firstLineChars="0"/>
              <w:rPr>
                <w:color w:val="FF0000"/>
                <w:kern w:val="0"/>
                <w:sz w:val="21"/>
              </w:rPr>
            </w:pPr>
            <w:r>
              <w:rPr>
                <w:rFonts w:hint="eastAsia"/>
                <w:color w:val="FF0000"/>
                <w:kern w:val="0"/>
                <w:sz w:val="21"/>
              </w:rPr>
              <w:t>焦油：</w:t>
            </w:r>
            <w:r>
              <w:rPr>
                <w:color w:val="FF0000"/>
                <w:kern w:val="0"/>
                <w:sz w:val="21"/>
              </w:rPr>
              <w:t>500</w:t>
            </w:r>
          </w:p>
          <w:p>
            <w:pPr>
              <w:pStyle w:val="739"/>
              <w:spacing w:line="240" w:lineRule="atLeast"/>
              <w:ind w:firstLine="0" w:firstLineChars="0"/>
              <w:rPr>
                <w:rFonts w:cs="Times New Roman"/>
                <w:color w:val="FF0000"/>
                <w:sz w:val="21"/>
                <w:szCs w:val="21"/>
              </w:rPr>
            </w:pPr>
            <w:r>
              <w:rPr>
                <w:rFonts w:hint="eastAsia"/>
                <w:color w:val="FF0000"/>
                <w:kern w:val="0"/>
                <w:sz w:val="21"/>
                <w:szCs w:val="21"/>
              </w:rPr>
              <w:t>炉渣：</w:t>
            </w:r>
            <w:r>
              <w:rPr>
                <w:color w:val="FF0000"/>
                <w:kern w:val="0"/>
                <w:sz w:val="21"/>
                <w:szCs w:val="21"/>
              </w:rPr>
              <w:t>2000</w:t>
            </w:r>
          </w:p>
        </w:tc>
        <w:tc>
          <w:tcPr>
            <w:tcW w:w="987" w:type="dxa"/>
            <w:vMerge w:val="restart"/>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石墨乳</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石墨密封件</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超高功率石墨电极</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纳米石墨粉</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石墨太阳能聚热板</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氟化石墨</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石墨纸</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特种石墨制品</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高导热柔性石墨材料</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石墨散热片</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pacing w:line="240" w:lineRule="atLeast"/>
              <w:ind w:firstLine="0" w:firstLineChars="0"/>
              <w:jc w:val="center"/>
              <w:rPr>
                <w:color w:val="FF0000"/>
                <w:kern w:val="0"/>
                <w:sz w:val="21"/>
              </w:rPr>
            </w:pPr>
            <w:r>
              <w:rPr>
                <w:rFonts w:hint="eastAsia"/>
                <w:color w:val="FF0000"/>
                <w:kern w:val="0"/>
                <w:sz w:val="21"/>
              </w:rPr>
              <w:t>石墨烯</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restart"/>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镁合金</w:t>
            </w:r>
          </w:p>
          <w:p>
            <w:pPr>
              <w:pStyle w:val="739"/>
              <w:spacing w:line="240" w:lineRule="atLeast"/>
              <w:ind w:firstLine="0" w:firstLineChars="0"/>
              <w:jc w:val="center"/>
              <w:rPr>
                <w:rFonts w:cs="Times New Roman"/>
                <w:color w:val="FF0000"/>
                <w:sz w:val="21"/>
                <w:szCs w:val="21"/>
              </w:rPr>
            </w:pPr>
            <w:r>
              <w:rPr>
                <w:rFonts w:hint="eastAsia"/>
                <w:color w:val="FF0000"/>
                <w:kern w:val="0"/>
                <w:sz w:val="21"/>
                <w:szCs w:val="21"/>
              </w:rPr>
              <w:t>循环经济</w:t>
            </w: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硅铁合金</w:t>
            </w:r>
          </w:p>
        </w:tc>
        <w:tc>
          <w:tcPr>
            <w:tcW w:w="2398" w:type="dxa"/>
            <w:vMerge w:val="restart"/>
          </w:tcPr>
          <w:p>
            <w:pPr>
              <w:widowControl/>
              <w:snapToGrid w:val="0"/>
              <w:spacing w:line="240" w:lineRule="atLeast"/>
              <w:ind w:firstLine="0" w:firstLineChars="0"/>
              <w:rPr>
                <w:color w:val="FF0000"/>
                <w:kern w:val="0"/>
                <w:sz w:val="21"/>
              </w:rPr>
            </w:pPr>
            <w:r>
              <w:rPr>
                <w:rFonts w:hint="eastAsia"/>
                <w:color w:val="FF0000"/>
                <w:kern w:val="0"/>
                <w:sz w:val="21"/>
              </w:rPr>
              <w:t>还原渣：</w:t>
            </w:r>
            <w:r>
              <w:rPr>
                <w:color w:val="FF0000"/>
                <w:kern w:val="0"/>
                <w:sz w:val="21"/>
              </w:rPr>
              <w:t>56</w:t>
            </w:r>
            <w:r>
              <w:rPr>
                <w:rFonts w:hint="eastAsia"/>
                <w:color w:val="FF0000"/>
                <w:kern w:val="0"/>
                <w:sz w:val="21"/>
              </w:rPr>
              <w:t>万</w:t>
            </w:r>
          </w:p>
          <w:p>
            <w:pPr>
              <w:widowControl/>
              <w:snapToGrid w:val="0"/>
              <w:spacing w:line="240" w:lineRule="atLeast"/>
              <w:ind w:firstLine="0" w:firstLineChars="0"/>
              <w:rPr>
                <w:color w:val="FF0000"/>
                <w:kern w:val="0"/>
                <w:sz w:val="21"/>
              </w:rPr>
            </w:pPr>
            <w:r>
              <w:rPr>
                <w:rFonts w:hint="eastAsia"/>
                <w:color w:val="FF0000"/>
                <w:kern w:val="0"/>
                <w:sz w:val="21"/>
              </w:rPr>
              <w:t>精炼渣：</w:t>
            </w:r>
            <w:r>
              <w:rPr>
                <w:color w:val="FF0000"/>
                <w:kern w:val="0"/>
                <w:sz w:val="21"/>
              </w:rPr>
              <w:t>8100</w:t>
            </w:r>
          </w:p>
          <w:p>
            <w:pPr>
              <w:pStyle w:val="739"/>
              <w:spacing w:line="240" w:lineRule="atLeast"/>
              <w:ind w:firstLine="0" w:firstLineChars="0"/>
              <w:rPr>
                <w:rFonts w:cs="Times New Roman"/>
                <w:color w:val="FF0000"/>
                <w:sz w:val="21"/>
                <w:szCs w:val="21"/>
              </w:rPr>
            </w:pPr>
            <w:r>
              <w:rPr>
                <w:rFonts w:hint="eastAsia"/>
                <w:color w:val="FF0000"/>
                <w:kern w:val="0"/>
                <w:sz w:val="21"/>
                <w:szCs w:val="21"/>
              </w:rPr>
              <w:t>电炉渣：</w:t>
            </w:r>
            <w:r>
              <w:rPr>
                <w:color w:val="FF0000"/>
                <w:kern w:val="0"/>
                <w:sz w:val="21"/>
                <w:szCs w:val="21"/>
              </w:rPr>
              <w:t>1.2</w:t>
            </w:r>
            <w:r>
              <w:rPr>
                <w:rFonts w:hint="eastAsia"/>
                <w:color w:val="FF0000"/>
                <w:kern w:val="0"/>
                <w:sz w:val="21"/>
                <w:szCs w:val="21"/>
              </w:rPr>
              <w:t>万</w:t>
            </w:r>
          </w:p>
        </w:tc>
        <w:tc>
          <w:tcPr>
            <w:tcW w:w="2759" w:type="dxa"/>
            <w:vMerge w:val="restart"/>
          </w:tcPr>
          <w:p>
            <w:pPr>
              <w:widowControl/>
              <w:snapToGrid w:val="0"/>
              <w:spacing w:line="240" w:lineRule="atLeast"/>
              <w:ind w:firstLine="0" w:firstLineChars="0"/>
              <w:rPr>
                <w:color w:val="FF0000"/>
                <w:kern w:val="0"/>
                <w:sz w:val="21"/>
              </w:rPr>
            </w:pPr>
            <w:r>
              <w:rPr>
                <w:rFonts w:hint="eastAsia"/>
                <w:color w:val="FF0000"/>
                <w:kern w:val="0"/>
                <w:sz w:val="21"/>
              </w:rPr>
              <w:t>还原渣：</w:t>
            </w:r>
            <w:r>
              <w:rPr>
                <w:color w:val="FF0000"/>
                <w:kern w:val="0"/>
                <w:sz w:val="21"/>
              </w:rPr>
              <w:t>112</w:t>
            </w:r>
            <w:r>
              <w:rPr>
                <w:rFonts w:hint="eastAsia"/>
                <w:color w:val="FF0000"/>
                <w:kern w:val="0"/>
                <w:sz w:val="21"/>
              </w:rPr>
              <w:t>万</w:t>
            </w:r>
          </w:p>
          <w:p>
            <w:pPr>
              <w:widowControl/>
              <w:snapToGrid w:val="0"/>
              <w:spacing w:line="240" w:lineRule="atLeast"/>
              <w:ind w:firstLine="0" w:firstLineChars="0"/>
              <w:rPr>
                <w:color w:val="FF0000"/>
                <w:kern w:val="0"/>
                <w:sz w:val="21"/>
              </w:rPr>
            </w:pPr>
            <w:r>
              <w:rPr>
                <w:rFonts w:hint="eastAsia"/>
                <w:color w:val="FF0000"/>
                <w:kern w:val="0"/>
                <w:sz w:val="21"/>
              </w:rPr>
              <w:t>精炼渣：</w:t>
            </w:r>
            <w:r>
              <w:rPr>
                <w:color w:val="FF0000"/>
                <w:kern w:val="0"/>
                <w:sz w:val="21"/>
              </w:rPr>
              <w:t>16200</w:t>
            </w:r>
          </w:p>
          <w:p>
            <w:pPr>
              <w:pStyle w:val="739"/>
              <w:spacing w:line="240" w:lineRule="atLeast"/>
              <w:ind w:firstLine="0" w:firstLineChars="0"/>
              <w:rPr>
                <w:rFonts w:cs="Times New Roman"/>
                <w:color w:val="FF0000"/>
                <w:sz w:val="21"/>
                <w:szCs w:val="21"/>
              </w:rPr>
            </w:pPr>
            <w:r>
              <w:rPr>
                <w:rFonts w:hint="eastAsia"/>
                <w:color w:val="FF0000"/>
                <w:kern w:val="0"/>
                <w:sz w:val="21"/>
                <w:szCs w:val="21"/>
              </w:rPr>
              <w:t>电炉渣：</w:t>
            </w:r>
            <w:r>
              <w:rPr>
                <w:color w:val="FF0000"/>
                <w:kern w:val="0"/>
                <w:sz w:val="21"/>
                <w:szCs w:val="21"/>
              </w:rPr>
              <w:t>2.4</w:t>
            </w:r>
            <w:r>
              <w:rPr>
                <w:rFonts w:hint="eastAsia"/>
                <w:color w:val="FF0000"/>
                <w:kern w:val="0"/>
                <w:sz w:val="21"/>
                <w:szCs w:val="21"/>
              </w:rPr>
              <w:t>万</w:t>
            </w:r>
          </w:p>
        </w:tc>
        <w:tc>
          <w:tcPr>
            <w:tcW w:w="987" w:type="dxa"/>
            <w:vMerge w:val="restart"/>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镁锂合金</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钛镁合金</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镁钙合金</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镁铝锌锰合金</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restart"/>
            <w:vAlign w:val="center"/>
          </w:tcPr>
          <w:p>
            <w:pPr>
              <w:pStyle w:val="739"/>
              <w:spacing w:line="240" w:lineRule="atLeast"/>
              <w:ind w:firstLine="0" w:firstLineChars="0"/>
              <w:jc w:val="center"/>
              <w:rPr>
                <w:rFonts w:cs="Times New Roman"/>
                <w:color w:val="FF0000"/>
                <w:sz w:val="21"/>
                <w:szCs w:val="21"/>
              </w:rPr>
            </w:pPr>
            <w:r>
              <w:rPr>
                <w:rFonts w:hint="eastAsia"/>
                <w:color w:val="FF0000"/>
                <w:kern w:val="0"/>
                <w:sz w:val="21"/>
                <w:szCs w:val="21"/>
              </w:rPr>
              <w:t>储能设备制造</w:t>
            </w: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高性能铅酸蓄电池</w:t>
            </w:r>
          </w:p>
        </w:tc>
        <w:tc>
          <w:tcPr>
            <w:tcW w:w="2398" w:type="dxa"/>
          </w:tcPr>
          <w:p>
            <w:pPr>
              <w:pStyle w:val="739"/>
              <w:spacing w:line="240" w:lineRule="atLeast"/>
              <w:ind w:firstLine="0" w:firstLineChars="0"/>
              <w:rPr>
                <w:rFonts w:cs="Times New Roman"/>
                <w:color w:val="FF0000"/>
                <w:sz w:val="21"/>
                <w:szCs w:val="21"/>
              </w:rPr>
            </w:pPr>
            <w:r>
              <w:rPr>
                <w:rFonts w:hint="eastAsia"/>
                <w:color w:val="FF0000"/>
                <w:kern w:val="0"/>
                <w:sz w:val="21"/>
                <w:szCs w:val="21"/>
              </w:rPr>
              <w:t>铅渣等：</w:t>
            </w:r>
            <w:r>
              <w:rPr>
                <w:color w:val="FF0000"/>
                <w:kern w:val="0"/>
                <w:sz w:val="21"/>
                <w:szCs w:val="21"/>
              </w:rPr>
              <w:t>715</w:t>
            </w:r>
          </w:p>
        </w:tc>
        <w:tc>
          <w:tcPr>
            <w:tcW w:w="2759" w:type="dxa"/>
          </w:tcPr>
          <w:p>
            <w:pPr>
              <w:widowControl/>
              <w:snapToGrid w:val="0"/>
              <w:spacing w:line="240" w:lineRule="atLeast"/>
              <w:ind w:firstLine="0" w:firstLineChars="0"/>
              <w:rPr>
                <w:color w:val="FF0000"/>
                <w:kern w:val="0"/>
                <w:sz w:val="21"/>
              </w:rPr>
            </w:pPr>
            <w:r>
              <w:rPr>
                <w:rFonts w:hint="eastAsia"/>
                <w:color w:val="FF0000"/>
                <w:kern w:val="0"/>
                <w:sz w:val="21"/>
              </w:rPr>
              <w:t>铅渣等：</w:t>
            </w:r>
            <w:r>
              <w:rPr>
                <w:color w:val="FF0000"/>
                <w:kern w:val="0"/>
                <w:sz w:val="21"/>
              </w:rPr>
              <w:t>1430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全钒电解液储能电池</w:t>
            </w:r>
          </w:p>
        </w:tc>
        <w:tc>
          <w:tcPr>
            <w:tcW w:w="2398" w:type="dxa"/>
          </w:tcPr>
          <w:p>
            <w:pPr>
              <w:pStyle w:val="739"/>
              <w:spacing w:line="240" w:lineRule="atLeast"/>
              <w:ind w:firstLine="0" w:firstLineChars="0"/>
              <w:rPr>
                <w:rFonts w:cs="Times New Roman"/>
                <w:color w:val="FF0000"/>
                <w:sz w:val="21"/>
                <w:szCs w:val="21"/>
              </w:rPr>
            </w:pPr>
          </w:p>
        </w:tc>
        <w:tc>
          <w:tcPr>
            <w:tcW w:w="2759" w:type="dxa"/>
          </w:tcPr>
          <w:p>
            <w:pPr>
              <w:widowControl/>
              <w:snapToGrid w:val="0"/>
              <w:spacing w:line="240" w:lineRule="atLeast"/>
              <w:ind w:firstLine="0" w:firstLineChars="0"/>
              <w:rPr>
                <w:color w:val="FF0000"/>
                <w:kern w:val="0"/>
                <w:sz w:val="21"/>
              </w:rPr>
            </w:pPr>
            <w:r>
              <w:rPr>
                <w:rFonts w:hint="eastAsia"/>
                <w:color w:val="FF0000"/>
                <w:kern w:val="0"/>
                <w:sz w:val="21"/>
              </w:rPr>
              <w:t>废硫酸：</w:t>
            </w:r>
            <w:r>
              <w:rPr>
                <w:color w:val="FF0000"/>
                <w:kern w:val="0"/>
                <w:sz w:val="21"/>
              </w:rPr>
              <w:t>500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锂离子动力电池</w:t>
            </w:r>
          </w:p>
        </w:tc>
        <w:tc>
          <w:tcPr>
            <w:tcW w:w="2398" w:type="dxa"/>
          </w:tcPr>
          <w:p>
            <w:pPr>
              <w:pStyle w:val="739"/>
              <w:spacing w:line="240" w:lineRule="atLeast"/>
              <w:ind w:firstLine="0" w:firstLineChars="0"/>
              <w:rPr>
                <w:rFonts w:cs="Times New Roman"/>
                <w:color w:val="FF0000"/>
                <w:sz w:val="21"/>
                <w:szCs w:val="21"/>
              </w:rPr>
            </w:pPr>
          </w:p>
        </w:tc>
        <w:tc>
          <w:tcPr>
            <w:tcW w:w="2759" w:type="dxa"/>
          </w:tcPr>
          <w:p>
            <w:pPr>
              <w:widowControl/>
              <w:snapToGrid w:val="0"/>
              <w:spacing w:line="240" w:lineRule="atLeast"/>
              <w:ind w:firstLine="0" w:firstLineChars="0"/>
              <w:rPr>
                <w:color w:val="FF0000"/>
                <w:kern w:val="0"/>
                <w:sz w:val="21"/>
              </w:rPr>
            </w:pPr>
            <w:r>
              <w:rPr>
                <w:rFonts w:hint="eastAsia"/>
                <w:color w:val="FF0000"/>
                <w:kern w:val="0"/>
                <w:sz w:val="21"/>
              </w:rPr>
              <w:t>废抹布、清洗废液等：</w:t>
            </w:r>
            <w:r>
              <w:rPr>
                <w:color w:val="FF0000"/>
                <w:kern w:val="0"/>
                <w:sz w:val="21"/>
              </w:rPr>
              <w:t>18</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rFonts w:hint="eastAsia"/>
                <w:color w:val="FF0000"/>
                <w:kern w:val="0"/>
                <w:sz w:val="21"/>
              </w:rPr>
              <w:t>钠硫电池</w:t>
            </w:r>
          </w:p>
        </w:tc>
        <w:tc>
          <w:tcPr>
            <w:tcW w:w="2398" w:type="dxa"/>
          </w:tcPr>
          <w:p>
            <w:pPr>
              <w:pStyle w:val="739"/>
              <w:spacing w:line="240" w:lineRule="atLeast"/>
              <w:ind w:firstLine="0" w:firstLineChars="0"/>
              <w:rPr>
                <w:rFonts w:cs="Times New Roman"/>
                <w:color w:val="FF0000"/>
                <w:sz w:val="21"/>
                <w:szCs w:val="21"/>
              </w:rPr>
            </w:pPr>
          </w:p>
        </w:tc>
        <w:tc>
          <w:tcPr>
            <w:tcW w:w="2759" w:type="dxa"/>
          </w:tcPr>
          <w:p>
            <w:pPr>
              <w:widowControl/>
              <w:snapToGrid w:val="0"/>
              <w:spacing w:line="240" w:lineRule="atLeast"/>
              <w:ind w:firstLine="0" w:firstLineChars="0"/>
              <w:rPr>
                <w:color w:val="FF0000"/>
                <w:kern w:val="0"/>
                <w:sz w:val="21"/>
              </w:rPr>
            </w:pPr>
            <w:r>
              <w:rPr>
                <w:rFonts w:hint="eastAsia"/>
                <w:color w:val="FF0000"/>
                <w:kern w:val="0"/>
                <w:sz w:val="21"/>
              </w:rPr>
              <w:t>废陶瓷等</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restart"/>
            <w:vAlign w:val="center"/>
          </w:tcPr>
          <w:p>
            <w:pPr>
              <w:pStyle w:val="739"/>
              <w:spacing w:line="240" w:lineRule="atLeast"/>
              <w:ind w:firstLine="0" w:firstLineChars="0"/>
              <w:jc w:val="center"/>
              <w:rPr>
                <w:rFonts w:cs="Times New Roman"/>
                <w:color w:val="FF0000"/>
                <w:sz w:val="21"/>
                <w:szCs w:val="21"/>
              </w:rPr>
            </w:pPr>
            <w:r>
              <w:rPr>
                <w:rFonts w:hint="eastAsia"/>
                <w:color w:val="FF0000"/>
                <w:kern w:val="0"/>
                <w:sz w:val="21"/>
                <w:szCs w:val="21"/>
              </w:rPr>
              <w:t>光电应用</w:t>
            </w: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LED</w:t>
            </w:r>
            <w:r>
              <w:rPr>
                <w:rFonts w:hint="eastAsia" w:ascii="宋体" w:hAnsi="宋体"/>
                <w:color w:val="FF0000"/>
                <w:kern w:val="0"/>
                <w:sz w:val="21"/>
              </w:rPr>
              <w:t>外延片</w:t>
            </w:r>
          </w:p>
        </w:tc>
        <w:tc>
          <w:tcPr>
            <w:tcW w:w="2398" w:type="dxa"/>
            <w:vMerge w:val="restart"/>
          </w:tcPr>
          <w:p>
            <w:pPr>
              <w:pStyle w:val="739"/>
              <w:spacing w:line="240" w:lineRule="atLeast"/>
              <w:ind w:firstLine="0" w:firstLineChars="0"/>
              <w:rPr>
                <w:rFonts w:cs="Times New Roman"/>
                <w:color w:val="FF0000"/>
                <w:sz w:val="21"/>
                <w:szCs w:val="21"/>
              </w:rPr>
            </w:pPr>
            <w:r>
              <w:rPr>
                <w:rFonts w:hint="eastAsia"/>
                <w:color w:val="FF0000"/>
                <w:kern w:val="0"/>
                <w:sz w:val="21"/>
                <w:szCs w:val="21"/>
              </w:rPr>
              <w:t>含氟废液、废酸、废溶剂等：</w:t>
            </w:r>
            <w:r>
              <w:rPr>
                <w:color w:val="FF0000"/>
                <w:kern w:val="0"/>
                <w:sz w:val="21"/>
                <w:szCs w:val="21"/>
              </w:rPr>
              <w:t>60</w:t>
            </w:r>
          </w:p>
        </w:tc>
        <w:tc>
          <w:tcPr>
            <w:tcW w:w="2759" w:type="dxa"/>
            <w:vMerge w:val="restart"/>
          </w:tcPr>
          <w:p>
            <w:pPr>
              <w:pStyle w:val="739"/>
              <w:spacing w:line="240" w:lineRule="atLeast"/>
              <w:ind w:firstLine="0" w:firstLineChars="0"/>
              <w:rPr>
                <w:rFonts w:cs="Times New Roman"/>
                <w:color w:val="FF0000"/>
                <w:sz w:val="21"/>
                <w:szCs w:val="21"/>
              </w:rPr>
            </w:pPr>
            <w:r>
              <w:rPr>
                <w:rFonts w:hint="eastAsia"/>
                <w:color w:val="FF0000"/>
                <w:kern w:val="0"/>
                <w:sz w:val="21"/>
                <w:szCs w:val="21"/>
              </w:rPr>
              <w:t>含氟废液、废酸、废溶剂等：</w:t>
            </w:r>
            <w:r>
              <w:rPr>
                <w:color w:val="FF0000"/>
                <w:kern w:val="0"/>
                <w:sz w:val="21"/>
                <w:szCs w:val="21"/>
              </w:rPr>
              <w:t>240</w:t>
            </w:r>
          </w:p>
        </w:tc>
        <w:tc>
          <w:tcPr>
            <w:tcW w:w="987" w:type="dxa"/>
            <w:vMerge w:val="restart"/>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LED</w:t>
            </w:r>
            <w:r>
              <w:rPr>
                <w:rFonts w:hint="eastAsia" w:ascii="宋体" w:hAnsi="宋体"/>
                <w:color w:val="FF0000"/>
                <w:kern w:val="0"/>
                <w:sz w:val="21"/>
              </w:rPr>
              <w:t>芯片</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LED</w:t>
            </w:r>
            <w:r>
              <w:rPr>
                <w:rFonts w:hint="eastAsia" w:ascii="宋体" w:hAnsi="宋体"/>
                <w:color w:val="FF0000"/>
                <w:kern w:val="0"/>
                <w:sz w:val="21"/>
              </w:rPr>
              <w:t>照明灯具</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LED</w:t>
            </w:r>
            <w:r>
              <w:rPr>
                <w:rFonts w:hint="eastAsia" w:ascii="宋体" w:hAnsi="宋体"/>
                <w:color w:val="FF0000"/>
                <w:kern w:val="0"/>
                <w:sz w:val="21"/>
              </w:rPr>
              <w:t>显示屏</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widowControl/>
              <w:snapToGrid w:val="0"/>
              <w:spacing w:line="240" w:lineRule="atLeast"/>
              <w:ind w:firstLine="0" w:firstLineChars="0"/>
              <w:jc w:val="center"/>
              <w:rPr>
                <w:color w:val="FF0000"/>
                <w:kern w:val="0"/>
                <w:sz w:val="21"/>
              </w:rPr>
            </w:pPr>
            <w:r>
              <w:rPr>
                <w:color w:val="FF0000"/>
                <w:kern w:val="0"/>
                <w:sz w:val="21"/>
              </w:rPr>
              <w:t>LED</w:t>
            </w:r>
            <w:r>
              <w:rPr>
                <w:rFonts w:hint="eastAsia" w:ascii="宋体" w:hAnsi="宋体"/>
                <w:color w:val="FF0000"/>
                <w:kern w:val="0"/>
                <w:sz w:val="21"/>
              </w:rPr>
              <w:t>背光源</w:t>
            </w:r>
          </w:p>
        </w:tc>
        <w:tc>
          <w:tcPr>
            <w:tcW w:w="2398" w:type="dxa"/>
            <w:vMerge w:val="continue"/>
          </w:tcPr>
          <w:p>
            <w:pPr>
              <w:pStyle w:val="739"/>
              <w:spacing w:line="240" w:lineRule="atLeast"/>
              <w:ind w:firstLine="0" w:firstLineChars="0"/>
              <w:rPr>
                <w:rFonts w:cs="Times New Roman"/>
                <w:color w:val="FF0000"/>
                <w:sz w:val="21"/>
                <w:szCs w:val="21"/>
              </w:rPr>
            </w:pPr>
          </w:p>
        </w:tc>
        <w:tc>
          <w:tcPr>
            <w:tcW w:w="2759" w:type="dxa"/>
            <w:vMerge w:val="continue"/>
          </w:tcPr>
          <w:p>
            <w:pPr>
              <w:pStyle w:val="739"/>
              <w:spacing w:line="240" w:lineRule="atLeast"/>
              <w:ind w:firstLine="0" w:firstLineChars="0"/>
              <w:rPr>
                <w:rFonts w:cs="Times New Roman"/>
                <w:color w:val="FF0000"/>
                <w:sz w:val="21"/>
                <w:szCs w:val="21"/>
              </w:rPr>
            </w:pPr>
          </w:p>
        </w:tc>
        <w:tc>
          <w:tcPr>
            <w:tcW w:w="987" w:type="dxa"/>
            <w:vMerge w:val="continue"/>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restart"/>
            <w:vAlign w:val="center"/>
          </w:tcPr>
          <w:p>
            <w:pPr>
              <w:pStyle w:val="739"/>
              <w:spacing w:line="240" w:lineRule="atLeast"/>
              <w:ind w:firstLine="0" w:firstLineChars="0"/>
              <w:jc w:val="center"/>
              <w:rPr>
                <w:rFonts w:cs="Times New Roman"/>
                <w:color w:val="FF0000"/>
                <w:sz w:val="21"/>
                <w:szCs w:val="21"/>
              </w:rPr>
            </w:pPr>
            <w:r>
              <w:rPr>
                <w:rFonts w:hint="eastAsia" w:cs="Times New Roman"/>
                <w:color w:val="FF0000"/>
                <w:sz w:val="21"/>
                <w:szCs w:val="21"/>
              </w:rPr>
              <w:t>供热项目</w:t>
            </w:r>
          </w:p>
        </w:tc>
        <w:tc>
          <w:tcPr>
            <w:tcW w:w="1949" w:type="dxa"/>
            <w:vAlign w:val="center"/>
          </w:tcPr>
          <w:p>
            <w:pPr>
              <w:pStyle w:val="739"/>
              <w:spacing w:line="240" w:lineRule="atLeast"/>
              <w:ind w:firstLine="0" w:firstLineChars="0"/>
              <w:jc w:val="center"/>
              <w:rPr>
                <w:rFonts w:cs="Times New Roman"/>
                <w:color w:val="FF0000"/>
                <w:sz w:val="21"/>
                <w:szCs w:val="21"/>
              </w:rPr>
            </w:pPr>
            <w:r>
              <w:rPr>
                <w:rFonts w:hint="eastAsia"/>
                <w:color w:val="FF0000"/>
                <w:sz w:val="21"/>
                <w:szCs w:val="21"/>
              </w:rPr>
              <w:t>腾格里片区（</w:t>
            </w:r>
            <w:r>
              <w:rPr>
                <w:color w:val="FF0000"/>
                <w:sz w:val="21"/>
                <w:szCs w:val="21"/>
              </w:rPr>
              <w:t>4</w:t>
            </w:r>
            <w:r>
              <w:rPr>
                <w:rFonts w:hint="eastAsia"/>
                <w:color w:val="FF0000"/>
                <w:sz w:val="21"/>
                <w:szCs w:val="21"/>
              </w:rPr>
              <w:t>台</w:t>
            </w:r>
            <w:r>
              <w:rPr>
                <w:color w:val="FF0000"/>
                <w:sz w:val="21"/>
                <w:szCs w:val="21"/>
              </w:rPr>
              <w:t>480t/h</w:t>
            </w:r>
            <w:r>
              <w:rPr>
                <w:rFonts w:hint="eastAsia"/>
                <w:color w:val="FF0000"/>
                <w:sz w:val="21"/>
                <w:szCs w:val="21"/>
              </w:rPr>
              <w:t>燃煤锅炉）</w:t>
            </w:r>
          </w:p>
        </w:tc>
        <w:tc>
          <w:tcPr>
            <w:tcW w:w="2398" w:type="dxa"/>
            <w:vAlign w:val="center"/>
          </w:tcPr>
          <w:p>
            <w:pPr>
              <w:widowControl/>
              <w:spacing w:line="240" w:lineRule="atLeast"/>
              <w:ind w:firstLine="0" w:firstLineChars="0"/>
              <w:rPr>
                <w:rFonts w:hAnsi="宋体" w:cs="Times New Roman"/>
                <w:color w:val="FF0000"/>
                <w:sz w:val="21"/>
              </w:rPr>
            </w:pPr>
            <w:r>
              <w:rPr>
                <w:rFonts w:hint="eastAsia" w:hAnsi="宋体"/>
                <w:color w:val="FF0000"/>
                <w:sz w:val="21"/>
              </w:rPr>
              <w:t>粉煤灰、炉渣：</w:t>
            </w:r>
            <w:r>
              <w:rPr>
                <w:rFonts w:hAnsi="宋体"/>
                <w:color w:val="FF0000"/>
                <w:sz w:val="21"/>
              </w:rPr>
              <w:t>16</w:t>
            </w:r>
            <w:r>
              <w:rPr>
                <w:rFonts w:hint="eastAsia" w:hAnsi="宋体"/>
                <w:color w:val="FF0000"/>
                <w:sz w:val="21"/>
              </w:rPr>
              <w:t>万</w:t>
            </w:r>
          </w:p>
          <w:p>
            <w:pPr>
              <w:widowControl/>
              <w:spacing w:line="240" w:lineRule="atLeast"/>
              <w:ind w:firstLine="0" w:firstLineChars="0"/>
              <w:rPr>
                <w:rFonts w:hAnsi="宋体"/>
                <w:color w:val="FF0000"/>
                <w:sz w:val="21"/>
              </w:rPr>
            </w:pPr>
            <w:r>
              <w:rPr>
                <w:rFonts w:hint="eastAsia" w:hAnsi="宋体"/>
                <w:color w:val="FF0000"/>
                <w:sz w:val="21"/>
              </w:rPr>
              <w:t>脱硫石膏：</w:t>
            </w:r>
            <w:r>
              <w:rPr>
                <w:rFonts w:hAnsi="宋体"/>
                <w:color w:val="FF0000"/>
                <w:sz w:val="21"/>
              </w:rPr>
              <w:t>3</w:t>
            </w:r>
            <w:r>
              <w:rPr>
                <w:rFonts w:hint="eastAsia" w:hAnsi="宋体"/>
                <w:color w:val="FF0000"/>
                <w:sz w:val="21"/>
              </w:rPr>
              <w:t>万</w:t>
            </w:r>
          </w:p>
          <w:p>
            <w:pPr>
              <w:widowControl/>
              <w:spacing w:line="240" w:lineRule="atLeast"/>
              <w:ind w:firstLine="0" w:firstLineChars="0"/>
              <w:rPr>
                <w:color w:val="FF0000"/>
                <w:kern w:val="0"/>
                <w:sz w:val="21"/>
              </w:rPr>
            </w:pPr>
            <w:r>
              <w:rPr>
                <w:rFonts w:hint="eastAsia" w:hAnsi="宋体"/>
                <w:color w:val="FF0000"/>
                <w:sz w:val="21"/>
              </w:rPr>
              <w:t>脱硝催化剂：</w:t>
            </w:r>
            <w:r>
              <w:rPr>
                <w:rFonts w:hAnsi="宋体"/>
                <w:color w:val="FF0000"/>
                <w:sz w:val="21"/>
              </w:rPr>
              <w:t>230</w:t>
            </w:r>
          </w:p>
        </w:tc>
        <w:tc>
          <w:tcPr>
            <w:tcW w:w="2759" w:type="dxa"/>
            <w:vAlign w:val="center"/>
          </w:tcPr>
          <w:p>
            <w:pPr>
              <w:widowControl/>
              <w:spacing w:line="240" w:lineRule="atLeast"/>
              <w:ind w:firstLine="0" w:firstLineChars="0"/>
              <w:rPr>
                <w:rFonts w:hAnsi="宋体" w:cs="Times New Roman"/>
                <w:color w:val="FF0000"/>
                <w:sz w:val="21"/>
              </w:rPr>
            </w:pPr>
            <w:r>
              <w:rPr>
                <w:rFonts w:hint="eastAsia" w:hAnsi="宋体"/>
                <w:color w:val="FF0000"/>
                <w:sz w:val="21"/>
              </w:rPr>
              <w:t>粉煤灰、炉渣：</w:t>
            </w:r>
            <w:r>
              <w:rPr>
                <w:rFonts w:hAnsi="宋体"/>
                <w:color w:val="FF0000"/>
                <w:sz w:val="21"/>
              </w:rPr>
              <w:t>16</w:t>
            </w:r>
            <w:r>
              <w:rPr>
                <w:rFonts w:hint="eastAsia" w:hAnsi="宋体"/>
                <w:color w:val="FF0000"/>
                <w:sz w:val="21"/>
              </w:rPr>
              <w:t>万</w:t>
            </w:r>
          </w:p>
          <w:p>
            <w:pPr>
              <w:widowControl/>
              <w:spacing w:line="240" w:lineRule="atLeast"/>
              <w:ind w:firstLine="0" w:firstLineChars="0"/>
              <w:rPr>
                <w:rFonts w:hAnsi="宋体"/>
                <w:color w:val="FF0000"/>
                <w:sz w:val="21"/>
              </w:rPr>
            </w:pPr>
            <w:r>
              <w:rPr>
                <w:rFonts w:hint="eastAsia" w:hAnsi="宋体"/>
                <w:color w:val="FF0000"/>
                <w:sz w:val="21"/>
              </w:rPr>
              <w:t>脱硫石膏：</w:t>
            </w:r>
            <w:r>
              <w:rPr>
                <w:rFonts w:hAnsi="宋体"/>
                <w:color w:val="FF0000"/>
                <w:sz w:val="21"/>
              </w:rPr>
              <w:t>3</w:t>
            </w:r>
            <w:r>
              <w:rPr>
                <w:rFonts w:hint="eastAsia" w:hAnsi="宋体"/>
                <w:color w:val="FF0000"/>
                <w:sz w:val="21"/>
              </w:rPr>
              <w:t>万</w:t>
            </w:r>
          </w:p>
          <w:p>
            <w:pPr>
              <w:widowControl/>
              <w:spacing w:line="240" w:lineRule="atLeast"/>
              <w:ind w:firstLine="0" w:firstLineChars="0"/>
              <w:rPr>
                <w:color w:val="FF0000"/>
                <w:kern w:val="0"/>
                <w:sz w:val="21"/>
              </w:rPr>
            </w:pPr>
            <w:r>
              <w:rPr>
                <w:rFonts w:hint="eastAsia" w:hAnsi="宋体"/>
                <w:color w:val="FF0000"/>
                <w:sz w:val="21"/>
              </w:rPr>
              <w:t>脱硝催化剂：</w:t>
            </w:r>
            <w:r>
              <w:rPr>
                <w:rFonts w:hAnsi="宋体"/>
                <w:color w:val="FF0000"/>
                <w:sz w:val="21"/>
              </w:rPr>
              <w:t>230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pStyle w:val="739"/>
              <w:spacing w:line="240" w:lineRule="atLeast"/>
              <w:ind w:firstLine="0" w:firstLineChars="0"/>
              <w:jc w:val="center"/>
              <w:rPr>
                <w:rFonts w:cs="Times New Roman"/>
                <w:color w:val="FF0000"/>
                <w:sz w:val="21"/>
                <w:szCs w:val="21"/>
              </w:rPr>
            </w:pPr>
            <w:r>
              <w:rPr>
                <w:rFonts w:hint="eastAsia"/>
                <w:color w:val="FF0000"/>
                <w:sz w:val="21"/>
                <w:szCs w:val="21"/>
              </w:rPr>
              <w:t>腾格里南片区热电（</w:t>
            </w:r>
            <w:r>
              <w:rPr>
                <w:color w:val="FF0000"/>
                <w:sz w:val="21"/>
                <w:szCs w:val="21"/>
              </w:rPr>
              <w:t>2</w:t>
            </w:r>
            <w:r>
              <w:rPr>
                <w:rFonts w:hint="eastAsia" w:ascii="宋体" w:hAnsi="宋体"/>
                <w:color w:val="FF0000"/>
                <w:sz w:val="21"/>
                <w:szCs w:val="21"/>
              </w:rPr>
              <w:t>×</w:t>
            </w:r>
            <w:r>
              <w:rPr>
                <w:color w:val="FF0000"/>
                <w:sz w:val="21"/>
                <w:szCs w:val="21"/>
              </w:rPr>
              <w:t>660MW</w:t>
            </w:r>
            <w:r>
              <w:rPr>
                <w:rFonts w:hint="eastAsia"/>
                <w:color w:val="FF0000"/>
                <w:sz w:val="21"/>
                <w:szCs w:val="21"/>
              </w:rPr>
              <w:t>）</w:t>
            </w:r>
          </w:p>
        </w:tc>
        <w:tc>
          <w:tcPr>
            <w:tcW w:w="2398" w:type="dxa"/>
          </w:tcPr>
          <w:p>
            <w:pPr>
              <w:pStyle w:val="739"/>
              <w:spacing w:line="240" w:lineRule="atLeast"/>
              <w:ind w:firstLine="0" w:firstLineChars="0"/>
              <w:rPr>
                <w:rFonts w:cs="Times New Roman"/>
                <w:color w:val="FF0000"/>
                <w:sz w:val="21"/>
                <w:szCs w:val="21"/>
              </w:rPr>
            </w:pPr>
          </w:p>
        </w:tc>
        <w:tc>
          <w:tcPr>
            <w:tcW w:w="2759" w:type="dxa"/>
          </w:tcPr>
          <w:p>
            <w:pPr>
              <w:widowControl/>
              <w:spacing w:line="240" w:lineRule="atLeast"/>
              <w:ind w:firstLine="0" w:firstLineChars="0"/>
              <w:rPr>
                <w:rFonts w:hAnsi="宋体"/>
                <w:color w:val="FF0000"/>
                <w:sz w:val="21"/>
              </w:rPr>
            </w:pPr>
            <w:r>
              <w:rPr>
                <w:rFonts w:hint="eastAsia" w:hAnsi="宋体"/>
                <w:color w:val="FF0000"/>
                <w:sz w:val="21"/>
              </w:rPr>
              <w:t>粉煤灰、炉渣：</w:t>
            </w:r>
            <w:r>
              <w:rPr>
                <w:rFonts w:hAnsi="宋体"/>
                <w:color w:val="FF0000"/>
                <w:sz w:val="21"/>
              </w:rPr>
              <w:t>58</w:t>
            </w:r>
            <w:r>
              <w:rPr>
                <w:rFonts w:hint="eastAsia" w:hAnsi="宋体"/>
                <w:color w:val="FF0000"/>
                <w:sz w:val="21"/>
              </w:rPr>
              <w:t>万</w:t>
            </w:r>
          </w:p>
          <w:p>
            <w:pPr>
              <w:widowControl/>
              <w:spacing w:line="240" w:lineRule="atLeast"/>
              <w:ind w:firstLine="0" w:firstLineChars="0"/>
              <w:rPr>
                <w:rFonts w:hAnsi="宋体"/>
                <w:color w:val="FF0000"/>
                <w:sz w:val="21"/>
              </w:rPr>
            </w:pPr>
            <w:r>
              <w:rPr>
                <w:rFonts w:hint="eastAsia" w:hAnsi="宋体"/>
                <w:color w:val="FF0000"/>
                <w:sz w:val="21"/>
              </w:rPr>
              <w:t>脱硫石膏：</w:t>
            </w:r>
            <w:r>
              <w:rPr>
                <w:rFonts w:hAnsi="宋体"/>
                <w:color w:val="FF0000"/>
                <w:sz w:val="21"/>
              </w:rPr>
              <w:t>9</w:t>
            </w:r>
            <w:r>
              <w:rPr>
                <w:rFonts w:hint="eastAsia" w:hAnsi="宋体"/>
                <w:color w:val="FF0000"/>
                <w:sz w:val="21"/>
              </w:rPr>
              <w:t>万</w:t>
            </w:r>
          </w:p>
          <w:p>
            <w:pPr>
              <w:pStyle w:val="739"/>
              <w:spacing w:line="240" w:lineRule="atLeast"/>
              <w:ind w:firstLine="0" w:firstLineChars="0"/>
              <w:rPr>
                <w:rFonts w:cs="Times New Roman"/>
                <w:color w:val="FF0000"/>
                <w:sz w:val="21"/>
                <w:szCs w:val="21"/>
              </w:rPr>
            </w:pPr>
            <w:r>
              <w:rPr>
                <w:rFonts w:hint="eastAsia" w:hAnsi="宋体"/>
                <w:color w:val="FF0000"/>
                <w:sz w:val="21"/>
                <w:szCs w:val="21"/>
              </w:rPr>
              <w:t>脱硝催化剂：</w:t>
            </w:r>
            <w:r>
              <w:rPr>
                <w:rFonts w:hAnsi="宋体"/>
                <w:color w:val="FF0000"/>
                <w:sz w:val="21"/>
                <w:szCs w:val="21"/>
              </w:rPr>
              <w:t>850</w:t>
            </w:r>
          </w:p>
        </w:tc>
        <w:tc>
          <w:tcPr>
            <w:tcW w:w="987" w:type="dxa"/>
          </w:tcPr>
          <w:p>
            <w:pPr>
              <w:pStyle w:val="739"/>
              <w:spacing w:line="240" w:lineRule="atLeast"/>
              <w:ind w:firstLine="0" w:firstLineChars="0"/>
              <w:rPr>
                <w:rFonts w:cs="Times New Roman"/>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545" w:type="dxa"/>
            <w:vMerge w:val="continue"/>
          </w:tcPr>
          <w:p>
            <w:pPr>
              <w:pStyle w:val="739"/>
              <w:spacing w:line="240" w:lineRule="atLeast"/>
              <w:ind w:firstLine="0" w:firstLineChars="0"/>
              <w:rPr>
                <w:rFonts w:cs="Times New Roman"/>
                <w:color w:val="FF0000"/>
                <w:sz w:val="21"/>
                <w:szCs w:val="21"/>
              </w:rPr>
            </w:pPr>
          </w:p>
        </w:tc>
        <w:tc>
          <w:tcPr>
            <w:tcW w:w="1949" w:type="dxa"/>
            <w:vAlign w:val="center"/>
          </w:tcPr>
          <w:p>
            <w:pPr>
              <w:pStyle w:val="739"/>
              <w:spacing w:line="240" w:lineRule="atLeast"/>
              <w:ind w:firstLine="0" w:firstLineChars="0"/>
              <w:jc w:val="center"/>
              <w:rPr>
                <w:rFonts w:cs="Times New Roman"/>
                <w:color w:val="FF0000"/>
                <w:sz w:val="21"/>
                <w:szCs w:val="21"/>
              </w:rPr>
            </w:pPr>
            <w:r>
              <w:rPr>
                <w:rFonts w:hint="eastAsia"/>
                <w:color w:val="FF0000"/>
                <w:sz w:val="21"/>
                <w:szCs w:val="21"/>
              </w:rPr>
              <w:t>现代煤化工企业自备热源</w:t>
            </w:r>
          </w:p>
        </w:tc>
        <w:tc>
          <w:tcPr>
            <w:tcW w:w="2398" w:type="dxa"/>
            <w:vAlign w:val="center"/>
          </w:tcPr>
          <w:p>
            <w:pPr>
              <w:widowControl/>
              <w:spacing w:line="240" w:lineRule="atLeast"/>
              <w:ind w:firstLine="0" w:firstLineChars="0"/>
              <w:rPr>
                <w:rFonts w:hAnsi="宋体" w:cs="Times New Roman"/>
                <w:color w:val="FF0000"/>
                <w:sz w:val="21"/>
              </w:rPr>
            </w:pPr>
            <w:r>
              <w:rPr>
                <w:rFonts w:hint="eastAsia" w:hAnsi="宋体"/>
                <w:color w:val="FF0000"/>
                <w:sz w:val="21"/>
              </w:rPr>
              <w:t>粉煤灰、炉渣：</w:t>
            </w:r>
            <w:r>
              <w:rPr>
                <w:rFonts w:hAnsi="宋体"/>
                <w:color w:val="FF0000"/>
                <w:sz w:val="21"/>
              </w:rPr>
              <w:t>8</w:t>
            </w:r>
            <w:r>
              <w:rPr>
                <w:rFonts w:hint="eastAsia" w:hAnsi="宋体"/>
                <w:color w:val="FF0000"/>
                <w:sz w:val="21"/>
              </w:rPr>
              <w:t>万</w:t>
            </w:r>
          </w:p>
          <w:p>
            <w:pPr>
              <w:widowControl/>
              <w:spacing w:line="240" w:lineRule="atLeast"/>
              <w:ind w:firstLine="0" w:firstLineChars="0"/>
              <w:rPr>
                <w:rFonts w:hAnsi="宋体"/>
                <w:color w:val="FF0000"/>
                <w:sz w:val="21"/>
              </w:rPr>
            </w:pPr>
            <w:r>
              <w:rPr>
                <w:rFonts w:hint="eastAsia" w:hAnsi="宋体"/>
                <w:color w:val="FF0000"/>
                <w:sz w:val="21"/>
              </w:rPr>
              <w:t>脱硫石膏：</w:t>
            </w:r>
            <w:r>
              <w:rPr>
                <w:rFonts w:hAnsi="宋体"/>
                <w:color w:val="FF0000"/>
                <w:sz w:val="21"/>
              </w:rPr>
              <w:t>1.5</w:t>
            </w:r>
            <w:r>
              <w:rPr>
                <w:rFonts w:hint="eastAsia" w:hAnsi="宋体"/>
                <w:color w:val="FF0000"/>
                <w:sz w:val="21"/>
              </w:rPr>
              <w:t>万</w:t>
            </w:r>
          </w:p>
          <w:p>
            <w:pPr>
              <w:widowControl/>
              <w:spacing w:line="240" w:lineRule="atLeast"/>
              <w:ind w:firstLine="0" w:firstLineChars="0"/>
              <w:rPr>
                <w:color w:val="FF0000"/>
                <w:kern w:val="0"/>
                <w:sz w:val="21"/>
              </w:rPr>
            </w:pPr>
            <w:r>
              <w:rPr>
                <w:rFonts w:hint="eastAsia" w:hAnsi="宋体"/>
                <w:color w:val="FF0000"/>
                <w:sz w:val="21"/>
              </w:rPr>
              <w:t>脱硝催化剂：</w:t>
            </w:r>
            <w:r>
              <w:rPr>
                <w:rFonts w:hAnsi="宋体"/>
                <w:color w:val="FF0000"/>
                <w:sz w:val="21"/>
              </w:rPr>
              <w:t>115</w:t>
            </w:r>
          </w:p>
        </w:tc>
        <w:tc>
          <w:tcPr>
            <w:tcW w:w="2759" w:type="dxa"/>
            <w:vAlign w:val="center"/>
          </w:tcPr>
          <w:p>
            <w:pPr>
              <w:widowControl/>
              <w:spacing w:line="240" w:lineRule="atLeast"/>
              <w:ind w:firstLine="0" w:firstLineChars="0"/>
              <w:rPr>
                <w:rFonts w:hAnsi="宋体" w:cs="Times New Roman"/>
                <w:color w:val="FF0000"/>
                <w:sz w:val="21"/>
              </w:rPr>
            </w:pPr>
            <w:r>
              <w:rPr>
                <w:rFonts w:hint="eastAsia" w:hAnsi="宋体"/>
                <w:color w:val="FF0000"/>
                <w:sz w:val="21"/>
              </w:rPr>
              <w:t>粉煤灰、炉渣：</w:t>
            </w:r>
            <w:r>
              <w:rPr>
                <w:rFonts w:hAnsi="宋体"/>
                <w:color w:val="FF0000"/>
                <w:sz w:val="21"/>
              </w:rPr>
              <w:t>72</w:t>
            </w:r>
            <w:r>
              <w:rPr>
                <w:rFonts w:hint="eastAsia" w:hAnsi="宋体"/>
                <w:color w:val="FF0000"/>
                <w:sz w:val="21"/>
              </w:rPr>
              <w:t>万</w:t>
            </w:r>
          </w:p>
          <w:p>
            <w:pPr>
              <w:widowControl/>
              <w:spacing w:line="240" w:lineRule="atLeast"/>
              <w:ind w:firstLine="0" w:firstLineChars="0"/>
              <w:rPr>
                <w:rFonts w:hAnsi="宋体"/>
                <w:color w:val="FF0000"/>
                <w:sz w:val="21"/>
              </w:rPr>
            </w:pPr>
            <w:r>
              <w:rPr>
                <w:rFonts w:hint="eastAsia" w:hAnsi="宋体"/>
                <w:color w:val="FF0000"/>
                <w:sz w:val="21"/>
              </w:rPr>
              <w:t>脱硫石膏：</w:t>
            </w:r>
            <w:r>
              <w:rPr>
                <w:rFonts w:hAnsi="宋体"/>
                <w:color w:val="FF0000"/>
                <w:sz w:val="21"/>
              </w:rPr>
              <w:t>12</w:t>
            </w:r>
            <w:r>
              <w:rPr>
                <w:rFonts w:hint="eastAsia" w:hAnsi="宋体"/>
                <w:color w:val="FF0000"/>
                <w:sz w:val="21"/>
              </w:rPr>
              <w:t>万</w:t>
            </w:r>
          </w:p>
          <w:p>
            <w:pPr>
              <w:widowControl/>
              <w:spacing w:line="240" w:lineRule="atLeast"/>
              <w:ind w:firstLine="0" w:firstLineChars="0"/>
              <w:rPr>
                <w:rFonts w:hAnsi="宋体"/>
                <w:color w:val="FF0000"/>
                <w:sz w:val="21"/>
              </w:rPr>
            </w:pPr>
            <w:r>
              <w:rPr>
                <w:rFonts w:hint="eastAsia" w:hAnsi="宋体"/>
                <w:color w:val="FF0000"/>
                <w:sz w:val="21"/>
              </w:rPr>
              <w:t>脱硝催化剂：</w:t>
            </w:r>
            <w:r>
              <w:rPr>
                <w:rFonts w:hAnsi="宋体"/>
                <w:color w:val="FF0000"/>
                <w:sz w:val="21"/>
              </w:rPr>
              <w:t>1020</w:t>
            </w:r>
          </w:p>
        </w:tc>
        <w:tc>
          <w:tcPr>
            <w:tcW w:w="987" w:type="dxa"/>
          </w:tcPr>
          <w:p>
            <w:pPr>
              <w:pStyle w:val="739"/>
              <w:spacing w:line="240" w:lineRule="atLeast"/>
              <w:ind w:firstLine="0" w:firstLineChars="0"/>
              <w:rPr>
                <w:rFonts w:cs="Times New Roman"/>
                <w:color w:val="FF0000"/>
                <w:sz w:val="21"/>
                <w:szCs w:val="21"/>
              </w:rPr>
            </w:pPr>
          </w:p>
        </w:tc>
      </w:tr>
    </w:tbl>
    <w:p>
      <w:pPr>
        <w:pStyle w:val="739"/>
        <w:ind w:firstLine="480"/>
        <w:rPr>
          <w:color w:val="FF0000"/>
        </w:rPr>
      </w:pPr>
    </w:p>
    <w:p>
      <w:pPr>
        <w:pStyle w:val="739"/>
        <w:ind w:firstLine="480"/>
        <w:rPr>
          <w:color w:val="FF0000"/>
        </w:rPr>
      </w:pPr>
    </w:p>
    <w:p>
      <w:pPr>
        <w:pStyle w:val="739"/>
        <w:ind w:firstLine="480"/>
        <w:rPr>
          <w:color w:val="FF0000"/>
        </w:rPr>
      </w:pPr>
    </w:p>
    <w:p>
      <w:pPr>
        <w:pStyle w:val="4"/>
      </w:pPr>
      <w:bookmarkStart w:id="40" w:name="_Toc3282101"/>
      <w:bookmarkStart w:id="41" w:name="_Toc13760057"/>
      <w:r>
        <w:rPr>
          <w:rFonts w:hint="eastAsia"/>
        </w:rPr>
        <w:t>1.2评价工作过程</w:t>
      </w:r>
      <w:bookmarkEnd w:id="40"/>
      <w:bookmarkEnd w:id="41"/>
    </w:p>
    <w:p>
      <w:pPr>
        <w:ind w:firstLine="480"/>
        <w:rPr>
          <w:rFonts w:cs="Times New Roman"/>
          <w:szCs w:val="24"/>
        </w:rPr>
      </w:pPr>
      <w:r>
        <w:rPr>
          <w:rFonts w:hint="eastAsia" w:hAnsi="宋体"/>
          <w:color w:val="000000"/>
        </w:rPr>
        <w:t>本次环评报告书仅针对改扩建内容进行分析评价，以改扩建工程分析及相关的影响分析为主。本项目环境影响评价的工作过程可分为三个阶段，</w:t>
      </w:r>
      <w:r>
        <w:rPr>
          <w:rFonts w:cs="Times New Roman" w:hAnsiTheme="minorEastAsia"/>
          <w:szCs w:val="24"/>
        </w:rPr>
        <w:t>如图</w:t>
      </w:r>
      <w:r>
        <w:rPr>
          <w:rFonts w:cs="Times New Roman"/>
          <w:szCs w:val="24"/>
        </w:rPr>
        <w:t>1.</w:t>
      </w:r>
      <w:r>
        <w:rPr>
          <w:rFonts w:hint="eastAsia" w:cs="Times New Roman"/>
          <w:szCs w:val="24"/>
        </w:rPr>
        <w:t>2</w:t>
      </w:r>
      <w:r>
        <w:rPr>
          <w:rFonts w:cs="Times New Roman"/>
          <w:szCs w:val="24"/>
        </w:rPr>
        <w:t>—</w:t>
      </w:r>
      <w:r>
        <w:rPr>
          <w:rFonts w:hint="eastAsia" w:cs="Times New Roman"/>
          <w:szCs w:val="24"/>
        </w:rPr>
        <w:t>1</w:t>
      </w:r>
      <w:r>
        <w:rPr>
          <w:rFonts w:cs="Times New Roman" w:hAnsiTheme="minorEastAsia"/>
          <w:szCs w:val="24"/>
        </w:rPr>
        <w:t>所示工作程序。</w:t>
      </w:r>
    </w:p>
    <w:p>
      <w:pPr>
        <w:ind w:firstLine="480"/>
        <w:rPr>
          <w:rFonts w:asciiTheme="minorEastAsia" w:hAnsiTheme="minorEastAsia"/>
          <w:szCs w:val="24"/>
        </w:rPr>
      </w:pPr>
    </w:p>
    <w:p>
      <w:pPr>
        <w:ind w:firstLine="0" w:firstLineChars="0"/>
        <w:rPr>
          <w:rFonts w:asciiTheme="minorEastAsia" w:hAnsiTheme="minorEastAsia"/>
          <w:szCs w:val="24"/>
        </w:rPr>
      </w:pPr>
      <w:r>
        <w:rPr>
          <w:color w:val="000000"/>
          <w:sz w:val="28"/>
          <w:szCs w:val="28"/>
        </w:rPr>
        <w:drawing>
          <wp:inline distT="0" distB="0" distL="0" distR="0">
            <wp:extent cx="5403850" cy="5162550"/>
            <wp:effectExtent l="19050" t="0" r="6350" b="0"/>
            <wp:docPr id="10" name="图片 4" descr="建设项目环境影响评价技术导则 总纲(H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建设项目环境影响评价技术导则 总纲(HJ2"/>
                    <pic:cNvPicPr>
                      <a:picLocks noChangeAspect="1" noChangeArrowheads="1"/>
                    </pic:cNvPicPr>
                  </pic:nvPicPr>
                  <pic:blipFill>
                    <a:blip r:embed="rId16" cstate="print"/>
                    <a:srcRect/>
                    <a:stretch>
                      <a:fillRect/>
                    </a:stretch>
                  </pic:blipFill>
                  <pic:spPr>
                    <a:xfrm>
                      <a:off x="0" y="0"/>
                      <a:ext cx="5403850" cy="5162550"/>
                    </a:xfrm>
                    <a:prstGeom prst="rect">
                      <a:avLst/>
                    </a:prstGeom>
                    <a:noFill/>
                    <a:ln w="9525">
                      <a:noFill/>
                      <a:miter lim="800000"/>
                      <a:headEnd/>
                      <a:tailEnd/>
                    </a:ln>
                  </pic:spPr>
                </pic:pic>
              </a:graphicData>
            </a:graphic>
          </wp:inline>
        </w:drawing>
      </w:r>
    </w:p>
    <w:p>
      <w:pPr>
        <w:ind w:firstLine="480"/>
        <w:rPr>
          <w:rFonts w:asciiTheme="minorEastAsia" w:hAnsiTheme="minorEastAsia"/>
          <w:szCs w:val="24"/>
        </w:rPr>
      </w:pPr>
      <w:r>
        <w:rPr>
          <w:rFonts w:hint="eastAsia" w:cs="Times New Roman"/>
          <w:szCs w:val="24"/>
        </w:rPr>
        <w:t>图 1.2—1               评价工作程序图</w:t>
      </w:r>
    </w:p>
    <w:p>
      <w:pPr>
        <w:ind w:firstLine="0" w:firstLineChars="0"/>
        <w:rPr>
          <w:rFonts w:asciiTheme="minorEastAsia" w:hAnsiTheme="minorEastAsia"/>
          <w:szCs w:val="24"/>
        </w:rPr>
      </w:pPr>
    </w:p>
    <w:p>
      <w:pPr>
        <w:pStyle w:val="4"/>
      </w:pPr>
      <w:bookmarkStart w:id="42" w:name="_Toc532546016"/>
      <w:bookmarkStart w:id="43" w:name="_Toc512264065"/>
      <w:bookmarkStart w:id="44" w:name="_Toc13760058"/>
      <w:r>
        <w:rPr>
          <w:szCs w:val="24"/>
        </w:rPr>
        <w:t>1.3</w:t>
      </w:r>
      <w:r>
        <w:rPr>
          <w:rFonts w:hint="eastAsia"/>
          <w:szCs w:val="24"/>
        </w:rPr>
        <w:t>分析判定相关情况</w:t>
      </w:r>
      <w:bookmarkEnd w:id="42"/>
      <w:bookmarkEnd w:id="43"/>
      <w:bookmarkEnd w:id="44"/>
    </w:p>
    <w:p>
      <w:pPr>
        <w:ind w:firstLine="480"/>
        <w:rPr>
          <w:kern w:val="0"/>
          <w:lang w:val="zh-CN"/>
        </w:rPr>
      </w:pPr>
      <w:r>
        <w:rPr>
          <w:rFonts w:hint="eastAsia"/>
          <w:kern w:val="0"/>
          <w:lang w:val="zh-CN"/>
        </w:rPr>
        <w:t>根据《建设项目环境影响评价技术导则总纲》</w:t>
      </w:r>
      <w:r>
        <w:rPr>
          <w:kern w:val="0"/>
          <w:lang w:val="zh-CN"/>
        </w:rPr>
        <w:t>(HJ2.1-2016)3.3</w:t>
      </w:r>
      <w:r>
        <w:rPr>
          <w:rFonts w:hint="eastAsia"/>
          <w:kern w:val="0"/>
          <w:lang w:val="zh-CN"/>
        </w:rPr>
        <w:t>的相关要求，分析判定建设项目选址选线、规模、性质和工艺路线等与国家和地方有关环境保护法律法规、标准、政策、规范、相关规划、规划环境影响评价结论及审查意见的符合性，并与生态保护红线、环境质量底线、资源利用上线和环境准入负面清单进行对照，作为开展环境影响评价工作的前提和基础。</w:t>
      </w:r>
    </w:p>
    <w:p>
      <w:pPr>
        <w:pStyle w:val="3417"/>
        <w:ind w:firstLine="480"/>
        <w:outlineLvl w:val="0"/>
      </w:pPr>
      <w:r>
        <w:fldChar w:fldCharType="begin"/>
      </w:r>
      <w:r>
        <w:rPr>
          <w:rFonts w:hint="eastAsia"/>
        </w:rPr>
        <w:instrText xml:space="preserve">= 1 \* GB2</w:instrText>
      </w:r>
      <w:r>
        <w:fldChar w:fldCharType="separate"/>
      </w:r>
      <w:bookmarkStart w:id="45" w:name="_Toc13760059"/>
      <w:bookmarkStart w:id="46" w:name="_Toc13582011"/>
      <w:r>
        <w:rPr>
          <w:rFonts w:hint="eastAsia"/>
        </w:rPr>
        <w:t>⑴</w:t>
      </w:r>
      <w:r>
        <w:fldChar w:fldCharType="end"/>
      </w:r>
      <w:r>
        <w:rPr>
          <w:rFonts w:hint="eastAsia"/>
        </w:rPr>
        <w:t>本项目选址、规模、性质、工艺与国家及地方相关法规、标准、政策、规划等的符合性分析</w:t>
      </w:r>
      <w:bookmarkEnd w:id="45"/>
      <w:bookmarkEnd w:id="46"/>
    </w:p>
    <w:p>
      <w:pPr>
        <w:ind w:firstLine="480"/>
        <w:rPr>
          <w:kern w:val="0"/>
          <w:lang w:val="zh-CN"/>
        </w:rPr>
      </w:pPr>
      <w:r>
        <w:rPr>
          <w:rFonts w:hint="eastAsia"/>
          <w:kern w:val="0"/>
          <w:lang w:val="zh-CN"/>
        </w:rPr>
        <w:t>本项目选址位于</w:t>
      </w:r>
      <w:r>
        <w:rPr>
          <w:rFonts w:hint="eastAsia" w:hAnsi="宋体"/>
          <w:szCs w:val="24"/>
        </w:rPr>
        <w:t>内蒙古阿拉善腾格里经济技术开发区</w:t>
      </w:r>
      <w:r>
        <w:rPr>
          <w:rFonts w:hint="eastAsia"/>
          <w:kern w:val="0"/>
          <w:lang w:val="zh-CN"/>
        </w:rPr>
        <w:t>规划的工业用地，且项目选址不在农业保护区、自然保护区、风景名胜区、文物</w:t>
      </w:r>
      <w:r>
        <w:rPr>
          <w:kern w:val="0"/>
          <w:lang w:val="zh-CN"/>
        </w:rPr>
        <w:t>(</w:t>
      </w:r>
      <w:r>
        <w:rPr>
          <w:rFonts w:hint="eastAsia"/>
          <w:kern w:val="0"/>
          <w:lang w:val="zh-CN"/>
        </w:rPr>
        <w:t>考古</w:t>
      </w:r>
      <w:r>
        <w:rPr>
          <w:kern w:val="0"/>
          <w:lang w:val="zh-CN"/>
        </w:rPr>
        <w:t>)</w:t>
      </w:r>
      <w:r>
        <w:rPr>
          <w:rFonts w:hint="eastAsia"/>
          <w:kern w:val="0"/>
          <w:lang w:val="zh-CN"/>
        </w:rPr>
        <w:t>保护区、生活饮用水源保护区、供水远景规划区和其他需要特别保护的区域内。</w:t>
      </w:r>
    </w:p>
    <w:p>
      <w:pPr>
        <w:ind w:firstLine="480"/>
        <w:rPr>
          <w:kern w:val="0"/>
          <w:szCs w:val="28"/>
          <w:lang w:val="zh-CN"/>
        </w:rPr>
      </w:pPr>
      <w:r>
        <w:rPr>
          <w:rFonts w:hint="eastAsia"/>
          <w:kern w:val="0"/>
          <w:lang w:val="zh-CN"/>
        </w:rPr>
        <w:t>根据国家发改委《产业结构调整指导目录</w:t>
      </w:r>
      <w:r>
        <w:rPr>
          <w:kern w:val="0"/>
          <w:lang w:val="zh-CN"/>
        </w:rPr>
        <w:t xml:space="preserve">(2013 </w:t>
      </w:r>
      <w:r>
        <w:rPr>
          <w:rFonts w:hint="eastAsia"/>
          <w:kern w:val="0"/>
          <w:lang w:val="zh-CN"/>
        </w:rPr>
        <w:t>年修正</w:t>
      </w:r>
      <w:r>
        <w:rPr>
          <w:kern w:val="0"/>
          <w:lang w:val="zh-CN"/>
        </w:rPr>
        <w:t>)</w:t>
      </w:r>
      <w:r>
        <w:rPr>
          <w:rFonts w:hint="eastAsia"/>
          <w:kern w:val="0"/>
          <w:lang w:val="zh-CN"/>
        </w:rPr>
        <w:t>》中的“第一类鼓励类”——“三十八环境保护与资源节约综合利用”——“</w:t>
      </w:r>
      <w:r>
        <w:rPr>
          <w:kern w:val="0"/>
          <w:lang w:val="zh-CN"/>
        </w:rPr>
        <w:t>8</w:t>
      </w:r>
      <w:r>
        <w:rPr>
          <w:rFonts w:hint="eastAsia"/>
          <w:kern w:val="0"/>
          <w:lang w:val="zh-CN"/>
        </w:rPr>
        <w:t>、危险废弃物</w:t>
      </w:r>
      <w:r>
        <w:rPr>
          <w:kern w:val="0"/>
          <w:lang w:val="zh-CN"/>
        </w:rPr>
        <w:t>(</w:t>
      </w:r>
      <w:r>
        <w:rPr>
          <w:rFonts w:hint="eastAsia"/>
          <w:kern w:val="0"/>
          <w:lang w:val="zh-CN"/>
        </w:rPr>
        <w:t>放射性废物、核设施退役工程、医疗废物、含重金属废弃物</w:t>
      </w:r>
      <w:r>
        <w:rPr>
          <w:kern w:val="0"/>
          <w:lang w:val="zh-CN"/>
        </w:rPr>
        <w:t>)</w:t>
      </w:r>
      <w:r>
        <w:rPr>
          <w:rFonts w:hint="eastAsia"/>
          <w:kern w:val="0"/>
          <w:lang w:val="zh-CN"/>
        </w:rPr>
        <w:t>安全处置技术设备开发制造及处置中心建设”、“</w:t>
      </w:r>
      <w:r>
        <w:rPr>
          <w:kern w:val="0"/>
          <w:lang w:val="zh-CN"/>
        </w:rPr>
        <w:t>15</w:t>
      </w:r>
      <w:r>
        <w:rPr>
          <w:rFonts w:hint="eastAsia"/>
          <w:kern w:val="0"/>
          <w:lang w:val="zh-CN"/>
        </w:rPr>
        <w:t>、三废综合利用及治理工程”、“</w:t>
      </w:r>
      <w:r>
        <w:rPr>
          <w:kern w:val="0"/>
          <w:lang w:val="zh-CN"/>
        </w:rPr>
        <w:t>20</w:t>
      </w:r>
      <w:r>
        <w:rPr>
          <w:rFonts w:hint="eastAsia"/>
          <w:kern w:val="0"/>
          <w:lang w:val="zh-CN"/>
        </w:rPr>
        <w:t>、城镇垃圾及其他固体废弃物减量化、资源化、无害化处理和综合利用工程”，本项目是危险废物处置中心项目，属于国家产业政策鼓励类建设项目。</w:t>
      </w:r>
    </w:p>
    <w:p>
      <w:pPr>
        <w:ind w:firstLine="480"/>
        <w:rPr>
          <w:kern w:val="0"/>
          <w:szCs w:val="24"/>
          <w:lang w:val="zh-CN"/>
        </w:rPr>
      </w:pPr>
      <w:r>
        <w:rPr>
          <w:rFonts w:hint="eastAsia"/>
          <w:snapToGrid w:val="0"/>
          <w:szCs w:val="24"/>
        </w:rPr>
        <w:t>内蒙古自治区阿拉善腾格里经济技术开发区总体规划环评由内蒙古环科园环境科技有限公司编制，并于</w:t>
      </w:r>
      <w:r>
        <w:rPr>
          <w:snapToGrid w:val="0"/>
          <w:szCs w:val="24"/>
        </w:rPr>
        <w:t>20</w:t>
      </w:r>
      <w:r>
        <w:rPr>
          <w:rFonts w:hint="eastAsia"/>
          <w:snapToGrid w:val="0"/>
          <w:szCs w:val="24"/>
        </w:rPr>
        <w:t>16年</w:t>
      </w:r>
      <w:r>
        <w:rPr>
          <w:snapToGrid w:val="0"/>
          <w:szCs w:val="24"/>
        </w:rPr>
        <w:t>7</w:t>
      </w:r>
      <w:r>
        <w:rPr>
          <w:rFonts w:hint="eastAsia"/>
          <w:snapToGrid w:val="0"/>
          <w:szCs w:val="24"/>
        </w:rPr>
        <w:t>月取得了内蒙古自治区环境保护局文件内环字</w:t>
      </w:r>
      <w:r>
        <w:rPr>
          <w:snapToGrid w:val="0"/>
          <w:szCs w:val="24"/>
        </w:rPr>
        <w:t>(20</w:t>
      </w:r>
      <w:r>
        <w:rPr>
          <w:rFonts w:hint="eastAsia"/>
          <w:snapToGrid w:val="0"/>
          <w:szCs w:val="24"/>
        </w:rPr>
        <w:t>17</w:t>
      </w:r>
      <w:r>
        <w:rPr>
          <w:snapToGrid w:val="0"/>
          <w:szCs w:val="24"/>
        </w:rPr>
        <w:t>)1</w:t>
      </w:r>
      <w:r>
        <w:rPr>
          <w:rFonts w:hint="eastAsia"/>
          <w:snapToGrid w:val="0"/>
          <w:szCs w:val="24"/>
        </w:rPr>
        <w:t>3号《内蒙古自治区环境保护局关于内蒙古自治区阿拉善腾格里经济技术开发区总体规划环境影响报告书审查意见》。根据园区规划环评批复中提出，园区可按照“谁污染、谁治理”及“谁污染、谁付费”相结合原则，引入第三方参与园区企业污染治理和区域污染控制，加强固体废物管理，本项目属于危险废物的减量化、资源化、无害化项目，且属于园区规划的工业用地，可见本项目的建设符合园区的规划及规划环评中的相关内容。</w:t>
      </w:r>
    </w:p>
    <w:p>
      <w:pPr>
        <w:ind w:firstLine="480"/>
        <w:rPr>
          <w:szCs w:val="24"/>
        </w:rPr>
      </w:pPr>
      <w:r>
        <w:rPr>
          <w:rFonts w:hint="eastAsia"/>
          <w:szCs w:val="24"/>
        </w:rPr>
        <w:t>本项目的选址依据危险废物处置场所的选址原则进行确定，应符合《危险废物和医疗废物处置设施建设项目环境影响评价技术原则</w:t>
      </w:r>
      <w:r>
        <w:rPr>
          <w:szCs w:val="24"/>
        </w:rPr>
        <w:t>(</w:t>
      </w:r>
      <w:r>
        <w:rPr>
          <w:rFonts w:hint="eastAsia"/>
          <w:szCs w:val="24"/>
        </w:rPr>
        <w:t>试行</w:t>
      </w:r>
      <w:r>
        <w:rPr>
          <w:szCs w:val="24"/>
        </w:rPr>
        <w:t>)</w:t>
      </w:r>
      <w:r>
        <w:rPr>
          <w:rFonts w:hint="eastAsia"/>
          <w:szCs w:val="24"/>
        </w:rPr>
        <w:t>》</w:t>
      </w:r>
      <w:r>
        <w:rPr>
          <w:szCs w:val="24"/>
        </w:rPr>
        <w:t>(</w:t>
      </w:r>
      <w:r>
        <w:rPr>
          <w:rFonts w:hint="eastAsia"/>
          <w:szCs w:val="24"/>
        </w:rPr>
        <w:t>环发</w:t>
      </w:r>
      <w:r>
        <w:rPr>
          <w:szCs w:val="24"/>
        </w:rPr>
        <w:t>[2004]58</w:t>
      </w:r>
      <w:r>
        <w:rPr>
          <w:rFonts w:hint="eastAsia"/>
          <w:szCs w:val="24"/>
        </w:rPr>
        <w:t>号</w:t>
      </w:r>
      <w:r>
        <w:rPr>
          <w:szCs w:val="24"/>
        </w:rPr>
        <w:t>)</w:t>
      </w:r>
      <w:r>
        <w:rPr>
          <w:rFonts w:hint="eastAsia"/>
          <w:szCs w:val="24"/>
        </w:rPr>
        <w:t>、《危险废物集中焚烧处置工程建设技术规范》</w:t>
      </w:r>
      <w:r>
        <w:rPr>
          <w:szCs w:val="24"/>
        </w:rPr>
        <w:t>(HJ/T176-2005)</w:t>
      </w:r>
      <w:r>
        <w:rPr>
          <w:rFonts w:hint="eastAsia"/>
          <w:szCs w:val="24"/>
        </w:rPr>
        <w:t>、《危险废物填埋污染控制标准》</w:t>
      </w:r>
      <w:r>
        <w:rPr>
          <w:szCs w:val="24"/>
        </w:rPr>
        <w:t>(GB18598-2001)</w:t>
      </w:r>
      <w:r>
        <w:rPr>
          <w:rFonts w:hint="eastAsia"/>
          <w:szCs w:val="24"/>
        </w:rPr>
        <w:t>及其修改单、《危险废物焚烧污染控制标准》</w:t>
      </w:r>
      <w:r>
        <w:rPr>
          <w:szCs w:val="24"/>
        </w:rPr>
        <w:t>(GB18484-2001)</w:t>
      </w:r>
      <w:r>
        <w:rPr>
          <w:rFonts w:hint="eastAsia"/>
          <w:szCs w:val="24"/>
        </w:rPr>
        <w:t>、《危险废物安全填埋工程建设技术要求》</w:t>
      </w:r>
      <w:r>
        <w:rPr>
          <w:szCs w:val="24"/>
        </w:rPr>
        <w:t>(</w:t>
      </w:r>
      <w:r>
        <w:rPr>
          <w:rFonts w:hint="eastAsia"/>
          <w:szCs w:val="24"/>
        </w:rPr>
        <w:t>环发</w:t>
      </w:r>
      <w:r>
        <w:rPr>
          <w:szCs w:val="24"/>
        </w:rPr>
        <w:t>[2004]75</w:t>
      </w:r>
      <w:r>
        <w:rPr>
          <w:rFonts w:hint="eastAsia"/>
          <w:szCs w:val="24"/>
        </w:rPr>
        <w:t>号</w:t>
      </w:r>
      <w:r>
        <w:rPr>
          <w:szCs w:val="24"/>
        </w:rPr>
        <w:t>)</w:t>
      </w:r>
      <w:r>
        <w:rPr>
          <w:rFonts w:hint="eastAsia"/>
          <w:szCs w:val="24"/>
        </w:rPr>
        <w:t>和《危险废物贮存污染控制标准》</w:t>
      </w:r>
      <w:r>
        <w:rPr>
          <w:szCs w:val="24"/>
        </w:rPr>
        <w:t>(GB18597-2001)</w:t>
      </w:r>
      <w:r>
        <w:rPr>
          <w:rFonts w:hint="eastAsia"/>
          <w:szCs w:val="24"/>
        </w:rPr>
        <w:t>及其修改单中关于选址的相关规定。</w:t>
      </w:r>
    </w:p>
    <w:p>
      <w:pPr>
        <w:pStyle w:val="161"/>
        <w:ind w:firstLine="480"/>
        <w:outlineLvl w:val="0"/>
      </w:pPr>
      <w:r>
        <w:fldChar w:fldCharType="begin"/>
      </w:r>
      <w:r>
        <w:rPr>
          <w:rFonts w:hint="eastAsia"/>
        </w:rPr>
        <w:instrText xml:space="preserve">= 2 \* GB2</w:instrText>
      </w:r>
      <w:r>
        <w:fldChar w:fldCharType="separate"/>
      </w:r>
      <w:bookmarkStart w:id="47" w:name="_Toc13582012"/>
      <w:bookmarkStart w:id="48" w:name="_Toc13760060"/>
      <w:r>
        <w:rPr>
          <w:rFonts w:hint="eastAsia"/>
        </w:rPr>
        <w:t>⑵</w:t>
      </w:r>
      <w:r>
        <w:fldChar w:fldCharType="end"/>
      </w:r>
      <w:r>
        <w:rPr>
          <w:rFonts w:hint="eastAsia"/>
        </w:rPr>
        <w:t>与“三线一单”的符合性分析</w:t>
      </w:r>
      <w:bookmarkEnd w:id="47"/>
      <w:bookmarkEnd w:id="48"/>
    </w:p>
    <w:p>
      <w:pPr>
        <w:ind w:firstLine="480"/>
        <w:rPr>
          <w:kern w:val="0"/>
          <w:szCs w:val="20"/>
          <w:lang w:val="zh-CN"/>
        </w:rPr>
      </w:pPr>
      <w:r>
        <w:rPr>
          <w:rFonts w:hint="eastAsia"/>
          <w:szCs w:val="24"/>
        </w:rPr>
        <w:t>项目改扩建仍然位于内蒙古</w:t>
      </w:r>
      <w:r>
        <w:rPr>
          <w:rFonts w:hint="eastAsia"/>
          <w:snapToGrid w:val="0"/>
          <w:szCs w:val="24"/>
        </w:rPr>
        <w:t>阿拉善腾格里经济技术开发区</w:t>
      </w:r>
      <w:r>
        <w:rPr>
          <w:rFonts w:hint="eastAsia"/>
          <w:kern w:val="0"/>
          <w:lang w:val="zh-CN"/>
        </w:rPr>
        <w:t>的工业用地，且项目选址周边无农业保护区、自然保护区、风景名胜区、文物</w:t>
      </w:r>
      <w:r>
        <w:rPr>
          <w:kern w:val="0"/>
          <w:lang w:val="zh-CN"/>
        </w:rPr>
        <w:t>(</w:t>
      </w:r>
      <w:r>
        <w:rPr>
          <w:rFonts w:hint="eastAsia"/>
          <w:kern w:val="0"/>
          <w:lang w:val="zh-CN"/>
        </w:rPr>
        <w:t>考古</w:t>
      </w:r>
      <w:r>
        <w:rPr>
          <w:kern w:val="0"/>
          <w:lang w:val="zh-CN"/>
        </w:rPr>
        <w:t>)</w:t>
      </w:r>
      <w:r>
        <w:rPr>
          <w:rFonts w:hint="eastAsia"/>
          <w:kern w:val="0"/>
          <w:lang w:val="zh-CN"/>
        </w:rPr>
        <w:t>保护区、生活饮用水源保护区、供水远景规划区和其他需要特别保护的重要生态敏感区域内。因此本项目选址不涉及生态保护红线。</w:t>
      </w:r>
    </w:p>
    <w:p>
      <w:pPr>
        <w:ind w:firstLine="480"/>
        <w:rPr>
          <w:lang w:val="zh-CN"/>
        </w:rPr>
      </w:pPr>
      <w:r>
        <w:rPr>
          <w:rFonts w:hint="eastAsia"/>
          <w:szCs w:val="24"/>
        </w:rPr>
        <w:t>根据本项目环境现状监测结果，项目区大气环境、土壤环境、声环境及地下水环境基本满足《环境空气质量标准》（GB3095-2012）二级标准、《土壤环境质量建设用地土壤污染风险管控标准（试行）》（GB36600-2018）第二类用地标准、</w:t>
      </w:r>
      <w:r>
        <w:rPr>
          <w:rFonts w:hint="eastAsia"/>
          <w:lang w:val="zh-CN"/>
        </w:rPr>
        <w:t>《声环境质量标准》</w:t>
      </w:r>
      <w:r>
        <w:rPr>
          <w:lang w:val="zh-CN"/>
        </w:rPr>
        <w:t>(GB3096-2008)</w:t>
      </w:r>
      <w:r>
        <w:rPr>
          <w:rFonts w:hint="eastAsia"/>
          <w:lang w:val="zh-CN"/>
        </w:rPr>
        <w:t>中</w:t>
      </w:r>
      <w:r>
        <w:rPr>
          <w:lang w:val="zh-CN"/>
        </w:rPr>
        <w:t>3</w:t>
      </w:r>
      <w:r>
        <w:rPr>
          <w:rFonts w:hint="eastAsia"/>
          <w:lang w:val="zh-CN"/>
        </w:rPr>
        <w:t>类标准与《地下水质量标准》</w:t>
      </w:r>
      <w:r>
        <w:rPr>
          <w:lang w:val="zh-CN"/>
        </w:rPr>
        <w:t>(GB/T14848-2017)</w:t>
      </w:r>
      <w:r>
        <w:rPr>
          <w:rFonts w:hint="eastAsia" w:ascii="宋体"/>
          <w:lang w:val="zh-CN"/>
        </w:rPr>
        <w:t>Ⅲ</w:t>
      </w:r>
      <w:r>
        <w:rPr>
          <w:rFonts w:hint="eastAsia"/>
          <w:lang w:val="zh-CN"/>
        </w:rPr>
        <w:t>类标准中的要求；项目改扩建后废水全部回用，固废全部在厂内得到妥善处置，环境空气影响预测分析显示变更后各预测因子落地浓度均未出现超标现象，声环境影响分析预测结果显示改扩建后各厂界噪声排放均达到</w:t>
      </w:r>
      <w:r>
        <w:rPr>
          <w:rFonts w:hint="eastAsia"/>
        </w:rPr>
        <w:t>《工业企业厂界环境噪声排放标准》</w:t>
      </w:r>
      <w:r>
        <w:t>3</w:t>
      </w:r>
      <w:r>
        <w:rPr>
          <w:rFonts w:hint="eastAsia"/>
        </w:rPr>
        <w:t>类区标准要求</w:t>
      </w:r>
      <w:r>
        <w:rPr>
          <w:rFonts w:hint="eastAsia"/>
          <w:lang w:val="zh-CN"/>
        </w:rPr>
        <w:t>，对周边环境影响较小，可见符合环境质量底线的要求。</w:t>
      </w:r>
    </w:p>
    <w:p>
      <w:pPr>
        <w:ind w:firstLine="480"/>
        <w:rPr>
          <w:szCs w:val="24"/>
        </w:rPr>
      </w:pPr>
      <w:r>
        <w:rPr>
          <w:rFonts w:hint="eastAsia"/>
          <w:szCs w:val="24"/>
        </w:rPr>
        <w:t>本项目在运行过程中需要消耗一定量的水、电及柴油，均在园区及周边地区的供应范围内，且消耗量相对于区域资源总量较少，项目建设满足区域资源利用上限。</w:t>
      </w:r>
    </w:p>
    <w:p>
      <w:pPr>
        <w:ind w:firstLine="480"/>
        <w:rPr>
          <w:szCs w:val="24"/>
        </w:rPr>
      </w:pPr>
      <w:r>
        <w:rPr>
          <w:rFonts w:hint="eastAsia"/>
          <w:szCs w:val="24"/>
        </w:rPr>
        <w:t>本项目位于内蒙古</w:t>
      </w:r>
      <w:r>
        <w:rPr>
          <w:rFonts w:hint="eastAsia"/>
          <w:snapToGrid w:val="0"/>
          <w:szCs w:val="24"/>
        </w:rPr>
        <w:t>阿拉善腾格里经济技术开发区</w:t>
      </w:r>
      <w:r>
        <w:rPr>
          <w:rFonts w:hint="eastAsia"/>
          <w:szCs w:val="24"/>
        </w:rPr>
        <w:t>内，根据园区规划环评的相关内容，项目所在区域不在环境准入负面清单范围内。</w:t>
      </w:r>
    </w:p>
    <w:p>
      <w:pPr>
        <w:ind w:firstLine="480"/>
        <w:rPr>
          <w:rFonts w:asciiTheme="minorEastAsia" w:hAnsiTheme="minorEastAsia"/>
          <w:szCs w:val="24"/>
        </w:rPr>
      </w:pPr>
      <w:r>
        <w:rPr>
          <w:rFonts w:hint="eastAsia"/>
          <w:szCs w:val="24"/>
        </w:rPr>
        <w:t>综上所述，本项目</w:t>
      </w:r>
      <w:r>
        <w:rPr>
          <w:rFonts w:hint="eastAsia"/>
          <w:kern w:val="0"/>
          <w:lang w:val="zh-CN"/>
        </w:rPr>
        <w:t>选址、规模、性质和工艺路线等与国家和地方有关环境保护法律法规、标准、政策、规范、规划环境影响评价结论及审查意见等相符合，亦符合</w:t>
      </w:r>
      <w:r>
        <w:rPr>
          <w:rFonts w:hint="eastAsia"/>
          <w:szCs w:val="24"/>
        </w:rPr>
        <w:t>“三线一单”的相关要求</w:t>
      </w:r>
      <w:r>
        <w:rPr>
          <w:rFonts w:hint="eastAsia"/>
          <w:kern w:val="0"/>
          <w:lang w:val="zh-CN"/>
        </w:rPr>
        <w:t>，可以开展下一步的环境影响评价工作。</w:t>
      </w:r>
    </w:p>
    <w:p>
      <w:pPr>
        <w:pStyle w:val="4"/>
      </w:pPr>
      <w:bookmarkStart w:id="49" w:name="_Toc3282102"/>
      <w:bookmarkStart w:id="50" w:name="_Toc13760061"/>
      <w:r>
        <w:rPr>
          <w:rFonts w:hint="eastAsia"/>
        </w:rPr>
        <w:t>1.4关注的主要环境问题</w:t>
      </w:r>
      <w:bookmarkEnd w:id="49"/>
      <w:bookmarkEnd w:id="50"/>
    </w:p>
    <w:p>
      <w:pPr>
        <w:ind w:firstLine="480"/>
      </w:pPr>
      <w:bookmarkStart w:id="51" w:name="_Toc3282103"/>
      <w:r>
        <w:rPr>
          <w:rFonts w:hint="eastAsia"/>
        </w:rPr>
        <w:t>本次环评关注的主要环境问题为：</w:t>
      </w:r>
    </w:p>
    <w:p>
      <w:pPr>
        <w:ind w:firstLine="480"/>
      </w:pPr>
      <w:r>
        <w:t>(1)</w:t>
      </w:r>
      <w:r>
        <w:rPr>
          <w:rFonts w:hint="eastAsia"/>
        </w:rPr>
        <w:t>论证改扩建后焚烧系统尾气治理措施的合理性和可行性，确保焚烧系统废气稳定达标排放。</w:t>
      </w:r>
    </w:p>
    <w:p>
      <w:pPr>
        <w:ind w:firstLine="480"/>
      </w:pPr>
      <w:r>
        <w:t>(2)</w:t>
      </w:r>
      <w:r>
        <w:rPr>
          <w:rFonts w:hint="eastAsia"/>
        </w:rPr>
        <w:t>关注改扩建后全厂废水处理工艺的合理性、可行性。</w:t>
      </w:r>
    </w:p>
    <w:p>
      <w:pPr>
        <w:pStyle w:val="4"/>
      </w:pPr>
      <w:bookmarkStart w:id="52" w:name="_Toc13760062"/>
      <w:r>
        <w:rPr>
          <w:rFonts w:hint="eastAsia"/>
        </w:rPr>
        <w:t>1.5主要结论</w:t>
      </w:r>
      <w:bookmarkEnd w:id="51"/>
      <w:bookmarkEnd w:id="52"/>
    </w:p>
    <w:p>
      <w:pPr>
        <w:ind w:firstLine="480"/>
      </w:pPr>
      <w:r>
        <w:rPr>
          <w:rFonts w:hint="eastAsia"/>
        </w:rPr>
        <w:t>本次项目改扩建是针对全厂总平面布置、危废暂存方案、危废物化、固化和焚烧处理系统规模扩大、填埋场设置方案、厂区污水处理方案进行调整。其他内容与原环评报告内容保持一致，未发生变化。</w:t>
      </w:r>
    </w:p>
    <w:p>
      <w:pPr>
        <w:ind w:firstLine="480"/>
        <w:rPr>
          <w:rFonts w:hAnsi="Courier New"/>
        </w:rPr>
      </w:pPr>
      <w:r>
        <w:rPr>
          <w:rFonts w:hint="eastAsia"/>
        </w:rPr>
        <w:t>经分析，改扩建后全厂废气污染物排放量有所增加，经预测，增加幅度较小，落地浓度未出现超标现象。</w:t>
      </w:r>
    </w:p>
    <w:p>
      <w:pPr>
        <w:ind w:firstLine="480"/>
      </w:pPr>
      <w:r>
        <w:rPr>
          <w:rFonts w:hint="eastAsia"/>
        </w:rPr>
        <w:t>改扩建后的全厂废水处理工艺更加可靠，进一步确保了废水回用及全厂废水零排放的可行性，不会新增对地表水的不利影响。</w:t>
      </w:r>
    </w:p>
    <w:p>
      <w:pPr>
        <w:ind w:firstLine="480"/>
      </w:pPr>
      <w:r>
        <w:rPr>
          <w:rFonts w:hint="eastAsia"/>
        </w:rPr>
        <w:t>改扩建后的全厂总平图更加合理，在采取隔声、减振等措施后，厂界噪声仍可达标。</w:t>
      </w:r>
    </w:p>
    <w:p>
      <w:pPr>
        <w:ind w:firstLine="480"/>
      </w:pPr>
      <w:r>
        <w:rPr>
          <w:rFonts w:hint="eastAsia"/>
        </w:rPr>
        <w:t>改扩建后全厂危废的产生量有所增加，仍可由本项目的相关处置措施进行处理，不外送。</w:t>
      </w:r>
    </w:p>
    <w:p>
      <w:pPr>
        <w:ind w:firstLine="480"/>
      </w:pPr>
      <w:r>
        <w:rPr>
          <w:rFonts w:hint="eastAsia"/>
        </w:rPr>
        <w:t>在项目规模扩大的情况下，项目环保投资有所增加。</w:t>
      </w:r>
    </w:p>
    <w:p>
      <w:pPr>
        <w:ind w:firstLine="480"/>
        <w:rPr>
          <w:rFonts w:asciiTheme="minorEastAsia" w:hAnsiTheme="minorEastAsia"/>
          <w:szCs w:val="24"/>
        </w:rPr>
      </w:pPr>
      <w:r>
        <w:rPr>
          <w:rFonts w:hint="eastAsia"/>
        </w:rPr>
        <w:t>总的来说，在业主提供的调整方案及本报告提出的各项环保措施充分落实到位的前提下，阿拉善盟绿能环保科技有限公司固体废物处理处置中心</w:t>
      </w:r>
      <w:r>
        <w:rPr>
          <w:rFonts w:hint="eastAsia" w:hAnsi="宋体"/>
          <w:bCs/>
        </w:rPr>
        <w:t>危险废弃物处置中心改扩建</w:t>
      </w:r>
      <w:r>
        <w:rPr>
          <w:rFonts w:hint="eastAsia"/>
        </w:rPr>
        <w:t>部分方案调整后对区域环境影响仍在可接受范围内，改扩建工程从环保角度讲是可行的。</w:t>
      </w: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pPr>
    </w:p>
    <w:p>
      <w:pPr>
        <w:ind w:firstLine="480"/>
        <w:rPr>
          <w:rFonts w:asciiTheme="minorEastAsia" w:hAnsiTheme="minorEastAsia"/>
          <w:szCs w:val="24"/>
        </w:rPr>
        <w:sectPr>
          <w:pgSz w:w="11906" w:h="16838"/>
          <w:pgMar w:top="1418" w:right="1134" w:bottom="1418" w:left="1134" w:header="851" w:footer="851" w:gutter="0"/>
          <w:cols w:space="425" w:num="1"/>
          <w:docGrid w:type="lines" w:linePitch="326" w:charSpace="0"/>
        </w:sectPr>
      </w:pPr>
    </w:p>
    <w:p>
      <w:pPr>
        <w:pStyle w:val="3"/>
      </w:pPr>
      <w:bookmarkStart w:id="53" w:name="_Toc3282104"/>
      <w:bookmarkStart w:id="54" w:name="_Toc13760063"/>
      <w:r>
        <w:rPr>
          <w:rFonts w:hint="eastAsia"/>
        </w:rPr>
        <w:t>2.总则</w:t>
      </w:r>
      <w:bookmarkEnd w:id="53"/>
      <w:bookmarkEnd w:id="54"/>
    </w:p>
    <w:p>
      <w:pPr>
        <w:pStyle w:val="4"/>
      </w:pPr>
      <w:bookmarkStart w:id="55" w:name="_Toc3282105"/>
      <w:bookmarkStart w:id="56" w:name="_Toc13760064"/>
      <w:r>
        <w:rPr>
          <w:rFonts w:hint="eastAsia"/>
        </w:rPr>
        <w:t>2.1评价目的</w:t>
      </w:r>
      <w:bookmarkEnd w:id="55"/>
      <w:r>
        <w:rPr>
          <w:rFonts w:hint="eastAsia"/>
        </w:rPr>
        <w:t>和指导思想</w:t>
      </w:r>
      <w:bookmarkEnd w:id="56"/>
    </w:p>
    <w:p>
      <w:pPr>
        <w:pStyle w:val="5"/>
      </w:pPr>
      <w:bookmarkStart w:id="57" w:name="_Toc13760065"/>
      <w:r>
        <w:rPr>
          <w:rFonts w:hint="eastAsia"/>
        </w:rPr>
        <w:t>2.1.1评价目的</w:t>
      </w:r>
      <w:bookmarkEnd w:id="57"/>
    </w:p>
    <w:p>
      <w:pPr>
        <w:ind w:firstLine="480"/>
        <w:rPr>
          <w:lang w:val="zh-CN"/>
        </w:rPr>
      </w:pPr>
      <w:r>
        <w:rPr>
          <w:rFonts w:hint="eastAsia"/>
          <w:lang w:val="zh-CN"/>
        </w:rPr>
        <w:t>本次环评主要针对原项目改扩建部分进行叙述及评价。除此之外，本项目其他未变更，或未受到本次变更影响的部分在本次环评中不再进行赘述。本次评价仅针对扩建工程及扩建后后全厂对环境造成的影响进行评价，比较其与变更前污染物排放的增减情况及对环境影响的变化，改扩建后环保设施能否满足需求提出科学建议。</w:t>
      </w:r>
    </w:p>
    <w:p>
      <w:pPr>
        <w:pStyle w:val="5"/>
      </w:pPr>
      <w:bookmarkStart w:id="58" w:name="_Toc503368836"/>
      <w:bookmarkStart w:id="59" w:name="_Toc13760066"/>
      <w:r>
        <w:t>2.1.2</w:t>
      </w:r>
      <w:r>
        <w:rPr>
          <w:rFonts w:hint="eastAsia"/>
        </w:rPr>
        <w:t>评价原则</w:t>
      </w:r>
      <w:bookmarkEnd w:id="58"/>
      <w:bookmarkEnd w:id="59"/>
    </w:p>
    <w:p>
      <w:pPr>
        <w:ind w:firstLine="480"/>
        <w:rPr>
          <w:szCs w:val="20"/>
          <w:lang w:val="zh-CN"/>
        </w:rPr>
      </w:pPr>
      <w:r>
        <w:rPr>
          <w:rFonts w:hint="eastAsia"/>
          <w:lang w:val="zh-CN"/>
        </w:rPr>
        <w:t>突出环境影响评价的预防作用，坚持保护和改善环境质量。</w:t>
      </w:r>
    </w:p>
    <w:p>
      <w:pPr>
        <w:pStyle w:val="161"/>
        <w:ind w:firstLine="480"/>
        <w:outlineLvl w:val="0"/>
      </w:pPr>
      <w:r>
        <w:fldChar w:fldCharType="begin"/>
      </w:r>
      <w:r>
        <w:rPr>
          <w:rFonts w:hint="eastAsia"/>
        </w:rPr>
        <w:instrText xml:space="preserve">= 1 \* GB2</w:instrText>
      </w:r>
      <w:r>
        <w:fldChar w:fldCharType="separate"/>
      </w:r>
      <w:bookmarkStart w:id="60" w:name="_Toc13582019"/>
      <w:bookmarkStart w:id="61" w:name="_Toc13760067"/>
      <w:r>
        <w:rPr>
          <w:rFonts w:hint="eastAsia"/>
        </w:rPr>
        <w:t>⑴</w:t>
      </w:r>
      <w:r>
        <w:fldChar w:fldCharType="end"/>
      </w:r>
      <w:r>
        <w:rPr>
          <w:rFonts w:hint="eastAsia"/>
        </w:rPr>
        <w:t>依法评价</w:t>
      </w:r>
      <w:bookmarkEnd w:id="60"/>
      <w:bookmarkEnd w:id="61"/>
    </w:p>
    <w:p>
      <w:pPr>
        <w:ind w:firstLine="480"/>
        <w:rPr>
          <w:lang w:val="zh-CN"/>
        </w:rPr>
      </w:pPr>
      <w:r>
        <w:rPr>
          <w:rFonts w:hint="eastAsia"/>
          <w:lang w:val="zh-CN"/>
        </w:rPr>
        <w:t>贯彻执行我国环境保护相关法律法规、标准、政策和规划等，优化项目建设，服务环境管理。</w:t>
      </w:r>
    </w:p>
    <w:p>
      <w:pPr>
        <w:pStyle w:val="161"/>
        <w:ind w:firstLine="480"/>
        <w:outlineLvl w:val="0"/>
      </w:pPr>
      <w:r>
        <w:fldChar w:fldCharType="begin"/>
      </w:r>
      <w:r>
        <w:rPr>
          <w:rFonts w:hint="eastAsia"/>
        </w:rPr>
        <w:instrText xml:space="preserve">= 2 \* GB2</w:instrText>
      </w:r>
      <w:r>
        <w:fldChar w:fldCharType="separate"/>
      </w:r>
      <w:bookmarkStart w:id="62" w:name="_Toc13760068"/>
      <w:bookmarkStart w:id="63" w:name="_Toc13582020"/>
      <w:r>
        <w:rPr>
          <w:rFonts w:hint="eastAsia"/>
        </w:rPr>
        <w:t>⑵</w:t>
      </w:r>
      <w:r>
        <w:fldChar w:fldCharType="end"/>
      </w:r>
      <w:r>
        <w:rPr>
          <w:rFonts w:hint="eastAsia"/>
        </w:rPr>
        <w:t>科学评价</w:t>
      </w:r>
      <w:bookmarkEnd w:id="62"/>
      <w:bookmarkEnd w:id="63"/>
    </w:p>
    <w:p>
      <w:pPr>
        <w:ind w:firstLine="480"/>
        <w:rPr>
          <w:lang w:val="zh-CN"/>
        </w:rPr>
      </w:pPr>
      <w:r>
        <w:rPr>
          <w:rFonts w:hint="eastAsia"/>
          <w:lang w:val="zh-CN"/>
        </w:rPr>
        <w:t>规范环境影响的评价方法，科学分析项目建设对环境质量得到影响。</w:t>
      </w:r>
    </w:p>
    <w:p>
      <w:pPr>
        <w:pStyle w:val="161"/>
        <w:ind w:firstLine="480"/>
        <w:outlineLvl w:val="0"/>
      </w:pPr>
      <w:r>
        <w:fldChar w:fldCharType="begin"/>
      </w:r>
      <w:r>
        <w:rPr>
          <w:rFonts w:hint="eastAsia"/>
        </w:rPr>
        <w:instrText xml:space="preserve">= 3 \* GB2</w:instrText>
      </w:r>
      <w:r>
        <w:fldChar w:fldCharType="separate"/>
      </w:r>
      <w:bookmarkStart w:id="64" w:name="_Toc13760069"/>
      <w:bookmarkStart w:id="65" w:name="_Toc13582021"/>
      <w:r>
        <w:rPr>
          <w:rFonts w:hint="eastAsia"/>
        </w:rPr>
        <w:t>⑶</w:t>
      </w:r>
      <w:r>
        <w:fldChar w:fldCharType="end"/>
      </w:r>
      <w:r>
        <w:rPr>
          <w:rFonts w:hint="eastAsia"/>
        </w:rPr>
        <w:t>环境因素分析原则</w:t>
      </w:r>
      <w:bookmarkEnd w:id="64"/>
      <w:bookmarkEnd w:id="65"/>
    </w:p>
    <w:p>
      <w:pPr>
        <w:ind w:firstLine="480"/>
        <w:rPr>
          <w:lang w:val="zh-CN"/>
        </w:rPr>
      </w:pPr>
      <w:r>
        <w:rPr>
          <w:rFonts w:hint="eastAsia"/>
          <w:lang w:val="zh-CN"/>
        </w:rPr>
        <w:t>随着本项目的开工建设与投入运行，必然对环境产生影响，受到影响的主要环境因素有大气环境、地下水环境、声环境和生态环境等，因此，本报告对这些环境因素进行评价。</w:t>
      </w:r>
    </w:p>
    <w:p>
      <w:pPr>
        <w:pStyle w:val="161"/>
        <w:ind w:firstLine="480"/>
        <w:outlineLvl w:val="0"/>
      </w:pPr>
      <w:r>
        <w:fldChar w:fldCharType="begin"/>
      </w:r>
      <w:r>
        <w:rPr>
          <w:rFonts w:hint="eastAsia"/>
        </w:rPr>
        <w:instrText xml:space="preserve">= 4 \* GB2</w:instrText>
      </w:r>
      <w:r>
        <w:fldChar w:fldCharType="separate"/>
      </w:r>
      <w:bookmarkStart w:id="66" w:name="_Toc13582022"/>
      <w:bookmarkStart w:id="67" w:name="_Toc13760070"/>
      <w:r>
        <w:rPr>
          <w:rFonts w:hint="eastAsia"/>
        </w:rPr>
        <w:t>⑷</w:t>
      </w:r>
      <w:r>
        <w:fldChar w:fldCharType="end"/>
      </w:r>
      <w:r>
        <w:rPr>
          <w:rFonts w:hint="eastAsia"/>
        </w:rPr>
        <w:t>“突出重点”原则</w:t>
      </w:r>
      <w:bookmarkEnd w:id="66"/>
      <w:bookmarkEnd w:id="67"/>
    </w:p>
    <w:p>
      <w:pPr>
        <w:ind w:firstLine="480"/>
        <w:rPr>
          <w:lang w:val="zh-CN"/>
        </w:rPr>
      </w:pPr>
      <w:r>
        <w:rPr>
          <w:rFonts w:hint="eastAsia"/>
          <w:lang w:val="zh-CN"/>
        </w:rPr>
        <w:t>以大气环境影响、地下水环境影响评价、环境风险分析为重点，力争做到评价工作重点突出、内容具体、真实客观，最终得出的环评结论明确可信，提出的污染防治措施具有可操作性和实用性。</w:t>
      </w:r>
    </w:p>
    <w:p>
      <w:pPr>
        <w:pStyle w:val="5"/>
      </w:pPr>
      <w:bookmarkStart w:id="68" w:name="_Toc13760071"/>
      <w:bookmarkStart w:id="69" w:name="_Toc532546022"/>
      <w:r>
        <w:t>2.1.</w:t>
      </w:r>
      <w:r>
        <w:rPr>
          <w:rFonts w:hint="eastAsia"/>
        </w:rPr>
        <w:t>3指导思想</w:t>
      </w:r>
      <w:bookmarkEnd w:id="68"/>
      <w:bookmarkEnd w:id="69"/>
    </w:p>
    <w:p>
      <w:pPr>
        <w:autoSpaceDE w:val="0"/>
        <w:autoSpaceDN w:val="0"/>
        <w:adjustRightInd w:val="0"/>
        <w:snapToGrid w:val="0"/>
        <w:ind w:firstLine="480"/>
        <w:rPr>
          <w:rFonts w:hAnsi="宋体"/>
          <w:color w:val="000000"/>
          <w:szCs w:val="20"/>
          <w:lang w:val="zh-CN"/>
        </w:rPr>
      </w:pPr>
      <w:r>
        <w:rPr>
          <w:rFonts w:hAnsi="宋体"/>
          <w:color w:val="000000"/>
          <w:lang w:val="zh-CN"/>
        </w:rPr>
        <w:fldChar w:fldCharType="begin"/>
      </w:r>
      <w:r>
        <w:rPr>
          <w:rFonts w:hint="eastAsia" w:hAnsi="宋体"/>
          <w:color w:val="000000"/>
          <w:lang w:val="zh-CN"/>
        </w:rPr>
        <w:instrText xml:space="preserve">= 1 \* GB2</w:instrText>
      </w:r>
      <w:r>
        <w:rPr>
          <w:rFonts w:hAnsi="宋体"/>
          <w:color w:val="000000"/>
          <w:lang w:val="zh-CN"/>
        </w:rPr>
        <w:fldChar w:fldCharType="separate"/>
      </w:r>
      <w:r>
        <w:rPr>
          <w:rFonts w:hint="eastAsia" w:hAnsi="宋体"/>
          <w:color w:val="000000"/>
          <w:lang w:val="zh-CN"/>
        </w:rPr>
        <w:t>⑴</w:t>
      </w:r>
      <w:r>
        <w:rPr>
          <w:rFonts w:hAnsi="宋体"/>
          <w:color w:val="000000"/>
          <w:lang w:val="zh-CN"/>
        </w:rPr>
        <w:fldChar w:fldCharType="end"/>
      </w:r>
      <w:r>
        <w:rPr>
          <w:rFonts w:hint="eastAsia" w:hAnsi="宋体"/>
          <w:color w:val="000000"/>
          <w:lang w:val="zh-CN"/>
        </w:rPr>
        <w:t>认真执行国家有关产业政策，环保法规和标准及环境影响评价技术导则等有关规定。</w:t>
      </w:r>
    </w:p>
    <w:p>
      <w:pPr>
        <w:autoSpaceDE w:val="0"/>
        <w:autoSpaceDN w:val="0"/>
        <w:adjustRightInd w:val="0"/>
        <w:snapToGrid w:val="0"/>
        <w:ind w:firstLine="480"/>
        <w:rPr>
          <w:rFonts w:hAnsi="宋体"/>
          <w:color w:val="000000"/>
          <w:lang w:val="zh-CN"/>
        </w:rPr>
      </w:pPr>
      <w:r>
        <w:rPr>
          <w:rFonts w:hAnsi="宋体"/>
          <w:color w:val="000000"/>
          <w:lang w:val="zh-CN"/>
        </w:rPr>
        <w:fldChar w:fldCharType="begin"/>
      </w:r>
      <w:r>
        <w:rPr>
          <w:rFonts w:hint="eastAsia" w:hAnsi="宋体"/>
          <w:color w:val="000000"/>
          <w:lang w:val="zh-CN"/>
        </w:rPr>
        <w:instrText xml:space="preserve">= 2 \* GB2</w:instrText>
      </w:r>
      <w:r>
        <w:rPr>
          <w:rFonts w:hAnsi="宋体"/>
          <w:color w:val="000000"/>
          <w:lang w:val="zh-CN"/>
        </w:rPr>
        <w:fldChar w:fldCharType="separate"/>
      </w:r>
      <w:r>
        <w:rPr>
          <w:rFonts w:hint="eastAsia" w:hAnsi="宋体"/>
          <w:color w:val="000000"/>
          <w:lang w:val="zh-CN"/>
        </w:rPr>
        <w:t>⑵</w:t>
      </w:r>
      <w:r>
        <w:rPr>
          <w:rFonts w:hAnsi="宋体"/>
          <w:color w:val="000000"/>
          <w:lang w:val="zh-CN"/>
        </w:rPr>
        <w:fldChar w:fldCharType="end"/>
      </w:r>
      <w:r>
        <w:rPr>
          <w:rFonts w:hint="eastAsia" w:hAnsi="宋体"/>
          <w:color w:val="000000"/>
          <w:lang w:val="zh-CN"/>
        </w:rPr>
        <w:t>将“达标排放”、“节能减排”、和“可持续发展”的原则贯彻于整个环评工作的始终，各专题的工作以此为原则并予以落实。</w:t>
      </w:r>
    </w:p>
    <w:p>
      <w:pPr>
        <w:autoSpaceDE w:val="0"/>
        <w:autoSpaceDN w:val="0"/>
        <w:adjustRightInd w:val="0"/>
        <w:snapToGrid w:val="0"/>
        <w:ind w:firstLine="480"/>
        <w:rPr>
          <w:rFonts w:asciiTheme="minorEastAsia" w:hAnsiTheme="minorEastAsia" w:eastAsiaTheme="minorEastAsia"/>
          <w:szCs w:val="24"/>
        </w:rPr>
      </w:pPr>
      <w:r>
        <w:rPr>
          <w:rFonts w:hAnsi="宋体"/>
          <w:color w:val="000000"/>
          <w:lang w:val="zh-CN"/>
        </w:rPr>
        <w:fldChar w:fldCharType="begin"/>
      </w:r>
      <w:r>
        <w:rPr>
          <w:rFonts w:hint="eastAsia" w:hAnsi="宋体"/>
          <w:color w:val="000000"/>
          <w:lang w:val="zh-CN"/>
        </w:rPr>
        <w:instrText xml:space="preserve">= 3 \* GB2</w:instrText>
      </w:r>
      <w:r>
        <w:rPr>
          <w:rFonts w:hAnsi="宋体"/>
          <w:color w:val="000000"/>
          <w:lang w:val="zh-CN"/>
        </w:rPr>
        <w:fldChar w:fldCharType="separate"/>
      </w:r>
      <w:r>
        <w:rPr>
          <w:rFonts w:hint="eastAsia" w:hAnsi="宋体"/>
          <w:color w:val="000000"/>
          <w:lang w:val="zh-CN"/>
        </w:rPr>
        <w:t>⑶</w:t>
      </w:r>
      <w:r>
        <w:rPr>
          <w:rFonts w:hAnsi="宋体"/>
          <w:color w:val="000000"/>
          <w:lang w:val="zh-CN"/>
        </w:rPr>
        <w:fldChar w:fldCharType="end"/>
      </w:r>
      <w:r>
        <w:rPr>
          <w:rFonts w:hint="eastAsia" w:hAnsi="宋体"/>
          <w:color w:val="000000"/>
          <w:lang w:val="zh-CN"/>
        </w:rPr>
        <w:t>力争做到评价工作重点突出、内容具体、真实客观，从经济发展和保护环境的目的出发，提出切实可行的污染防治对策和建议，使做到社会效益、经济效益和环境效益的统一。</w:t>
      </w:r>
    </w:p>
    <w:p>
      <w:pPr>
        <w:pStyle w:val="4"/>
      </w:pPr>
      <w:bookmarkStart w:id="70" w:name="_Toc3282106"/>
      <w:bookmarkStart w:id="71" w:name="_Toc13760072"/>
      <w:r>
        <w:rPr>
          <w:rFonts w:hint="eastAsia"/>
        </w:rPr>
        <w:t>2.2编制依据</w:t>
      </w:r>
      <w:bookmarkEnd w:id="70"/>
      <w:bookmarkEnd w:id="71"/>
    </w:p>
    <w:p>
      <w:pPr>
        <w:pStyle w:val="5"/>
        <w:rPr>
          <w:szCs w:val="24"/>
        </w:rPr>
      </w:pPr>
      <w:bookmarkStart w:id="72" w:name="_Toc13760073"/>
      <w:bookmarkStart w:id="73" w:name="_Toc3282107"/>
      <w:r>
        <w:rPr>
          <w:rFonts w:hint="eastAsia"/>
        </w:rPr>
        <w:t>2.2.1法律法规依据</w:t>
      </w:r>
      <w:bookmarkEnd w:id="72"/>
      <w:bookmarkEnd w:id="73"/>
    </w:p>
    <w:p>
      <w:pPr>
        <w:pStyle w:val="159"/>
        <w:numPr>
          <w:ilvl w:val="0"/>
          <w:numId w:val="1"/>
        </w:numPr>
        <w:ind w:left="851" w:hanging="425" w:firstLineChars="0"/>
        <w:rPr>
          <w:rFonts w:cs="Times New Roman"/>
          <w:kern w:val="0"/>
        </w:rPr>
      </w:pPr>
      <w:r>
        <w:rPr>
          <w:rFonts w:cs="Times New Roman"/>
          <w:kern w:val="0"/>
        </w:rPr>
        <w:t>《中华人民共和国环境保护法》，</w:t>
      </w:r>
      <w:r>
        <w:rPr>
          <w:rFonts w:eastAsia="TimesNewRomanPSMT" w:cs="Times New Roman"/>
          <w:kern w:val="0"/>
        </w:rPr>
        <w:t>2015</w:t>
      </w:r>
      <w:r>
        <w:rPr>
          <w:rFonts w:cs="Times New Roman"/>
          <w:kern w:val="0"/>
        </w:rPr>
        <w:t>年</w:t>
      </w:r>
      <w:r>
        <w:rPr>
          <w:rFonts w:eastAsia="TimesNewRomanPSMT" w:cs="Times New Roman"/>
          <w:kern w:val="0"/>
        </w:rPr>
        <w:t>1</w:t>
      </w:r>
      <w:r>
        <w:rPr>
          <w:rFonts w:cs="Times New Roman"/>
          <w:kern w:val="0"/>
        </w:rPr>
        <w:t>月</w:t>
      </w:r>
      <w:r>
        <w:rPr>
          <w:rFonts w:eastAsia="TimesNewRomanPSMT" w:cs="Times New Roman"/>
          <w:kern w:val="0"/>
        </w:rPr>
        <w:t>1</w:t>
      </w:r>
      <w:r>
        <w:rPr>
          <w:rFonts w:cs="Times New Roman"/>
          <w:kern w:val="0"/>
        </w:rPr>
        <w:t>日起实施；</w:t>
      </w:r>
    </w:p>
    <w:p>
      <w:pPr>
        <w:pStyle w:val="159"/>
        <w:numPr>
          <w:ilvl w:val="0"/>
          <w:numId w:val="1"/>
        </w:numPr>
        <w:ind w:left="851" w:hanging="425" w:firstLineChars="0"/>
        <w:rPr>
          <w:rFonts w:cs="Times New Roman"/>
          <w:kern w:val="0"/>
        </w:rPr>
      </w:pPr>
      <w:r>
        <w:rPr>
          <w:rFonts w:cs="Times New Roman"/>
          <w:kern w:val="0"/>
        </w:rPr>
        <w:t>《中华人民共和国环境影响评价法》，</w:t>
      </w:r>
      <w:r>
        <w:rPr>
          <w:rFonts w:eastAsia="TimesNewRomanPSMT" w:cs="Times New Roman"/>
          <w:kern w:val="0"/>
        </w:rPr>
        <w:t>201</w:t>
      </w:r>
      <w:r>
        <w:rPr>
          <w:rFonts w:hint="eastAsia" w:cs="Times New Roman" w:eastAsiaTheme="minorEastAsia"/>
          <w:kern w:val="0"/>
        </w:rPr>
        <w:t>8</w:t>
      </w:r>
      <w:r>
        <w:rPr>
          <w:rFonts w:cs="Times New Roman"/>
          <w:kern w:val="0"/>
        </w:rPr>
        <w:t>年</w:t>
      </w:r>
      <w:r>
        <w:rPr>
          <w:rFonts w:hint="eastAsia" w:cs="Times New Roman" w:eastAsiaTheme="minorEastAsia"/>
          <w:kern w:val="0"/>
        </w:rPr>
        <w:t>12</w:t>
      </w:r>
      <w:r>
        <w:rPr>
          <w:rFonts w:cs="Times New Roman"/>
          <w:kern w:val="0"/>
        </w:rPr>
        <w:t>月</w:t>
      </w:r>
      <w:r>
        <w:rPr>
          <w:rFonts w:hint="eastAsia" w:cs="Times New Roman"/>
          <w:kern w:val="0"/>
        </w:rPr>
        <w:t>29</w:t>
      </w:r>
      <w:r>
        <w:rPr>
          <w:rFonts w:cs="Times New Roman"/>
          <w:kern w:val="0"/>
        </w:rPr>
        <w:t>日</w:t>
      </w:r>
      <w:r>
        <w:rPr>
          <w:rFonts w:hint="eastAsia" w:cs="Times New Roman"/>
          <w:kern w:val="0"/>
        </w:rPr>
        <w:t>修改</w:t>
      </w:r>
      <w:r>
        <w:rPr>
          <w:rFonts w:cs="Times New Roman"/>
          <w:kern w:val="0"/>
        </w:rPr>
        <w:t>；</w:t>
      </w:r>
    </w:p>
    <w:p>
      <w:pPr>
        <w:pStyle w:val="159"/>
        <w:numPr>
          <w:ilvl w:val="0"/>
          <w:numId w:val="1"/>
        </w:numPr>
        <w:ind w:left="851" w:hanging="425" w:firstLineChars="0"/>
        <w:rPr>
          <w:rFonts w:cs="Times New Roman"/>
          <w:kern w:val="0"/>
          <w:highlight w:val="yellow"/>
        </w:rPr>
      </w:pPr>
      <w:r>
        <w:rPr>
          <w:rFonts w:cs="Times New Roman"/>
          <w:kern w:val="0"/>
          <w:highlight w:val="yellow"/>
        </w:rPr>
        <w:t>《中华人民共和国大气污染防治法》，</w:t>
      </w:r>
      <w:r>
        <w:rPr>
          <w:rFonts w:eastAsia="TimesNewRomanPSMT" w:cs="Times New Roman"/>
          <w:kern w:val="0"/>
          <w:highlight w:val="yellow"/>
        </w:rPr>
        <w:t>201</w:t>
      </w:r>
      <w:r>
        <w:rPr>
          <w:rFonts w:hint="eastAsia" w:eastAsia="TimesNewRomanPSMT" w:cs="Times New Roman"/>
          <w:kern w:val="0"/>
          <w:highlight w:val="yellow"/>
        </w:rPr>
        <w:t>8</w:t>
      </w:r>
      <w:r>
        <w:rPr>
          <w:rFonts w:cs="Times New Roman"/>
          <w:kern w:val="0"/>
          <w:highlight w:val="yellow"/>
        </w:rPr>
        <w:t>年</w:t>
      </w:r>
      <w:r>
        <w:rPr>
          <w:rFonts w:eastAsia="TimesNewRomanPSMT" w:cs="Times New Roman"/>
          <w:kern w:val="0"/>
          <w:highlight w:val="yellow"/>
        </w:rPr>
        <w:t>1</w:t>
      </w:r>
      <w:r>
        <w:rPr>
          <w:rFonts w:hint="eastAsia" w:eastAsia="TimesNewRomanPSMT" w:cs="Times New Roman"/>
          <w:kern w:val="0"/>
          <w:highlight w:val="yellow"/>
        </w:rPr>
        <w:t>0</w:t>
      </w:r>
      <w:r>
        <w:rPr>
          <w:rFonts w:cs="Times New Roman"/>
          <w:kern w:val="0"/>
          <w:highlight w:val="yellow"/>
        </w:rPr>
        <w:t>月</w:t>
      </w:r>
      <w:r>
        <w:rPr>
          <w:rFonts w:hint="eastAsia" w:eastAsia="TimesNewRomanPSMT" w:cs="Times New Roman"/>
          <w:kern w:val="0"/>
          <w:highlight w:val="yellow"/>
        </w:rPr>
        <w:t>26</w:t>
      </w:r>
      <w:r>
        <w:rPr>
          <w:rFonts w:cs="Times New Roman"/>
          <w:kern w:val="0"/>
          <w:highlight w:val="yellow"/>
        </w:rPr>
        <w:t>日</w:t>
      </w:r>
      <w:r>
        <w:rPr>
          <w:rFonts w:hint="eastAsia" w:cs="Times New Roman"/>
          <w:kern w:val="0"/>
          <w:highlight w:val="yellow"/>
        </w:rPr>
        <w:t>修正</w:t>
      </w:r>
      <w:r>
        <w:rPr>
          <w:rFonts w:cs="Times New Roman"/>
          <w:kern w:val="0"/>
          <w:highlight w:val="yellow"/>
        </w:rPr>
        <w:t>；</w:t>
      </w:r>
    </w:p>
    <w:p>
      <w:pPr>
        <w:pStyle w:val="159"/>
        <w:numPr>
          <w:ilvl w:val="0"/>
          <w:numId w:val="1"/>
        </w:numPr>
        <w:ind w:left="851" w:hanging="425" w:firstLineChars="0"/>
        <w:rPr>
          <w:rFonts w:cs="Times New Roman"/>
          <w:kern w:val="0"/>
        </w:rPr>
      </w:pPr>
      <w:r>
        <w:rPr>
          <w:rFonts w:cs="Times New Roman"/>
          <w:kern w:val="0"/>
        </w:rPr>
        <w:t>《中华人民共和国水污染防治法》，</w:t>
      </w:r>
      <w:r>
        <w:rPr>
          <w:rFonts w:eastAsia="TimesNewRomanPSMT" w:cs="Times New Roman"/>
          <w:kern w:val="0"/>
        </w:rPr>
        <w:t>2018</w:t>
      </w:r>
      <w:r>
        <w:rPr>
          <w:rFonts w:cs="Times New Roman"/>
          <w:kern w:val="0"/>
        </w:rPr>
        <w:t>年</w:t>
      </w:r>
      <w:r>
        <w:rPr>
          <w:rFonts w:eastAsia="TimesNewRomanPSMT" w:cs="Times New Roman"/>
          <w:kern w:val="0"/>
        </w:rPr>
        <w:t>1</w:t>
      </w:r>
      <w:r>
        <w:rPr>
          <w:rFonts w:cs="Times New Roman"/>
          <w:kern w:val="0"/>
        </w:rPr>
        <w:t>月</w:t>
      </w:r>
      <w:r>
        <w:rPr>
          <w:rFonts w:eastAsia="TimesNewRomanPSMT" w:cs="Times New Roman"/>
          <w:kern w:val="0"/>
        </w:rPr>
        <w:t>1</w:t>
      </w:r>
      <w:r>
        <w:rPr>
          <w:rFonts w:cs="Times New Roman"/>
          <w:kern w:val="0"/>
        </w:rPr>
        <w:t>日；</w:t>
      </w:r>
    </w:p>
    <w:p>
      <w:pPr>
        <w:pStyle w:val="159"/>
        <w:numPr>
          <w:ilvl w:val="0"/>
          <w:numId w:val="1"/>
        </w:numPr>
        <w:ind w:left="851" w:hanging="425" w:firstLineChars="0"/>
        <w:rPr>
          <w:rFonts w:cs="Times New Roman"/>
          <w:kern w:val="0"/>
        </w:rPr>
      </w:pPr>
      <w:r>
        <w:rPr>
          <w:rFonts w:cs="Times New Roman"/>
          <w:kern w:val="0"/>
        </w:rPr>
        <w:t>《中华人民共和国固体废物污染环境防治法</w:t>
      </w:r>
      <w:r>
        <w:rPr>
          <w:rFonts w:hint="eastAsia" w:cs="Times New Roman"/>
          <w:kern w:val="0"/>
        </w:rPr>
        <w:t>（</w:t>
      </w:r>
      <w:r>
        <w:rPr>
          <w:rFonts w:cs="Times New Roman"/>
          <w:kern w:val="0"/>
        </w:rPr>
        <w:t>修订</w:t>
      </w:r>
      <w:r>
        <w:rPr>
          <w:rFonts w:hint="eastAsia" w:cs="Times New Roman"/>
          <w:kern w:val="0"/>
        </w:rPr>
        <w:t>）</w:t>
      </w:r>
      <w:r>
        <w:rPr>
          <w:rFonts w:cs="Times New Roman"/>
          <w:kern w:val="0"/>
        </w:rPr>
        <w:t>》，</w:t>
      </w:r>
      <w:r>
        <w:rPr>
          <w:rFonts w:eastAsia="TimesNewRomanPSMT" w:cs="Times New Roman"/>
          <w:kern w:val="0"/>
        </w:rPr>
        <w:t>2015</w:t>
      </w:r>
      <w:r>
        <w:rPr>
          <w:rFonts w:cs="Times New Roman"/>
          <w:kern w:val="0"/>
        </w:rPr>
        <w:t>年</w:t>
      </w:r>
      <w:r>
        <w:rPr>
          <w:rFonts w:eastAsia="TimesNewRomanPSMT" w:cs="Times New Roman"/>
          <w:kern w:val="0"/>
        </w:rPr>
        <w:t>4</w:t>
      </w:r>
      <w:r>
        <w:rPr>
          <w:rFonts w:cs="Times New Roman"/>
          <w:kern w:val="0"/>
        </w:rPr>
        <w:t>月</w:t>
      </w:r>
      <w:r>
        <w:rPr>
          <w:rFonts w:eastAsia="TimesNewRomanPSMT" w:cs="Times New Roman"/>
          <w:kern w:val="0"/>
        </w:rPr>
        <w:t>24</w:t>
      </w:r>
      <w:r>
        <w:rPr>
          <w:rFonts w:cs="Times New Roman"/>
          <w:kern w:val="0"/>
        </w:rPr>
        <w:t>日；</w:t>
      </w:r>
    </w:p>
    <w:p>
      <w:pPr>
        <w:pStyle w:val="159"/>
        <w:numPr>
          <w:ilvl w:val="0"/>
          <w:numId w:val="1"/>
        </w:numPr>
        <w:ind w:left="851" w:hanging="425" w:firstLineChars="0"/>
        <w:rPr>
          <w:rFonts w:cs="Times New Roman"/>
          <w:kern w:val="0"/>
        </w:rPr>
      </w:pPr>
      <w:r>
        <w:rPr>
          <w:rFonts w:cs="Times New Roman"/>
          <w:kern w:val="0"/>
        </w:rPr>
        <w:t>《中华人民共和国环境噪声污染防治法》，</w:t>
      </w:r>
      <w:r>
        <w:rPr>
          <w:rFonts w:eastAsia="TimesNewRomanPSMT" w:cs="Times New Roman"/>
          <w:kern w:val="0"/>
        </w:rPr>
        <w:t>201</w:t>
      </w:r>
      <w:r>
        <w:rPr>
          <w:rFonts w:hint="eastAsia" w:cs="Times New Roman" w:eastAsiaTheme="minorEastAsia"/>
          <w:kern w:val="0"/>
        </w:rPr>
        <w:t>8</w:t>
      </w:r>
      <w:r>
        <w:rPr>
          <w:rFonts w:cs="Times New Roman"/>
          <w:kern w:val="0"/>
        </w:rPr>
        <w:t>年</w:t>
      </w:r>
      <w:r>
        <w:rPr>
          <w:rFonts w:hint="eastAsia" w:cs="Times New Roman" w:eastAsiaTheme="minorEastAsia"/>
          <w:kern w:val="0"/>
        </w:rPr>
        <w:t>12</w:t>
      </w:r>
      <w:r>
        <w:rPr>
          <w:rFonts w:cs="Times New Roman"/>
          <w:kern w:val="0"/>
        </w:rPr>
        <w:t>月</w:t>
      </w:r>
      <w:r>
        <w:rPr>
          <w:rFonts w:hint="eastAsia" w:cs="Times New Roman"/>
          <w:kern w:val="0"/>
        </w:rPr>
        <w:t>29</w:t>
      </w:r>
      <w:r>
        <w:rPr>
          <w:rFonts w:cs="Times New Roman"/>
          <w:kern w:val="0"/>
        </w:rPr>
        <w:t>日</w:t>
      </w:r>
      <w:r>
        <w:rPr>
          <w:rFonts w:hint="eastAsia" w:cs="Times New Roman"/>
          <w:kern w:val="0"/>
        </w:rPr>
        <w:t>修改</w:t>
      </w:r>
      <w:r>
        <w:rPr>
          <w:rFonts w:cs="Times New Roman"/>
          <w:kern w:val="0"/>
        </w:rPr>
        <w:t>；</w:t>
      </w:r>
    </w:p>
    <w:p>
      <w:pPr>
        <w:pStyle w:val="159"/>
        <w:numPr>
          <w:ilvl w:val="0"/>
          <w:numId w:val="1"/>
        </w:numPr>
        <w:ind w:left="0" w:firstLine="426" w:firstLineChars="0"/>
        <w:rPr>
          <w:rFonts w:cs="Times New Roman"/>
          <w:kern w:val="0"/>
        </w:rPr>
      </w:pPr>
      <w:r>
        <w:rPr>
          <w:rFonts w:cs="Times New Roman"/>
          <w:kern w:val="0"/>
        </w:rPr>
        <w:t>《国务院关于印发</w:t>
      </w:r>
      <w:r>
        <w:rPr>
          <w:rFonts w:hint="eastAsia" w:cs="Times New Roman" w:eastAsiaTheme="minorEastAsia"/>
          <w:kern w:val="0"/>
        </w:rPr>
        <w:t>“</w:t>
      </w:r>
      <w:r>
        <w:rPr>
          <w:rFonts w:cs="Times New Roman"/>
          <w:kern w:val="0"/>
        </w:rPr>
        <w:t>十三五</w:t>
      </w:r>
      <w:r>
        <w:rPr>
          <w:rFonts w:hint="eastAsia" w:cs="Times New Roman" w:eastAsiaTheme="minorEastAsia"/>
          <w:kern w:val="0"/>
        </w:rPr>
        <w:t>”</w:t>
      </w:r>
      <w:r>
        <w:rPr>
          <w:rFonts w:cs="Times New Roman"/>
          <w:kern w:val="0"/>
        </w:rPr>
        <w:t>节能减排综合性工作方案的通知》</w:t>
      </w:r>
      <w:r>
        <w:rPr>
          <w:rFonts w:hint="eastAsia" w:cs="Times New Roman"/>
          <w:kern w:val="0"/>
        </w:rPr>
        <w:t>（</w:t>
      </w:r>
      <w:r>
        <w:rPr>
          <w:rFonts w:cs="Times New Roman"/>
          <w:kern w:val="0"/>
        </w:rPr>
        <w:t>国发</w:t>
      </w:r>
      <w:r>
        <w:rPr>
          <w:rFonts w:eastAsia="TimesNewRomanPSMT" w:cs="Times New Roman"/>
          <w:kern w:val="0"/>
        </w:rPr>
        <w:t>[2016]74</w:t>
      </w:r>
      <w:r>
        <w:rPr>
          <w:rFonts w:cs="Times New Roman"/>
          <w:kern w:val="0"/>
        </w:rPr>
        <w:t>号</w:t>
      </w:r>
      <w:r>
        <w:rPr>
          <w:rFonts w:hint="eastAsia" w:cs="Times New Roman"/>
          <w:kern w:val="0"/>
        </w:rPr>
        <w:t>）</w:t>
      </w:r>
      <w:r>
        <w:rPr>
          <w:rFonts w:cs="Times New Roman"/>
          <w:kern w:val="0"/>
        </w:rPr>
        <w:t>；</w:t>
      </w:r>
    </w:p>
    <w:p>
      <w:pPr>
        <w:pStyle w:val="159"/>
        <w:numPr>
          <w:ilvl w:val="0"/>
          <w:numId w:val="1"/>
        </w:numPr>
        <w:ind w:left="851" w:hanging="425" w:firstLineChars="0"/>
        <w:rPr>
          <w:rFonts w:cs="Times New Roman"/>
          <w:kern w:val="0"/>
        </w:rPr>
      </w:pPr>
      <w:r>
        <w:rPr>
          <w:rFonts w:hint="eastAsia" w:cs="Times New Roman"/>
          <w:kern w:val="0"/>
        </w:rPr>
        <w:t>《</w:t>
      </w:r>
      <w:r>
        <w:rPr>
          <w:rFonts w:cs="Times New Roman"/>
          <w:kern w:val="0"/>
        </w:rPr>
        <w:t>中华人民共和国</w:t>
      </w:r>
      <w:r>
        <w:rPr>
          <w:rFonts w:hint="eastAsia" w:cs="Times New Roman"/>
          <w:kern w:val="0"/>
        </w:rPr>
        <w:t>清洁生产促进法》，</w:t>
      </w:r>
      <w:r>
        <w:rPr>
          <w:rFonts w:eastAsia="TimesNewRomanPSMT" w:cs="Times New Roman"/>
          <w:kern w:val="0"/>
        </w:rPr>
        <w:t>201</w:t>
      </w:r>
      <w:r>
        <w:rPr>
          <w:rFonts w:hint="eastAsia" w:cs="Times New Roman" w:eastAsiaTheme="minorEastAsia"/>
          <w:kern w:val="0"/>
        </w:rPr>
        <w:t>2</w:t>
      </w:r>
      <w:r>
        <w:rPr>
          <w:rFonts w:cs="Times New Roman"/>
          <w:kern w:val="0"/>
        </w:rPr>
        <w:t>年</w:t>
      </w:r>
      <w:r>
        <w:rPr>
          <w:rFonts w:hint="eastAsia" w:cs="Times New Roman" w:eastAsiaTheme="minorEastAsia"/>
          <w:kern w:val="0"/>
        </w:rPr>
        <w:t>7</w:t>
      </w:r>
      <w:r>
        <w:rPr>
          <w:rFonts w:cs="Times New Roman"/>
          <w:kern w:val="0"/>
        </w:rPr>
        <w:t>月</w:t>
      </w:r>
      <w:r>
        <w:rPr>
          <w:rFonts w:eastAsia="TimesNewRomanPSMT" w:cs="Times New Roman"/>
          <w:kern w:val="0"/>
        </w:rPr>
        <w:t>1</w:t>
      </w:r>
      <w:r>
        <w:rPr>
          <w:rFonts w:cs="Times New Roman"/>
          <w:kern w:val="0"/>
        </w:rPr>
        <w:t>日起实施；</w:t>
      </w:r>
    </w:p>
    <w:p>
      <w:pPr>
        <w:pStyle w:val="159"/>
        <w:numPr>
          <w:ilvl w:val="0"/>
          <w:numId w:val="1"/>
        </w:numPr>
        <w:ind w:left="851" w:hanging="425" w:firstLineChars="0"/>
        <w:rPr>
          <w:rFonts w:cs="Times New Roman"/>
          <w:kern w:val="0"/>
        </w:rPr>
      </w:pPr>
      <w:r>
        <w:rPr>
          <w:rFonts w:cs="Times New Roman"/>
          <w:kern w:val="0"/>
        </w:rPr>
        <w:t>《建设项目环境保护管理条例</w:t>
      </w:r>
      <w:r>
        <w:rPr>
          <w:rFonts w:hint="eastAsia" w:cs="Times New Roman"/>
          <w:kern w:val="0"/>
        </w:rPr>
        <w:t>（修订）</w:t>
      </w:r>
      <w:r>
        <w:rPr>
          <w:rFonts w:cs="Times New Roman"/>
          <w:kern w:val="0"/>
        </w:rPr>
        <w:t>》，</w:t>
      </w:r>
      <w:r>
        <w:rPr>
          <w:rFonts w:hint="eastAsia" w:cs="Times New Roman" w:eastAsiaTheme="minorEastAsia"/>
          <w:kern w:val="0"/>
        </w:rPr>
        <w:t>2017</w:t>
      </w:r>
      <w:r>
        <w:rPr>
          <w:rFonts w:cs="Times New Roman"/>
          <w:kern w:val="0"/>
        </w:rPr>
        <w:t>年</w:t>
      </w:r>
      <w:r>
        <w:rPr>
          <w:rFonts w:hint="eastAsia" w:cs="Times New Roman" w:eastAsiaTheme="minorEastAsia"/>
          <w:kern w:val="0"/>
        </w:rPr>
        <w:t>10</w:t>
      </w:r>
      <w:r>
        <w:rPr>
          <w:rFonts w:cs="Times New Roman"/>
          <w:kern w:val="0"/>
        </w:rPr>
        <w:t>月</w:t>
      </w:r>
      <w:r>
        <w:rPr>
          <w:rFonts w:hint="eastAsia" w:cs="Times New Roman" w:eastAsiaTheme="minorEastAsia"/>
          <w:kern w:val="0"/>
        </w:rPr>
        <w:t>1</w:t>
      </w:r>
      <w:r>
        <w:rPr>
          <w:rFonts w:cs="Times New Roman"/>
          <w:kern w:val="0"/>
        </w:rPr>
        <w:t>日</w:t>
      </w:r>
      <w:r>
        <w:rPr>
          <w:rFonts w:hint="eastAsia" w:cs="Times New Roman"/>
          <w:kern w:val="0"/>
        </w:rPr>
        <w:t>起施行</w:t>
      </w:r>
      <w:r>
        <w:rPr>
          <w:rFonts w:cs="Times New Roman"/>
          <w:kern w:val="0"/>
        </w:rPr>
        <w:t>；</w:t>
      </w:r>
    </w:p>
    <w:p>
      <w:pPr>
        <w:pStyle w:val="159"/>
        <w:numPr>
          <w:ilvl w:val="0"/>
          <w:numId w:val="1"/>
        </w:numPr>
        <w:ind w:left="851" w:hanging="425" w:firstLineChars="0"/>
        <w:rPr>
          <w:rFonts w:cs="Times New Roman"/>
          <w:kern w:val="0"/>
        </w:rPr>
      </w:pPr>
      <w:r>
        <w:rPr>
          <w:rFonts w:cs="Times New Roman"/>
          <w:kern w:val="0"/>
        </w:rPr>
        <w:t>《建设项目环境影响评价分类管理名录》</w:t>
      </w:r>
      <w:r>
        <w:rPr>
          <w:rFonts w:hint="eastAsia" w:cs="Times New Roman"/>
          <w:kern w:val="0"/>
        </w:rPr>
        <w:t>，</w:t>
      </w:r>
      <w:r>
        <w:rPr>
          <w:rFonts w:eastAsia="TimesNewRomanPSMT" w:cs="Times New Roman"/>
          <w:kern w:val="0"/>
        </w:rPr>
        <w:t>201</w:t>
      </w:r>
      <w:r>
        <w:rPr>
          <w:rFonts w:hint="eastAsia" w:cs="Times New Roman" w:eastAsiaTheme="minorEastAsia"/>
          <w:kern w:val="0"/>
        </w:rPr>
        <w:t>8</w:t>
      </w:r>
      <w:r>
        <w:rPr>
          <w:rFonts w:cs="Times New Roman"/>
          <w:kern w:val="0"/>
        </w:rPr>
        <w:t>年</w:t>
      </w:r>
      <w:r>
        <w:rPr>
          <w:rFonts w:hint="eastAsia" w:cs="Times New Roman" w:eastAsiaTheme="minorEastAsia"/>
          <w:kern w:val="0"/>
        </w:rPr>
        <w:t>4</w:t>
      </w:r>
      <w:r>
        <w:rPr>
          <w:rFonts w:cs="Times New Roman"/>
          <w:kern w:val="0"/>
        </w:rPr>
        <w:t>月</w:t>
      </w:r>
      <w:r>
        <w:rPr>
          <w:rFonts w:hint="eastAsia" w:cs="Times New Roman" w:eastAsiaTheme="minorEastAsia"/>
          <w:kern w:val="0"/>
        </w:rPr>
        <w:t>28</w:t>
      </w:r>
      <w:r>
        <w:rPr>
          <w:rFonts w:cs="Times New Roman"/>
          <w:kern w:val="0"/>
        </w:rPr>
        <w:t>日修订；</w:t>
      </w:r>
    </w:p>
    <w:p>
      <w:pPr>
        <w:pStyle w:val="159"/>
        <w:numPr>
          <w:ilvl w:val="0"/>
          <w:numId w:val="1"/>
        </w:numPr>
        <w:ind w:left="0" w:firstLine="426" w:firstLineChars="0"/>
        <w:rPr>
          <w:rFonts w:cs="Times New Roman"/>
          <w:kern w:val="0"/>
        </w:rPr>
      </w:pPr>
      <w:r>
        <w:rPr>
          <w:rFonts w:cs="Times New Roman"/>
          <w:kern w:val="0"/>
        </w:rPr>
        <w:t>《产业结构调整指导目录</w:t>
      </w:r>
      <w:r>
        <w:rPr>
          <w:rFonts w:eastAsia="TimesNewRomanPSMT" w:cs="Times New Roman"/>
          <w:kern w:val="0"/>
        </w:rPr>
        <w:t>2011</w:t>
      </w:r>
      <w:r>
        <w:rPr>
          <w:rFonts w:cs="Times New Roman"/>
          <w:kern w:val="0"/>
        </w:rPr>
        <w:t>年本》</w:t>
      </w:r>
      <w:r>
        <w:rPr>
          <w:rFonts w:hint="eastAsia" w:cs="Times New Roman"/>
          <w:kern w:val="0"/>
        </w:rPr>
        <w:t>（</w:t>
      </w:r>
      <w:r>
        <w:rPr>
          <w:rFonts w:eastAsia="TimesNewRomanPSMT" w:cs="Times New Roman"/>
          <w:kern w:val="0"/>
        </w:rPr>
        <w:t>2013</w:t>
      </w:r>
      <w:r>
        <w:rPr>
          <w:rFonts w:cs="Times New Roman"/>
          <w:kern w:val="0"/>
        </w:rPr>
        <w:t>年修正</w:t>
      </w:r>
      <w:r>
        <w:rPr>
          <w:rFonts w:hint="eastAsia" w:cs="Times New Roman"/>
          <w:kern w:val="0"/>
        </w:rPr>
        <w:t>）</w:t>
      </w:r>
      <w:r>
        <w:rPr>
          <w:rFonts w:cs="Times New Roman"/>
          <w:kern w:val="0"/>
        </w:rPr>
        <w:t>，</w:t>
      </w:r>
      <w:r>
        <w:rPr>
          <w:rFonts w:eastAsia="TimesNewRomanPSMT" w:cs="Times New Roman"/>
          <w:kern w:val="0"/>
        </w:rPr>
        <w:t>2013</w:t>
      </w:r>
      <w:r>
        <w:rPr>
          <w:rFonts w:cs="Times New Roman"/>
          <w:kern w:val="0"/>
        </w:rPr>
        <w:t>年</w:t>
      </w:r>
      <w:r>
        <w:rPr>
          <w:rFonts w:hint="eastAsia" w:cs="Times New Roman" w:eastAsiaTheme="minorEastAsia"/>
          <w:kern w:val="0"/>
        </w:rPr>
        <w:t>5</w:t>
      </w:r>
      <w:r>
        <w:rPr>
          <w:rFonts w:cs="Times New Roman"/>
          <w:kern w:val="0"/>
        </w:rPr>
        <w:t>月</w:t>
      </w:r>
      <w:r>
        <w:rPr>
          <w:rFonts w:hint="eastAsia" w:cs="Times New Roman" w:eastAsiaTheme="minorEastAsia"/>
          <w:kern w:val="0"/>
        </w:rPr>
        <w:t>1</w:t>
      </w:r>
      <w:r>
        <w:rPr>
          <w:rFonts w:cs="Times New Roman"/>
          <w:kern w:val="0"/>
        </w:rPr>
        <w:t>日</w:t>
      </w:r>
      <w:r>
        <w:rPr>
          <w:rFonts w:hint="eastAsia" w:cs="Times New Roman"/>
          <w:kern w:val="0"/>
        </w:rPr>
        <w:t>起施行</w:t>
      </w:r>
      <w:r>
        <w:rPr>
          <w:rFonts w:cs="Times New Roman"/>
          <w:kern w:val="0"/>
        </w:rPr>
        <w:t>；</w:t>
      </w:r>
    </w:p>
    <w:p>
      <w:pPr>
        <w:pStyle w:val="159"/>
        <w:numPr>
          <w:ilvl w:val="0"/>
          <w:numId w:val="1"/>
        </w:numPr>
        <w:ind w:left="0" w:firstLine="426" w:firstLineChars="0"/>
        <w:rPr>
          <w:rFonts w:cs="Times New Roman"/>
          <w:kern w:val="0"/>
        </w:rPr>
      </w:pPr>
      <w:r>
        <w:rPr>
          <w:rFonts w:cs="Times New Roman"/>
          <w:kern w:val="0"/>
        </w:rPr>
        <w:t>《关于进一步加强环境影响评价管理防范环境风险的通知》，环境保护部文件</w:t>
      </w:r>
      <w:r>
        <w:rPr>
          <w:rFonts w:hint="eastAsia" w:cs="Times New Roman" w:eastAsiaTheme="minorEastAsia"/>
          <w:kern w:val="0"/>
        </w:rPr>
        <w:t>（</w:t>
      </w:r>
      <w:r>
        <w:rPr>
          <w:rFonts w:cs="Times New Roman"/>
          <w:kern w:val="0"/>
        </w:rPr>
        <w:t>环发</w:t>
      </w:r>
      <w:r>
        <w:rPr>
          <w:rFonts w:eastAsia="TimesNewRomanPSMT" w:cs="Times New Roman"/>
          <w:kern w:val="0"/>
        </w:rPr>
        <w:t>[2012]77</w:t>
      </w:r>
      <w:r>
        <w:rPr>
          <w:rFonts w:cs="Times New Roman"/>
          <w:kern w:val="0"/>
        </w:rPr>
        <w:t>号</w:t>
      </w:r>
      <w:r>
        <w:rPr>
          <w:rFonts w:hint="eastAsia" w:cs="Times New Roman"/>
          <w:kern w:val="0"/>
        </w:rPr>
        <w:t>）</w:t>
      </w:r>
      <w:r>
        <w:rPr>
          <w:rFonts w:cs="Times New Roman"/>
          <w:kern w:val="0"/>
        </w:rPr>
        <w:t>；</w:t>
      </w:r>
    </w:p>
    <w:p>
      <w:pPr>
        <w:pStyle w:val="159"/>
        <w:numPr>
          <w:ilvl w:val="0"/>
          <w:numId w:val="1"/>
        </w:numPr>
        <w:ind w:left="851" w:hanging="425" w:firstLineChars="0"/>
        <w:rPr>
          <w:rFonts w:cs="Times New Roman"/>
          <w:kern w:val="0"/>
        </w:rPr>
      </w:pPr>
      <w:r>
        <w:rPr>
          <w:rFonts w:cs="Times New Roman"/>
          <w:kern w:val="0"/>
        </w:rPr>
        <w:t>《水污染防治行动计划》（国发</w:t>
      </w:r>
      <w:r>
        <w:rPr>
          <w:rFonts w:eastAsia="TimesNewRomanPSMT" w:cs="Times New Roman"/>
          <w:kern w:val="0"/>
        </w:rPr>
        <w:t>[2015]17</w:t>
      </w:r>
      <w:r>
        <w:rPr>
          <w:rFonts w:cs="Times New Roman"/>
          <w:kern w:val="0"/>
        </w:rPr>
        <w:t>号）</w:t>
      </w:r>
      <w:r>
        <w:rPr>
          <w:rFonts w:hint="eastAsia" w:cs="Times New Roman"/>
          <w:kern w:val="0"/>
        </w:rPr>
        <w:t>；</w:t>
      </w:r>
    </w:p>
    <w:p>
      <w:pPr>
        <w:pStyle w:val="159"/>
        <w:numPr>
          <w:ilvl w:val="0"/>
          <w:numId w:val="1"/>
        </w:numPr>
        <w:ind w:left="851" w:hanging="425" w:firstLineChars="0"/>
        <w:rPr>
          <w:rFonts w:cs="Times New Roman"/>
          <w:kern w:val="0"/>
        </w:rPr>
      </w:pPr>
      <w:r>
        <w:rPr>
          <w:rFonts w:cs="Times New Roman"/>
          <w:kern w:val="0"/>
        </w:rPr>
        <w:t>《大气污染防治行动计划》（国发</w:t>
      </w:r>
      <w:r>
        <w:rPr>
          <w:rFonts w:eastAsia="TimesNewRomanPSMT" w:cs="Times New Roman"/>
          <w:kern w:val="0"/>
        </w:rPr>
        <w:t>[2013]37</w:t>
      </w:r>
      <w:r>
        <w:rPr>
          <w:rFonts w:cs="Times New Roman"/>
          <w:kern w:val="0"/>
        </w:rPr>
        <w:t>号）</w:t>
      </w:r>
      <w:r>
        <w:rPr>
          <w:rFonts w:hint="eastAsia" w:cs="Times New Roman"/>
          <w:kern w:val="0"/>
        </w:rPr>
        <w:t>；</w:t>
      </w:r>
    </w:p>
    <w:p>
      <w:pPr>
        <w:pStyle w:val="159"/>
        <w:numPr>
          <w:ilvl w:val="0"/>
          <w:numId w:val="1"/>
        </w:numPr>
        <w:ind w:left="851" w:hanging="425" w:firstLineChars="0"/>
        <w:rPr>
          <w:rFonts w:cs="Times New Roman"/>
          <w:kern w:val="0"/>
        </w:rPr>
      </w:pPr>
      <w:r>
        <w:rPr>
          <w:rFonts w:cs="Times New Roman"/>
          <w:kern w:val="0"/>
        </w:rPr>
        <w:t>《土壤污染防治行动计划》（国发</w:t>
      </w:r>
      <w:r>
        <w:rPr>
          <w:rFonts w:eastAsia="TimesNewRomanPSMT" w:cs="Times New Roman"/>
          <w:kern w:val="0"/>
        </w:rPr>
        <w:t>[2016]31</w:t>
      </w:r>
      <w:r>
        <w:rPr>
          <w:rFonts w:cs="Times New Roman"/>
          <w:kern w:val="0"/>
        </w:rPr>
        <w:t>号）；</w:t>
      </w:r>
    </w:p>
    <w:p>
      <w:pPr>
        <w:pStyle w:val="159"/>
        <w:numPr>
          <w:ilvl w:val="0"/>
          <w:numId w:val="1"/>
        </w:numPr>
        <w:ind w:left="851" w:hanging="425" w:firstLineChars="0"/>
        <w:rPr>
          <w:rFonts w:cs="Times New Roman"/>
          <w:kern w:val="0"/>
        </w:rPr>
      </w:pPr>
      <w:r>
        <w:rPr>
          <w:rFonts w:hint="eastAsia"/>
          <w:lang w:val="zh-CN"/>
        </w:rPr>
        <w:t>《关于加强二噁英污染防治的指导意见》</w:t>
      </w:r>
      <w:r>
        <w:rPr>
          <w:lang w:val="zh-CN"/>
        </w:rPr>
        <w:t>(</w:t>
      </w:r>
      <w:r>
        <w:rPr>
          <w:rFonts w:hint="eastAsia"/>
          <w:lang w:val="zh-CN"/>
        </w:rPr>
        <w:t>环发</w:t>
      </w:r>
      <w:r>
        <w:rPr>
          <w:lang w:val="zh-CN"/>
        </w:rPr>
        <w:t>[2010]123</w:t>
      </w:r>
      <w:r>
        <w:rPr>
          <w:rFonts w:hint="eastAsia"/>
          <w:lang w:val="zh-CN"/>
        </w:rPr>
        <w:t>号</w:t>
      </w:r>
      <w:r>
        <w:rPr>
          <w:lang w:val="zh-CN"/>
        </w:rPr>
        <w:t>)</w:t>
      </w:r>
      <w:r>
        <w:rPr>
          <w:rFonts w:hint="eastAsia"/>
          <w:lang w:val="zh-CN"/>
        </w:rPr>
        <w:t>；</w:t>
      </w:r>
    </w:p>
    <w:p>
      <w:pPr>
        <w:pStyle w:val="159"/>
        <w:numPr>
          <w:ilvl w:val="0"/>
          <w:numId w:val="1"/>
        </w:numPr>
        <w:ind w:left="851" w:hanging="425" w:firstLineChars="0"/>
        <w:rPr>
          <w:rFonts w:cs="Times New Roman"/>
          <w:kern w:val="0"/>
        </w:rPr>
      </w:pPr>
      <w:r>
        <w:rPr>
          <w:rFonts w:hint="eastAsia" w:hAnsi="宋体"/>
          <w:lang w:val="zh-CN"/>
        </w:rPr>
        <w:t>《国家危险废物名录》</w:t>
      </w:r>
      <w:r>
        <w:rPr>
          <w:rFonts w:hAnsi="宋体"/>
          <w:lang w:val="zh-CN"/>
        </w:rPr>
        <w:t>(</w:t>
      </w:r>
      <w:r>
        <w:rPr>
          <w:lang w:val="zh-CN"/>
        </w:rPr>
        <w:t>2016</w:t>
      </w:r>
      <w:r>
        <w:rPr>
          <w:rFonts w:hint="eastAsia" w:hAnsi="宋体"/>
          <w:lang w:val="zh-CN"/>
        </w:rPr>
        <w:t>年</w:t>
      </w:r>
      <w:r>
        <w:rPr>
          <w:lang w:val="zh-CN"/>
        </w:rPr>
        <w:t>8</w:t>
      </w:r>
      <w:r>
        <w:rPr>
          <w:rFonts w:hint="eastAsia" w:hAnsi="宋体"/>
          <w:lang w:val="zh-CN"/>
        </w:rPr>
        <w:t>月</w:t>
      </w:r>
      <w:r>
        <w:rPr>
          <w:lang w:val="zh-CN"/>
        </w:rPr>
        <w:t>1</w:t>
      </w:r>
      <w:r>
        <w:rPr>
          <w:rFonts w:hint="eastAsia" w:hAnsi="宋体"/>
          <w:lang w:val="zh-CN"/>
        </w:rPr>
        <w:t>日</w:t>
      </w:r>
      <w:r>
        <w:rPr>
          <w:rFonts w:hAnsi="宋体"/>
          <w:lang w:val="zh-CN"/>
        </w:rPr>
        <w:t>)</w:t>
      </w:r>
      <w:r>
        <w:rPr>
          <w:rFonts w:hint="eastAsia" w:hAnsi="宋体"/>
          <w:lang w:val="zh-CN"/>
        </w:rPr>
        <w:t>；</w:t>
      </w:r>
    </w:p>
    <w:p>
      <w:pPr>
        <w:pStyle w:val="159"/>
        <w:numPr>
          <w:ilvl w:val="0"/>
          <w:numId w:val="1"/>
        </w:numPr>
        <w:ind w:left="851" w:hanging="425" w:firstLineChars="0"/>
        <w:rPr>
          <w:rFonts w:cs="Times New Roman"/>
          <w:kern w:val="0"/>
        </w:rPr>
      </w:pPr>
      <w:r>
        <w:rPr>
          <w:rFonts w:hint="eastAsia"/>
          <w:lang w:val="zh-CN"/>
        </w:rPr>
        <w:t>《危险废物污染防治技术政策》</w:t>
      </w:r>
      <w:r>
        <w:rPr>
          <w:lang w:val="zh-CN"/>
        </w:rPr>
        <w:t>(</w:t>
      </w:r>
      <w:r>
        <w:rPr>
          <w:rFonts w:hint="eastAsia"/>
          <w:lang w:val="zh-CN"/>
        </w:rPr>
        <w:t>环发</w:t>
      </w:r>
      <w:r>
        <w:rPr>
          <w:lang w:val="zh-CN"/>
        </w:rPr>
        <w:t>[2001] 199</w:t>
      </w:r>
      <w:r>
        <w:rPr>
          <w:rFonts w:hint="eastAsia"/>
          <w:lang w:val="zh-CN"/>
        </w:rPr>
        <w:t>号</w:t>
      </w:r>
      <w:r>
        <w:rPr>
          <w:lang w:val="zh-CN"/>
        </w:rPr>
        <w:t>)</w:t>
      </w:r>
      <w:r>
        <w:rPr>
          <w:rFonts w:hint="eastAsia"/>
          <w:lang w:val="zh-CN"/>
        </w:rPr>
        <w:t>；</w:t>
      </w:r>
    </w:p>
    <w:p>
      <w:pPr>
        <w:pStyle w:val="159"/>
        <w:numPr>
          <w:ilvl w:val="0"/>
          <w:numId w:val="1"/>
        </w:numPr>
        <w:ind w:left="851" w:hanging="425" w:firstLineChars="0"/>
        <w:rPr>
          <w:rFonts w:cs="Times New Roman"/>
          <w:kern w:val="0"/>
        </w:rPr>
      </w:pPr>
      <w:r>
        <w:rPr>
          <w:rFonts w:hint="eastAsia"/>
          <w:lang w:val="zh-CN"/>
        </w:rPr>
        <w:t>《危险废物转移联单管理办法》</w:t>
      </w:r>
      <w:r>
        <w:rPr>
          <w:lang w:val="zh-CN"/>
        </w:rPr>
        <w:t>(</w:t>
      </w:r>
      <w:r>
        <w:rPr>
          <w:rFonts w:hint="eastAsia"/>
          <w:lang w:val="zh-CN"/>
        </w:rPr>
        <w:t>国家环境保护总局</w:t>
      </w:r>
      <w:r>
        <w:rPr>
          <w:lang w:val="zh-CN"/>
        </w:rPr>
        <w:t>5</w:t>
      </w:r>
      <w:r>
        <w:rPr>
          <w:rFonts w:hint="eastAsia"/>
          <w:lang w:val="zh-CN"/>
        </w:rPr>
        <w:t>号令，</w:t>
      </w:r>
      <w:r>
        <w:rPr>
          <w:lang w:val="zh-CN"/>
        </w:rPr>
        <w:t>1999</w:t>
      </w:r>
      <w:r>
        <w:rPr>
          <w:rFonts w:hint="eastAsia"/>
          <w:lang w:val="zh-CN"/>
        </w:rPr>
        <w:t>年</w:t>
      </w:r>
      <w:r>
        <w:rPr>
          <w:lang w:val="zh-CN"/>
        </w:rPr>
        <w:t>6</w:t>
      </w:r>
      <w:r>
        <w:rPr>
          <w:rFonts w:hint="eastAsia"/>
          <w:lang w:val="zh-CN"/>
        </w:rPr>
        <w:t>月</w:t>
      </w:r>
      <w:r>
        <w:rPr>
          <w:lang w:val="zh-CN"/>
        </w:rPr>
        <w:t>22</w:t>
      </w:r>
      <w:r>
        <w:rPr>
          <w:rFonts w:hint="eastAsia"/>
          <w:lang w:val="zh-CN"/>
        </w:rPr>
        <w:t>日</w:t>
      </w:r>
      <w:r>
        <w:rPr>
          <w:lang w:val="zh-CN"/>
        </w:rPr>
        <w:t>)</w:t>
      </w:r>
      <w:r>
        <w:rPr>
          <w:rFonts w:hint="eastAsia"/>
          <w:lang w:val="zh-CN"/>
        </w:rPr>
        <w:t>；</w:t>
      </w:r>
    </w:p>
    <w:p>
      <w:pPr>
        <w:pStyle w:val="159"/>
        <w:numPr>
          <w:ilvl w:val="0"/>
          <w:numId w:val="1"/>
        </w:numPr>
        <w:ind w:left="851" w:hanging="425" w:firstLineChars="0"/>
        <w:rPr>
          <w:rFonts w:cs="Times New Roman"/>
          <w:kern w:val="0"/>
        </w:rPr>
      </w:pPr>
      <w:r>
        <w:rPr>
          <w:rFonts w:hint="eastAsia"/>
          <w:lang w:val="zh-CN"/>
        </w:rPr>
        <w:t>《危险废物经营许可证管理办法》</w:t>
      </w:r>
      <w:r>
        <w:rPr>
          <w:lang w:val="zh-CN"/>
        </w:rPr>
        <w:t>(</w:t>
      </w:r>
      <w:r>
        <w:rPr>
          <w:rFonts w:hint="eastAsia"/>
          <w:lang w:val="zh-CN"/>
        </w:rPr>
        <w:t>国务院令第</w:t>
      </w:r>
      <w:r>
        <w:rPr>
          <w:lang w:val="zh-CN"/>
        </w:rPr>
        <w:t>408</w:t>
      </w:r>
      <w:r>
        <w:rPr>
          <w:rFonts w:hint="eastAsia"/>
          <w:lang w:val="zh-CN"/>
        </w:rPr>
        <w:t>号</w:t>
      </w:r>
      <w:r>
        <w:rPr>
          <w:lang w:val="zh-CN"/>
        </w:rPr>
        <w:t>)</w:t>
      </w:r>
      <w:r>
        <w:rPr>
          <w:rFonts w:hint="eastAsia"/>
          <w:lang w:val="zh-CN"/>
        </w:rPr>
        <w:t>；</w:t>
      </w:r>
    </w:p>
    <w:p>
      <w:pPr>
        <w:pStyle w:val="159"/>
        <w:numPr>
          <w:ilvl w:val="0"/>
          <w:numId w:val="1"/>
        </w:numPr>
        <w:ind w:left="851" w:hanging="425" w:firstLineChars="0"/>
        <w:rPr>
          <w:rFonts w:cs="Times New Roman"/>
          <w:kern w:val="0"/>
        </w:rPr>
      </w:pPr>
      <w:r>
        <w:rPr>
          <w:rFonts w:hint="eastAsia"/>
          <w:lang w:val="zh-CN"/>
        </w:rPr>
        <w:t>《关于进一步加强危险废物管理防范事故风险的紧急通知》</w:t>
      </w:r>
      <w:r>
        <w:rPr>
          <w:lang w:val="zh-CN"/>
        </w:rPr>
        <w:t>(</w:t>
      </w:r>
      <w:r>
        <w:rPr>
          <w:rFonts w:hint="eastAsia"/>
          <w:lang w:val="zh-CN"/>
        </w:rPr>
        <w:t>环办</w:t>
      </w:r>
      <w:r>
        <w:rPr>
          <w:lang w:val="zh-CN"/>
        </w:rPr>
        <w:t>[2009]51</w:t>
      </w:r>
      <w:r>
        <w:rPr>
          <w:rFonts w:hint="eastAsia"/>
          <w:lang w:val="zh-CN"/>
        </w:rPr>
        <w:t>号</w:t>
      </w:r>
      <w:r>
        <w:rPr>
          <w:lang w:val="zh-CN"/>
        </w:rPr>
        <w:t>)</w:t>
      </w:r>
      <w:r>
        <w:rPr>
          <w:rFonts w:hint="eastAsia"/>
          <w:lang w:val="zh-CN"/>
        </w:rPr>
        <w:t>；</w:t>
      </w:r>
    </w:p>
    <w:p>
      <w:pPr>
        <w:pStyle w:val="159"/>
        <w:numPr>
          <w:ilvl w:val="0"/>
          <w:numId w:val="1"/>
        </w:numPr>
        <w:ind w:left="851" w:hanging="425" w:firstLineChars="0"/>
        <w:rPr>
          <w:rFonts w:cs="Times New Roman"/>
          <w:kern w:val="0"/>
        </w:rPr>
      </w:pPr>
      <w:r>
        <w:rPr>
          <w:rFonts w:hint="eastAsia"/>
          <w:lang w:val="zh-CN"/>
        </w:rPr>
        <w:t>《关于进一步加强危险废物和医疗废物监管工作的意见》</w:t>
      </w:r>
      <w:r>
        <w:rPr>
          <w:lang w:val="zh-CN"/>
        </w:rPr>
        <w:t>(</w:t>
      </w:r>
      <w:r>
        <w:rPr>
          <w:rFonts w:hint="eastAsia"/>
          <w:lang w:val="zh-CN"/>
        </w:rPr>
        <w:t>环发</w:t>
      </w:r>
      <w:r>
        <w:rPr>
          <w:lang w:val="zh-CN"/>
        </w:rPr>
        <w:t>[2011]19</w:t>
      </w:r>
      <w:r>
        <w:rPr>
          <w:rFonts w:hint="eastAsia"/>
          <w:lang w:val="zh-CN"/>
        </w:rPr>
        <w:t>号</w:t>
      </w:r>
      <w:r>
        <w:rPr>
          <w:lang w:val="zh-CN"/>
        </w:rPr>
        <w:t>)</w:t>
      </w:r>
      <w:r>
        <w:rPr>
          <w:rFonts w:hint="eastAsia"/>
          <w:lang w:val="zh-CN"/>
        </w:rPr>
        <w:t>；</w:t>
      </w:r>
    </w:p>
    <w:p>
      <w:pPr>
        <w:pStyle w:val="159"/>
        <w:numPr>
          <w:ilvl w:val="0"/>
          <w:numId w:val="1"/>
        </w:numPr>
        <w:ind w:left="851" w:hanging="425" w:firstLineChars="0"/>
        <w:rPr>
          <w:rFonts w:cs="Times New Roman"/>
          <w:kern w:val="0"/>
        </w:rPr>
      </w:pPr>
      <w:r>
        <w:rPr>
          <w:rFonts w:hint="eastAsia"/>
          <w:lang w:val="zh-CN"/>
        </w:rPr>
        <w:t>《危险化学品安全管理条例》</w:t>
      </w:r>
      <w:r>
        <w:rPr>
          <w:lang w:val="zh-CN"/>
        </w:rPr>
        <w:t>(</w:t>
      </w:r>
      <w:r>
        <w:rPr>
          <w:rFonts w:hint="eastAsia"/>
          <w:lang w:val="zh-CN"/>
        </w:rPr>
        <w:t>中华人民共和国国务院令第</w:t>
      </w:r>
      <w:r>
        <w:rPr>
          <w:lang w:val="zh-CN"/>
        </w:rPr>
        <w:t>591</w:t>
      </w:r>
      <w:r>
        <w:rPr>
          <w:rFonts w:hint="eastAsia"/>
          <w:lang w:val="zh-CN"/>
        </w:rPr>
        <w:t>号，</w:t>
      </w:r>
      <w:r>
        <w:rPr>
          <w:lang w:val="zh-CN"/>
        </w:rPr>
        <w:t>2002</w:t>
      </w:r>
      <w:r>
        <w:rPr>
          <w:rFonts w:hint="eastAsia"/>
          <w:lang w:val="zh-CN"/>
        </w:rPr>
        <w:t>年</w:t>
      </w:r>
      <w:r>
        <w:rPr>
          <w:lang w:val="zh-CN"/>
        </w:rPr>
        <w:t>)</w:t>
      </w:r>
      <w:r>
        <w:rPr>
          <w:rFonts w:hint="eastAsia"/>
          <w:lang w:val="zh-CN"/>
        </w:rPr>
        <w:t>；</w:t>
      </w:r>
    </w:p>
    <w:p>
      <w:pPr>
        <w:pStyle w:val="159"/>
        <w:numPr>
          <w:ilvl w:val="0"/>
          <w:numId w:val="1"/>
        </w:numPr>
        <w:ind w:left="0" w:firstLine="426" w:firstLineChars="0"/>
        <w:rPr>
          <w:rFonts w:cs="Times New Roman"/>
          <w:kern w:val="0"/>
        </w:rPr>
      </w:pPr>
      <w:r>
        <w:rPr>
          <w:rFonts w:hint="eastAsia"/>
          <w:kern w:val="0"/>
          <w:lang w:val="zh-CN"/>
        </w:rPr>
        <w:t>《</w:t>
      </w:r>
      <w:r>
        <w:rPr>
          <w:rFonts w:hint="eastAsia"/>
          <w:lang w:val="zh-CN"/>
        </w:rPr>
        <w:t>环境影响评价公众参与办法》，2019年1月1日施行；</w:t>
      </w:r>
    </w:p>
    <w:p>
      <w:pPr>
        <w:pStyle w:val="159"/>
        <w:numPr>
          <w:ilvl w:val="0"/>
          <w:numId w:val="1"/>
        </w:numPr>
        <w:ind w:left="0" w:firstLine="426" w:firstLineChars="0"/>
        <w:rPr>
          <w:rFonts w:cs="Times New Roman"/>
          <w:kern w:val="0"/>
        </w:rPr>
      </w:pPr>
      <w:r>
        <w:rPr>
          <w:rFonts w:hint="eastAsia"/>
          <w:kern w:val="0"/>
          <w:lang w:val="zh-CN"/>
        </w:rPr>
        <w:t>《突发环境事件应急管理办法》</w:t>
      </w:r>
      <w:r>
        <w:rPr>
          <w:lang w:val="zh-CN"/>
        </w:rPr>
        <w:t>(</w:t>
      </w:r>
      <w:r>
        <w:rPr>
          <w:rFonts w:hint="eastAsia"/>
          <w:lang w:val="zh-CN"/>
        </w:rPr>
        <w:t>环境保护部令</w:t>
      </w:r>
      <w:r>
        <w:rPr>
          <w:lang w:val="zh-CN"/>
        </w:rPr>
        <w:t>[2015] 34</w:t>
      </w:r>
      <w:r>
        <w:rPr>
          <w:rFonts w:hint="eastAsia"/>
          <w:lang w:val="zh-CN"/>
        </w:rPr>
        <w:t>号</w:t>
      </w:r>
      <w:r>
        <w:rPr>
          <w:lang w:val="zh-CN"/>
        </w:rPr>
        <w:t>)</w:t>
      </w:r>
      <w:r>
        <w:rPr>
          <w:rFonts w:hint="eastAsia"/>
          <w:lang w:val="zh-CN"/>
        </w:rPr>
        <w:t>；</w:t>
      </w:r>
    </w:p>
    <w:p>
      <w:pPr>
        <w:pStyle w:val="159"/>
        <w:numPr>
          <w:ilvl w:val="0"/>
          <w:numId w:val="1"/>
        </w:numPr>
        <w:ind w:left="0" w:firstLine="426" w:firstLineChars="0"/>
        <w:rPr>
          <w:rFonts w:cs="Times New Roman"/>
          <w:kern w:val="0"/>
        </w:rPr>
      </w:pPr>
      <w:r>
        <w:rPr>
          <w:rFonts w:hint="eastAsia"/>
          <w:lang w:val="zh-CN"/>
        </w:rPr>
        <w:t>《关于进一步加强环境影响评价管理防范环境风险的通知》</w:t>
      </w:r>
      <w:r>
        <w:rPr>
          <w:lang w:val="zh-CN"/>
        </w:rPr>
        <w:t>(</w:t>
      </w:r>
      <w:r>
        <w:rPr>
          <w:rFonts w:hint="eastAsia"/>
          <w:lang w:val="zh-CN"/>
        </w:rPr>
        <w:t>环发</w:t>
      </w:r>
      <w:r>
        <w:rPr>
          <w:lang w:val="zh-CN"/>
        </w:rPr>
        <w:t>[2012]77</w:t>
      </w:r>
      <w:r>
        <w:rPr>
          <w:rFonts w:hint="eastAsia"/>
          <w:lang w:val="zh-CN"/>
        </w:rPr>
        <w:t>号</w:t>
      </w:r>
      <w:r>
        <w:rPr>
          <w:lang w:val="zh-CN"/>
        </w:rPr>
        <w:t>)</w:t>
      </w:r>
      <w:r>
        <w:rPr>
          <w:rFonts w:hint="eastAsia"/>
          <w:lang w:val="zh-CN"/>
        </w:rPr>
        <w:t>；</w:t>
      </w:r>
    </w:p>
    <w:p>
      <w:pPr>
        <w:pStyle w:val="159"/>
        <w:numPr>
          <w:ilvl w:val="0"/>
          <w:numId w:val="1"/>
        </w:numPr>
        <w:ind w:left="0" w:firstLine="426" w:firstLineChars="0"/>
        <w:rPr>
          <w:rFonts w:cs="Times New Roman"/>
          <w:kern w:val="0"/>
        </w:rPr>
      </w:pPr>
      <w:r>
        <w:rPr>
          <w:rFonts w:hint="eastAsia" w:hAnsi="宋体"/>
          <w:lang w:val="zh-CN"/>
        </w:rPr>
        <w:t>《中华人民共和国水土保持法实施条例》；</w:t>
      </w:r>
    </w:p>
    <w:p>
      <w:pPr>
        <w:pStyle w:val="159"/>
        <w:numPr>
          <w:ilvl w:val="0"/>
          <w:numId w:val="1"/>
        </w:numPr>
        <w:ind w:left="0" w:firstLine="426" w:firstLineChars="0"/>
        <w:rPr>
          <w:rFonts w:cs="Times New Roman"/>
          <w:kern w:val="0"/>
        </w:rPr>
      </w:pPr>
      <w:r>
        <w:rPr>
          <w:rFonts w:hint="eastAsia"/>
          <w:lang w:val="zh-CN"/>
        </w:rPr>
        <w:t>《关于落实大气污染防治行动计划严格环境影响评价准入的通知》</w:t>
      </w:r>
      <w:r>
        <w:rPr>
          <w:lang w:val="zh-CN"/>
        </w:rPr>
        <w:t>(</w:t>
      </w:r>
      <w:r>
        <w:rPr>
          <w:rFonts w:hint="eastAsia"/>
          <w:lang w:val="zh-CN"/>
        </w:rPr>
        <w:t>环办</w:t>
      </w:r>
      <w:r>
        <w:rPr>
          <w:lang w:val="zh-CN"/>
        </w:rPr>
        <w:t>[2014]30</w:t>
      </w:r>
      <w:r>
        <w:rPr>
          <w:rFonts w:hint="eastAsia"/>
          <w:lang w:val="zh-CN"/>
        </w:rPr>
        <w:t>号</w:t>
      </w:r>
      <w:r>
        <w:rPr>
          <w:lang w:val="zh-CN"/>
        </w:rPr>
        <w:t>)</w:t>
      </w:r>
      <w:r>
        <w:rPr>
          <w:rFonts w:hint="eastAsia"/>
          <w:lang w:val="zh-CN"/>
        </w:rPr>
        <w:t>；</w:t>
      </w:r>
    </w:p>
    <w:p>
      <w:pPr>
        <w:pStyle w:val="159"/>
        <w:numPr>
          <w:ilvl w:val="0"/>
          <w:numId w:val="1"/>
        </w:numPr>
        <w:ind w:left="0" w:firstLine="426" w:firstLineChars="0"/>
        <w:rPr>
          <w:rFonts w:cs="Times New Roman"/>
          <w:kern w:val="0"/>
        </w:rPr>
      </w:pPr>
      <w:r>
        <w:rPr>
          <w:rFonts w:hint="eastAsia"/>
          <w:lang w:val="zh-CN"/>
        </w:rPr>
        <w:t>《内蒙古自治区环境保护条例》；</w:t>
      </w:r>
    </w:p>
    <w:p>
      <w:pPr>
        <w:pStyle w:val="159"/>
        <w:numPr>
          <w:ilvl w:val="0"/>
          <w:numId w:val="1"/>
        </w:numPr>
        <w:ind w:left="0" w:firstLine="426" w:firstLineChars="0"/>
        <w:rPr>
          <w:rFonts w:cs="Times New Roman"/>
          <w:kern w:val="0"/>
        </w:rPr>
      </w:pPr>
      <w:r>
        <w:rPr>
          <w:rFonts w:hint="eastAsia"/>
          <w:lang w:val="zh-CN"/>
        </w:rPr>
        <w:t>《内蒙古自治区建设项目环境监理管理暂行办法》。</w:t>
      </w:r>
    </w:p>
    <w:p>
      <w:pPr>
        <w:pStyle w:val="5"/>
        <w:rPr>
          <w:szCs w:val="24"/>
        </w:rPr>
      </w:pPr>
      <w:bookmarkStart w:id="74" w:name="_Toc13760074"/>
      <w:bookmarkStart w:id="75" w:name="_Toc3282108"/>
      <w:r>
        <w:rPr>
          <w:rFonts w:hint="eastAsia"/>
        </w:rPr>
        <w:t>2.2.2</w:t>
      </w:r>
      <w:r>
        <w:t>地方法规、规章及政策</w:t>
      </w:r>
      <w:bookmarkEnd w:id="74"/>
      <w:bookmarkEnd w:id="75"/>
    </w:p>
    <w:p>
      <w:pPr>
        <w:pStyle w:val="159"/>
        <w:numPr>
          <w:ilvl w:val="0"/>
          <w:numId w:val="2"/>
        </w:numPr>
        <w:ind w:firstLineChars="0"/>
        <w:rPr>
          <w:kern w:val="0"/>
        </w:rPr>
      </w:pPr>
      <w:r>
        <w:rPr>
          <w:rFonts w:hint="eastAsia"/>
          <w:kern w:val="0"/>
        </w:rPr>
        <w:t>《内蒙古自治区环境保护条例（修订）》（</w:t>
      </w:r>
      <w:r>
        <w:rPr>
          <w:kern w:val="0"/>
        </w:rPr>
        <w:t>2012</w:t>
      </w:r>
      <w:r>
        <w:rPr>
          <w:rFonts w:hint="eastAsia"/>
          <w:kern w:val="0"/>
        </w:rPr>
        <w:t>年</w:t>
      </w:r>
      <w:r>
        <w:rPr>
          <w:kern w:val="0"/>
        </w:rPr>
        <w:t>3</w:t>
      </w:r>
      <w:r>
        <w:rPr>
          <w:rFonts w:hint="eastAsia"/>
          <w:kern w:val="0"/>
        </w:rPr>
        <w:t>月</w:t>
      </w:r>
      <w:r>
        <w:rPr>
          <w:kern w:val="0"/>
        </w:rPr>
        <w:t>31</w:t>
      </w:r>
      <w:r>
        <w:rPr>
          <w:rFonts w:hint="eastAsia"/>
          <w:kern w:val="0"/>
        </w:rPr>
        <w:t>日）；</w:t>
      </w:r>
    </w:p>
    <w:p>
      <w:pPr>
        <w:pStyle w:val="159"/>
        <w:numPr>
          <w:ilvl w:val="0"/>
          <w:numId w:val="2"/>
        </w:numPr>
        <w:ind w:left="0" w:firstLine="480" w:firstLineChars="0"/>
        <w:rPr>
          <w:kern w:val="0"/>
        </w:rPr>
      </w:pPr>
      <w:r>
        <w:rPr>
          <w:rFonts w:hint="eastAsia"/>
          <w:kern w:val="0"/>
        </w:rPr>
        <w:t>内蒙古自治区人民政府，内政发</w:t>
      </w:r>
      <w:r>
        <w:rPr>
          <w:kern w:val="0"/>
        </w:rPr>
        <w:t>[201</w:t>
      </w:r>
      <w:r>
        <w:rPr>
          <w:rFonts w:hint="eastAsia"/>
          <w:kern w:val="0"/>
        </w:rPr>
        <w:t>8</w:t>
      </w:r>
      <w:r>
        <w:rPr>
          <w:kern w:val="0"/>
        </w:rPr>
        <w:t>]12</w:t>
      </w:r>
      <w:r>
        <w:rPr>
          <w:rFonts w:hint="eastAsia"/>
          <w:kern w:val="0"/>
        </w:rPr>
        <w:t>号《内蒙古自治区节能减排“十三五”规划》（</w:t>
      </w:r>
      <w:r>
        <w:rPr>
          <w:kern w:val="0"/>
        </w:rPr>
        <w:t>201</w:t>
      </w:r>
      <w:r>
        <w:rPr>
          <w:rFonts w:hint="eastAsia"/>
          <w:kern w:val="0"/>
        </w:rPr>
        <w:t>8年3月23日）；</w:t>
      </w:r>
    </w:p>
    <w:p>
      <w:pPr>
        <w:pStyle w:val="159"/>
        <w:numPr>
          <w:ilvl w:val="0"/>
          <w:numId w:val="2"/>
        </w:numPr>
        <w:ind w:left="0" w:firstLine="480" w:firstLineChars="0"/>
        <w:rPr>
          <w:kern w:val="0"/>
        </w:rPr>
      </w:pPr>
      <w:r>
        <w:rPr>
          <w:rFonts w:hint="eastAsia"/>
          <w:kern w:val="0"/>
        </w:rPr>
        <w:t>内蒙古自治区人民政府，内政发</w:t>
      </w:r>
      <w:r>
        <w:rPr>
          <w:kern w:val="0"/>
        </w:rPr>
        <w:t>[2013]126</w:t>
      </w:r>
      <w:r>
        <w:rPr>
          <w:rFonts w:hint="eastAsia"/>
          <w:kern w:val="0"/>
        </w:rPr>
        <w:t>号《关于贯彻落实大气污染防治行动计划的意见》（</w:t>
      </w:r>
      <w:r>
        <w:rPr>
          <w:kern w:val="0"/>
        </w:rPr>
        <w:t>2013</w:t>
      </w:r>
      <w:r>
        <w:rPr>
          <w:rFonts w:hint="eastAsia"/>
          <w:kern w:val="0"/>
        </w:rPr>
        <w:t>年</w:t>
      </w:r>
      <w:r>
        <w:rPr>
          <w:kern w:val="0"/>
        </w:rPr>
        <w:t>12</w:t>
      </w:r>
      <w:r>
        <w:rPr>
          <w:rFonts w:hint="eastAsia"/>
          <w:kern w:val="0"/>
        </w:rPr>
        <w:t>月</w:t>
      </w:r>
      <w:r>
        <w:rPr>
          <w:kern w:val="0"/>
        </w:rPr>
        <w:t>31</w:t>
      </w:r>
      <w:r>
        <w:rPr>
          <w:rFonts w:hint="eastAsia"/>
          <w:kern w:val="0"/>
        </w:rPr>
        <w:t>日）；</w:t>
      </w:r>
    </w:p>
    <w:p>
      <w:pPr>
        <w:pStyle w:val="159"/>
        <w:numPr>
          <w:ilvl w:val="0"/>
          <w:numId w:val="2"/>
        </w:numPr>
        <w:ind w:left="0" w:firstLine="480" w:firstLineChars="0"/>
        <w:rPr>
          <w:kern w:val="0"/>
        </w:rPr>
      </w:pPr>
      <w:r>
        <w:rPr>
          <w:rFonts w:hint="eastAsia"/>
          <w:kern w:val="0"/>
        </w:rPr>
        <w:t>内蒙古自治区人民党委，内党发</w:t>
      </w:r>
      <w:r>
        <w:rPr>
          <w:kern w:val="0"/>
        </w:rPr>
        <w:t>[2012]8</w:t>
      </w:r>
      <w:r>
        <w:rPr>
          <w:rFonts w:hint="eastAsia"/>
          <w:kern w:val="0"/>
        </w:rPr>
        <w:t>号《关于加强环境保护重点工作的意见》（</w:t>
      </w:r>
      <w:r>
        <w:rPr>
          <w:kern w:val="0"/>
        </w:rPr>
        <w:t>2012</w:t>
      </w:r>
      <w:r>
        <w:rPr>
          <w:rFonts w:hint="eastAsia"/>
          <w:kern w:val="0"/>
        </w:rPr>
        <w:t>年</w:t>
      </w:r>
      <w:r>
        <w:rPr>
          <w:kern w:val="0"/>
        </w:rPr>
        <w:t>5</w:t>
      </w:r>
      <w:r>
        <w:rPr>
          <w:rFonts w:hint="eastAsia"/>
          <w:kern w:val="0"/>
        </w:rPr>
        <w:t>月</w:t>
      </w:r>
      <w:r>
        <w:rPr>
          <w:kern w:val="0"/>
        </w:rPr>
        <w:t>4</w:t>
      </w:r>
      <w:r>
        <w:rPr>
          <w:rFonts w:hint="eastAsia"/>
          <w:kern w:val="0"/>
        </w:rPr>
        <w:t>日）；</w:t>
      </w:r>
    </w:p>
    <w:p>
      <w:pPr>
        <w:pStyle w:val="159"/>
        <w:numPr>
          <w:ilvl w:val="0"/>
          <w:numId w:val="2"/>
        </w:numPr>
        <w:ind w:left="0" w:firstLine="426" w:firstLineChars="0"/>
        <w:rPr>
          <w:rFonts w:cs="Times New Roman"/>
          <w:kern w:val="0"/>
        </w:rPr>
      </w:pPr>
      <w:r>
        <w:rPr>
          <w:rFonts w:hint="eastAsia"/>
          <w:kern w:val="0"/>
        </w:rPr>
        <w:t>内蒙古自治区人民政府办公厅，内政办发</w:t>
      </w:r>
      <w:r>
        <w:rPr>
          <w:kern w:val="0"/>
        </w:rPr>
        <w:t>[2014]46</w:t>
      </w:r>
      <w:r>
        <w:rPr>
          <w:rFonts w:hint="eastAsia"/>
          <w:kern w:val="0"/>
        </w:rPr>
        <w:t>号《关于印发〈内蒙古自治区人民政府关于贯彻落实大气污染防治行动计划的意见〉重点工作部门分工方案的通知》（</w:t>
      </w:r>
      <w:r>
        <w:rPr>
          <w:kern w:val="0"/>
        </w:rPr>
        <w:t>2014</w:t>
      </w:r>
      <w:r>
        <w:rPr>
          <w:rFonts w:hint="eastAsia"/>
          <w:kern w:val="0"/>
        </w:rPr>
        <w:t>年</w:t>
      </w:r>
      <w:r>
        <w:rPr>
          <w:kern w:val="0"/>
        </w:rPr>
        <w:t>5</w:t>
      </w:r>
      <w:r>
        <w:rPr>
          <w:rFonts w:hint="eastAsia"/>
          <w:kern w:val="0"/>
        </w:rPr>
        <w:t>月</w:t>
      </w:r>
      <w:r>
        <w:rPr>
          <w:kern w:val="0"/>
        </w:rPr>
        <w:t>20</w:t>
      </w:r>
      <w:r>
        <w:rPr>
          <w:rFonts w:hint="eastAsia"/>
          <w:kern w:val="0"/>
        </w:rPr>
        <w:t>日）；</w:t>
      </w:r>
    </w:p>
    <w:p>
      <w:pPr>
        <w:pStyle w:val="159"/>
        <w:numPr>
          <w:ilvl w:val="0"/>
          <w:numId w:val="2"/>
        </w:numPr>
        <w:ind w:left="0" w:firstLine="480" w:firstLineChars="0"/>
        <w:rPr>
          <w:rFonts w:cs="Times New Roman"/>
          <w:kern w:val="0"/>
        </w:rPr>
      </w:pPr>
      <w:r>
        <w:rPr>
          <w:rFonts w:hint="eastAsia"/>
          <w:kern w:val="0"/>
        </w:rPr>
        <w:t>内蒙古自治区人民政府办公厅，内政办发</w:t>
      </w:r>
      <w:r>
        <w:rPr>
          <w:kern w:val="0"/>
        </w:rPr>
        <w:t>[201</w:t>
      </w:r>
      <w:r>
        <w:rPr>
          <w:rFonts w:hint="eastAsia"/>
          <w:kern w:val="0"/>
        </w:rPr>
        <w:t>8</w:t>
      </w:r>
      <w:r>
        <w:rPr>
          <w:kern w:val="0"/>
        </w:rPr>
        <w:t>]</w:t>
      </w:r>
      <w:r>
        <w:rPr>
          <w:rFonts w:hint="eastAsia"/>
          <w:kern w:val="0"/>
        </w:rPr>
        <w:t>37号《内蒙古自治区打赢蓝天保卫战三年行动计划实施方案》（2018年9月29日）。</w:t>
      </w:r>
    </w:p>
    <w:p>
      <w:pPr>
        <w:pStyle w:val="5"/>
        <w:rPr>
          <w:kern w:val="0"/>
        </w:rPr>
      </w:pPr>
      <w:bookmarkStart w:id="76" w:name="_Toc3282109"/>
      <w:bookmarkStart w:id="77" w:name="_Toc13760075"/>
      <w:r>
        <w:rPr>
          <w:rFonts w:hint="eastAsia"/>
        </w:rPr>
        <w:t>2.2.3</w:t>
      </w:r>
      <w:r>
        <w:t>相关规划</w:t>
      </w:r>
      <w:bookmarkEnd w:id="76"/>
      <w:bookmarkEnd w:id="77"/>
    </w:p>
    <w:p>
      <w:pPr>
        <w:pStyle w:val="159"/>
        <w:numPr>
          <w:ilvl w:val="0"/>
          <w:numId w:val="3"/>
        </w:numPr>
        <w:ind w:hanging="194" w:firstLineChars="0"/>
        <w:rPr>
          <w:kern w:val="0"/>
        </w:rPr>
      </w:pPr>
      <w:r>
        <w:rPr>
          <w:kern w:val="0"/>
        </w:rPr>
        <w:t>《中华人民共和国国民经济和社会发展第十三个五年规划纲要》，2016年1月；</w:t>
      </w:r>
    </w:p>
    <w:p>
      <w:pPr>
        <w:pStyle w:val="159"/>
        <w:numPr>
          <w:ilvl w:val="0"/>
          <w:numId w:val="3"/>
        </w:numPr>
        <w:ind w:hanging="194" w:firstLineChars="0"/>
        <w:rPr>
          <w:kern w:val="0"/>
        </w:rPr>
      </w:pPr>
      <w:r>
        <w:rPr>
          <w:kern w:val="0"/>
        </w:rPr>
        <w:t>《内蒙古自治区国民经济与社会发展第十三个五年规划纲要》，2016年；</w:t>
      </w:r>
    </w:p>
    <w:p>
      <w:pPr>
        <w:pStyle w:val="159"/>
        <w:numPr>
          <w:ilvl w:val="0"/>
          <w:numId w:val="3"/>
        </w:numPr>
        <w:ind w:hanging="194" w:firstLineChars="0"/>
        <w:rPr>
          <w:kern w:val="0"/>
        </w:rPr>
      </w:pPr>
      <w:r>
        <w:t>《内蒙古自治区生态环境保护</w:t>
      </w:r>
      <w:r>
        <w:rPr>
          <w:rFonts w:hint="eastAsia"/>
        </w:rPr>
        <w:t>“</w:t>
      </w:r>
      <w:r>
        <w:t>十三五</w:t>
      </w:r>
      <w:r>
        <w:rPr>
          <w:rFonts w:hint="eastAsia"/>
        </w:rPr>
        <w:t>”</w:t>
      </w:r>
      <w:r>
        <w:t>规划》，2017年；</w:t>
      </w:r>
    </w:p>
    <w:p>
      <w:pPr>
        <w:pStyle w:val="161"/>
        <w:numPr>
          <w:ilvl w:val="0"/>
          <w:numId w:val="3"/>
        </w:numPr>
        <w:ind w:hanging="194" w:firstLineChars="0"/>
      </w:pPr>
      <w:r>
        <w:t>《内蒙古自治区</w:t>
      </w:r>
      <w:r>
        <w:rPr>
          <w:rFonts w:hint="eastAsia"/>
        </w:rPr>
        <w:t>阿拉善盟</w:t>
      </w:r>
      <w:r>
        <w:t>国民经济与社会发展第十三个五年规划纲要》，2016年；</w:t>
      </w:r>
    </w:p>
    <w:p>
      <w:pPr>
        <w:pStyle w:val="159"/>
        <w:numPr>
          <w:ilvl w:val="0"/>
          <w:numId w:val="3"/>
        </w:numPr>
        <w:ind w:hanging="194" w:firstLineChars="0"/>
        <w:rPr>
          <w:kern w:val="0"/>
        </w:rPr>
      </w:pPr>
      <w:r>
        <w:t>《</w:t>
      </w:r>
      <w:r>
        <w:rPr>
          <w:rFonts w:hint="eastAsia"/>
          <w:snapToGrid w:val="0"/>
          <w:szCs w:val="24"/>
        </w:rPr>
        <w:t>阿拉善腾格里经济技术开发区总体规划环境影响评价报告</w:t>
      </w:r>
      <w:r>
        <w:t>》，201</w:t>
      </w:r>
      <w:r>
        <w:rPr>
          <w:rFonts w:hint="eastAsia"/>
        </w:rPr>
        <w:t>7</w:t>
      </w:r>
      <w:r>
        <w:t>年；</w:t>
      </w:r>
    </w:p>
    <w:p>
      <w:pPr>
        <w:pStyle w:val="5"/>
        <w:rPr>
          <w:kern w:val="0"/>
        </w:rPr>
      </w:pPr>
      <w:bookmarkStart w:id="78" w:name="_Toc13760076"/>
      <w:bookmarkStart w:id="79" w:name="_Toc3282110"/>
      <w:r>
        <w:rPr>
          <w:rFonts w:hint="eastAsia"/>
        </w:rPr>
        <w:t>2.2.4</w:t>
      </w:r>
      <w:r>
        <w:t>技术依据</w:t>
      </w:r>
      <w:bookmarkEnd w:id="78"/>
      <w:bookmarkEnd w:id="79"/>
    </w:p>
    <w:p>
      <w:pPr>
        <w:pStyle w:val="161"/>
        <w:numPr>
          <w:ilvl w:val="0"/>
          <w:numId w:val="4"/>
        </w:numPr>
        <w:ind w:hanging="474" w:firstLineChars="0"/>
      </w:pPr>
      <w:r>
        <w:t>《</w:t>
      </w:r>
      <w:r>
        <w:rPr>
          <w:rFonts w:hint="eastAsia"/>
        </w:rPr>
        <w:t>建设项目</w:t>
      </w:r>
      <w:r>
        <w:t>环境影响评价技术导则·总纲》，（HJ2.1-2016）；</w:t>
      </w:r>
    </w:p>
    <w:p>
      <w:pPr>
        <w:pStyle w:val="161"/>
        <w:numPr>
          <w:ilvl w:val="0"/>
          <w:numId w:val="4"/>
        </w:numPr>
        <w:ind w:hanging="474" w:firstLineChars="0"/>
      </w:pPr>
      <w:r>
        <w:t>《环境影响评价技术导则·地下水环境》，（HJ610-2016）；</w:t>
      </w:r>
    </w:p>
    <w:p>
      <w:pPr>
        <w:pStyle w:val="161"/>
        <w:numPr>
          <w:ilvl w:val="0"/>
          <w:numId w:val="4"/>
        </w:numPr>
        <w:ind w:hanging="474" w:firstLineChars="0"/>
      </w:pPr>
      <w:r>
        <w:t>《环境影响评价技术导则·地</w:t>
      </w:r>
      <w:r>
        <w:rPr>
          <w:rFonts w:hint="eastAsia"/>
        </w:rPr>
        <w:t>表</w:t>
      </w:r>
      <w:r>
        <w:t>水环境》，（HJ</w:t>
      </w:r>
      <w:r>
        <w:rPr>
          <w:rFonts w:hint="eastAsia"/>
        </w:rPr>
        <w:t>2.3</w:t>
      </w:r>
      <w:r>
        <w:t>-201</w:t>
      </w:r>
      <w:r>
        <w:rPr>
          <w:rFonts w:hint="eastAsia"/>
        </w:rPr>
        <w:t>8</w:t>
      </w:r>
      <w:r>
        <w:t>）；</w:t>
      </w:r>
    </w:p>
    <w:p>
      <w:pPr>
        <w:pStyle w:val="161"/>
        <w:numPr>
          <w:ilvl w:val="0"/>
          <w:numId w:val="4"/>
        </w:numPr>
        <w:ind w:hanging="474" w:firstLineChars="0"/>
      </w:pPr>
      <w:r>
        <w:t>《环境影响评价技术导则·大气环境》，（HJ2.2-20</w:t>
      </w:r>
      <w:r>
        <w:rPr>
          <w:rFonts w:hint="eastAsia"/>
        </w:rPr>
        <w:t>1</w:t>
      </w:r>
      <w:r>
        <w:t>8）；</w:t>
      </w:r>
    </w:p>
    <w:p>
      <w:pPr>
        <w:pStyle w:val="161"/>
        <w:numPr>
          <w:ilvl w:val="0"/>
          <w:numId w:val="4"/>
        </w:numPr>
        <w:ind w:hanging="474" w:firstLineChars="0"/>
      </w:pPr>
      <w:r>
        <w:t>《环境影响评价技术导则·声环境》，（HJ2.4-2009）；</w:t>
      </w:r>
    </w:p>
    <w:p>
      <w:pPr>
        <w:pStyle w:val="161"/>
        <w:numPr>
          <w:ilvl w:val="0"/>
          <w:numId w:val="4"/>
        </w:numPr>
        <w:ind w:hanging="474" w:firstLineChars="0"/>
        <w:rPr>
          <w:highlight w:val="yellow"/>
        </w:rPr>
      </w:pPr>
      <w:r>
        <w:rPr>
          <w:highlight w:val="yellow"/>
        </w:rPr>
        <w:t>《环境影响评价技术导则·</w:t>
      </w:r>
      <w:r>
        <w:rPr>
          <w:rFonts w:hint="eastAsia"/>
          <w:highlight w:val="yellow"/>
        </w:rPr>
        <w:t>土壤</w:t>
      </w:r>
      <w:r>
        <w:rPr>
          <w:highlight w:val="yellow"/>
        </w:rPr>
        <w:t>环境》</w:t>
      </w:r>
      <w:r>
        <w:rPr>
          <w:rFonts w:hint="eastAsia"/>
          <w:highlight w:val="yellow"/>
        </w:rPr>
        <w:t>（试行）</w:t>
      </w:r>
      <w:r>
        <w:rPr>
          <w:highlight w:val="yellow"/>
        </w:rPr>
        <w:t>，（HJ</w:t>
      </w:r>
      <w:r>
        <w:rPr>
          <w:rFonts w:hint="eastAsia"/>
          <w:highlight w:val="yellow"/>
        </w:rPr>
        <w:t>964</w:t>
      </w:r>
      <w:r>
        <w:rPr>
          <w:highlight w:val="yellow"/>
        </w:rPr>
        <w:t>-20</w:t>
      </w:r>
      <w:r>
        <w:rPr>
          <w:rFonts w:hint="eastAsia"/>
          <w:highlight w:val="yellow"/>
        </w:rPr>
        <w:t>18</w:t>
      </w:r>
      <w:r>
        <w:rPr>
          <w:highlight w:val="yellow"/>
        </w:rPr>
        <w:t>）；</w:t>
      </w:r>
    </w:p>
    <w:p>
      <w:pPr>
        <w:pStyle w:val="161"/>
        <w:numPr>
          <w:ilvl w:val="0"/>
          <w:numId w:val="4"/>
        </w:numPr>
        <w:ind w:hanging="474" w:firstLineChars="0"/>
      </w:pPr>
      <w:r>
        <w:rPr>
          <w:rFonts w:hint="eastAsia"/>
        </w:rPr>
        <w:t>《环境影响评价技术导则</w:t>
      </w:r>
      <w:r>
        <w:t>-</w:t>
      </w:r>
      <w:r>
        <w:rPr>
          <w:rFonts w:hint="eastAsia"/>
        </w:rPr>
        <w:t>生态影响》（</w:t>
      </w:r>
      <w:r>
        <w:t>HJ 19-2011</w:t>
      </w:r>
      <w:r>
        <w:rPr>
          <w:rFonts w:hint="eastAsia"/>
        </w:rPr>
        <w:t>）；</w:t>
      </w:r>
    </w:p>
    <w:p>
      <w:pPr>
        <w:pStyle w:val="161"/>
        <w:numPr>
          <w:ilvl w:val="0"/>
          <w:numId w:val="4"/>
        </w:numPr>
        <w:ind w:hanging="474" w:firstLineChars="0"/>
        <w:rPr>
          <w:kern w:val="0"/>
        </w:rPr>
      </w:pPr>
      <w:r>
        <w:t>《建设项目环境风险评价评价技术导则》，（HJ169-20</w:t>
      </w:r>
      <w:r>
        <w:rPr>
          <w:rFonts w:hint="eastAsia"/>
        </w:rPr>
        <w:t>18</w:t>
      </w:r>
      <w:r>
        <w:t>）</w:t>
      </w:r>
      <w:r>
        <w:rPr>
          <w:rFonts w:hint="eastAsia"/>
        </w:rPr>
        <w:t>；</w:t>
      </w:r>
    </w:p>
    <w:p>
      <w:pPr>
        <w:pStyle w:val="161"/>
        <w:numPr>
          <w:ilvl w:val="0"/>
          <w:numId w:val="4"/>
        </w:numPr>
        <w:ind w:hanging="474" w:firstLineChars="0"/>
      </w:pPr>
      <w:r>
        <w:rPr>
          <w:rFonts w:hint="eastAsia"/>
        </w:rPr>
        <w:t>《危险废物处置工程技术导则》</w:t>
      </w:r>
      <w:r>
        <w:t>(HJ2042-2014)</w:t>
      </w:r>
      <w:r>
        <w:rPr>
          <w:rFonts w:hint="eastAsia"/>
        </w:rPr>
        <w:t>；</w:t>
      </w:r>
    </w:p>
    <w:p>
      <w:pPr>
        <w:pStyle w:val="161"/>
        <w:numPr>
          <w:ilvl w:val="0"/>
          <w:numId w:val="4"/>
        </w:numPr>
        <w:ind w:hanging="474" w:firstLineChars="0"/>
      </w:pPr>
      <w:r>
        <w:rPr>
          <w:rFonts w:hint="eastAsia"/>
        </w:rPr>
        <w:t>《危险废物安全填埋处置工程</w:t>
      </w:r>
      <w:r>
        <w:rPr>
          <w:rFonts w:hint="eastAsia"/>
          <w:kern w:val="0"/>
        </w:rPr>
        <w:t>建设技术要求》</w:t>
      </w:r>
      <w:r>
        <w:rPr>
          <w:kern w:val="0"/>
        </w:rPr>
        <w:t>(</w:t>
      </w:r>
      <w:r>
        <w:rPr>
          <w:rFonts w:hint="eastAsia"/>
          <w:kern w:val="0"/>
        </w:rPr>
        <w:t>环发</w:t>
      </w:r>
      <w:r>
        <w:rPr>
          <w:kern w:val="0"/>
        </w:rPr>
        <w:t>[2004]75</w:t>
      </w:r>
      <w:r>
        <w:rPr>
          <w:rFonts w:hint="eastAsia"/>
          <w:kern w:val="0"/>
        </w:rPr>
        <w:t>号</w:t>
      </w:r>
      <w:r>
        <w:rPr>
          <w:kern w:val="0"/>
        </w:rPr>
        <w:t>)</w:t>
      </w:r>
      <w:r>
        <w:rPr>
          <w:rFonts w:hint="eastAsia"/>
          <w:kern w:val="0"/>
        </w:rPr>
        <w:t>；</w:t>
      </w:r>
    </w:p>
    <w:p>
      <w:pPr>
        <w:pStyle w:val="161"/>
        <w:numPr>
          <w:ilvl w:val="0"/>
          <w:numId w:val="4"/>
        </w:numPr>
        <w:ind w:hanging="474" w:firstLineChars="0"/>
      </w:pPr>
      <w:r>
        <w:rPr>
          <w:rFonts w:hint="eastAsia"/>
        </w:rPr>
        <w:t>《危险化学品重大危险源辨识》</w:t>
      </w:r>
      <w:r>
        <w:t>(GB18218-201</w:t>
      </w:r>
      <w:r>
        <w:rPr>
          <w:rFonts w:hint="eastAsia"/>
        </w:rPr>
        <w:t>8</w:t>
      </w:r>
      <w:r>
        <w:t>)</w:t>
      </w:r>
      <w:r>
        <w:rPr>
          <w:rFonts w:hint="eastAsia"/>
        </w:rPr>
        <w:t>；</w:t>
      </w:r>
    </w:p>
    <w:p>
      <w:pPr>
        <w:pStyle w:val="161"/>
        <w:numPr>
          <w:ilvl w:val="0"/>
          <w:numId w:val="4"/>
        </w:numPr>
        <w:ind w:hanging="474" w:firstLineChars="0"/>
      </w:pPr>
      <w:r>
        <w:rPr>
          <w:rFonts w:hint="eastAsia"/>
          <w:kern w:val="0"/>
        </w:rPr>
        <w:t>《危险废物鉴别技术规范》</w:t>
      </w:r>
      <w:r>
        <w:rPr>
          <w:kern w:val="0"/>
        </w:rPr>
        <w:t>(HJ/T298-2007)</w:t>
      </w:r>
      <w:r>
        <w:rPr>
          <w:rFonts w:hint="eastAsia"/>
          <w:kern w:val="0"/>
        </w:rPr>
        <w:t>；</w:t>
      </w:r>
    </w:p>
    <w:p>
      <w:pPr>
        <w:pStyle w:val="161"/>
        <w:numPr>
          <w:ilvl w:val="0"/>
          <w:numId w:val="4"/>
        </w:numPr>
        <w:ind w:hanging="474" w:firstLineChars="0"/>
      </w:pPr>
      <w:r>
        <w:rPr>
          <w:rFonts w:hint="eastAsia"/>
          <w:kern w:val="0"/>
        </w:rPr>
        <w:t>《危险废物鉴别标准》</w:t>
      </w:r>
      <w:r>
        <w:rPr>
          <w:kern w:val="0"/>
        </w:rPr>
        <w:t>(GB5085-2007)</w:t>
      </w:r>
      <w:r>
        <w:rPr>
          <w:rFonts w:hint="eastAsia"/>
          <w:kern w:val="0"/>
        </w:rPr>
        <w:t>；</w:t>
      </w:r>
    </w:p>
    <w:p>
      <w:pPr>
        <w:pStyle w:val="161"/>
        <w:numPr>
          <w:ilvl w:val="0"/>
          <w:numId w:val="4"/>
        </w:numPr>
        <w:ind w:left="0" w:firstLine="426" w:firstLineChars="0"/>
      </w:pPr>
      <w:r>
        <w:rPr>
          <w:rFonts w:hint="eastAsia"/>
          <w:kern w:val="0"/>
        </w:rPr>
        <w:t>《危险废物和医疗废物处置设施建设项目环境影响评价技术原则</w:t>
      </w:r>
      <w:r>
        <w:rPr>
          <w:kern w:val="0"/>
        </w:rPr>
        <w:t>(</w:t>
      </w:r>
      <w:r>
        <w:rPr>
          <w:rFonts w:hint="eastAsia"/>
          <w:kern w:val="0"/>
        </w:rPr>
        <w:t>试行</w:t>
      </w:r>
      <w:r>
        <w:rPr>
          <w:kern w:val="0"/>
        </w:rPr>
        <w:t>)</w:t>
      </w:r>
      <w:r>
        <w:rPr>
          <w:rFonts w:hint="eastAsia"/>
          <w:kern w:val="0"/>
        </w:rPr>
        <w:t>》</w:t>
      </w:r>
      <w:r>
        <w:t>(</w:t>
      </w:r>
      <w:r>
        <w:rPr>
          <w:rFonts w:hint="eastAsia"/>
        </w:rPr>
        <w:t>环发</w:t>
      </w:r>
      <w:r>
        <w:t>[2004]58</w:t>
      </w:r>
      <w:r>
        <w:rPr>
          <w:rFonts w:hint="eastAsia"/>
        </w:rPr>
        <w:t>号</w:t>
      </w:r>
      <w:r>
        <w:t>)</w:t>
      </w:r>
      <w:r>
        <w:rPr>
          <w:rFonts w:hint="eastAsia"/>
          <w:kern w:val="0"/>
        </w:rPr>
        <w:t>；</w:t>
      </w:r>
    </w:p>
    <w:p>
      <w:pPr>
        <w:pStyle w:val="161"/>
        <w:numPr>
          <w:ilvl w:val="0"/>
          <w:numId w:val="4"/>
        </w:numPr>
        <w:ind w:left="0" w:firstLine="426" w:firstLineChars="0"/>
      </w:pPr>
      <w:r>
        <w:rPr>
          <w:rFonts w:hint="eastAsia"/>
        </w:rPr>
        <w:t>《关于发布</w:t>
      </w:r>
      <w:r>
        <w:t>&lt;</w:t>
      </w:r>
      <w:r>
        <w:rPr>
          <w:rFonts w:hint="eastAsia"/>
        </w:rPr>
        <w:t>危险废物集中焚烧处置工程建设技术规范</w:t>
      </w:r>
      <w:r>
        <w:t>&gt;(HJ/T176-2005)</w:t>
      </w:r>
      <w:r>
        <w:rPr>
          <w:rFonts w:hint="eastAsia"/>
        </w:rPr>
        <w:t>修改方案的公告》</w:t>
      </w:r>
      <w:r>
        <w:t>(</w:t>
      </w:r>
      <w:r>
        <w:rPr>
          <w:rFonts w:hint="eastAsia"/>
        </w:rPr>
        <w:t>环境保护部公告</w:t>
      </w:r>
      <w:r>
        <w:t>2012</w:t>
      </w:r>
      <w:r>
        <w:rPr>
          <w:rFonts w:hint="eastAsia"/>
        </w:rPr>
        <w:t>年第</w:t>
      </w:r>
      <w:r>
        <w:t>33</w:t>
      </w:r>
      <w:r>
        <w:rPr>
          <w:rFonts w:hint="eastAsia"/>
        </w:rPr>
        <w:t>号</w:t>
      </w:r>
      <w:r>
        <w:t>)</w:t>
      </w:r>
      <w:r>
        <w:rPr>
          <w:rFonts w:hint="eastAsia"/>
        </w:rPr>
        <w:t>；</w:t>
      </w:r>
    </w:p>
    <w:p>
      <w:pPr>
        <w:pStyle w:val="161"/>
        <w:numPr>
          <w:ilvl w:val="0"/>
          <w:numId w:val="4"/>
        </w:numPr>
        <w:ind w:left="0" w:firstLine="426" w:firstLineChars="0"/>
      </w:pPr>
      <w:r>
        <w:rPr>
          <w:rFonts w:hint="eastAsia"/>
        </w:rPr>
        <w:t>《关于执行</w:t>
      </w:r>
      <w:r>
        <w:t>&lt;</w:t>
      </w:r>
      <w:r>
        <w:rPr>
          <w:rFonts w:hint="eastAsia"/>
        </w:rPr>
        <w:t>危险废物集中焚烧处置工程建设技术规范</w:t>
      </w:r>
      <w:r>
        <w:t>&gt;(HJ/T176-2005)</w:t>
      </w:r>
      <w:r>
        <w:rPr>
          <w:rFonts w:hint="eastAsia"/>
        </w:rPr>
        <w:t>问题的复函》</w:t>
      </w:r>
      <w:r>
        <w:t>(</w:t>
      </w:r>
      <w:r>
        <w:rPr>
          <w:rFonts w:hint="eastAsia"/>
        </w:rPr>
        <w:t>环函</w:t>
      </w:r>
      <w:r>
        <w:t xml:space="preserve">[2012]114 </w:t>
      </w:r>
      <w:r>
        <w:rPr>
          <w:rFonts w:hint="eastAsia"/>
        </w:rPr>
        <w:t>号</w:t>
      </w:r>
      <w:r>
        <w:t>)</w:t>
      </w:r>
      <w:r>
        <w:rPr>
          <w:rFonts w:hint="eastAsia"/>
        </w:rPr>
        <w:t>；</w:t>
      </w:r>
    </w:p>
    <w:p>
      <w:pPr>
        <w:pStyle w:val="161"/>
        <w:numPr>
          <w:ilvl w:val="0"/>
          <w:numId w:val="4"/>
        </w:numPr>
        <w:ind w:hanging="474" w:firstLineChars="0"/>
      </w:pPr>
      <w:r>
        <w:rPr>
          <w:rFonts w:hint="eastAsia" w:ascii="宋体" w:cs="宋体" w:hAnsiTheme="minorHAnsi"/>
          <w:kern w:val="0"/>
        </w:rPr>
        <w:t>《建设项目危险废物环境影响评价指南》（</w:t>
      </w:r>
      <w:r>
        <w:rPr>
          <w:rFonts w:hint="eastAsia"/>
        </w:rPr>
        <w:t>环境保护部公告</w:t>
      </w:r>
      <w:r>
        <w:t>2017</w:t>
      </w:r>
      <w:r>
        <w:rPr>
          <w:rFonts w:hint="eastAsia"/>
        </w:rPr>
        <w:t>年第</w:t>
      </w:r>
      <w:r>
        <w:t>43</w:t>
      </w:r>
      <w:r>
        <w:rPr>
          <w:rFonts w:hint="eastAsia"/>
        </w:rPr>
        <w:t>号）；</w:t>
      </w:r>
    </w:p>
    <w:p>
      <w:pPr>
        <w:pStyle w:val="161"/>
        <w:numPr>
          <w:ilvl w:val="0"/>
          <w:numId w:val="4"/>
        </w:numPr>
        <w:ind w:hanging="474" w:firstLineChars="0"/>
      </w:pPr>
      <w:r>
        <w:rPr>
          <w:rFonts w:hint="eastAsia" w:ascii="宋体" w:cs="宋体" w:hAnsiTheme="minorHAnsi"/>
          <w:kern w:val="0"/>
        </w:rPr>
        <w:t>《危险废物收集贮存运输技</w:t>
      </w:r>
      <w:r>
        <w:rPr>
          <w:rFonts w:hint="eastAsia"/>
        </w:rPr>
        <w:t>术规范》（</w:t>
      </w:r>
      <w:r>
        <w:t>HJ2015-2012</w:t>
      </w:r>
      <w:r>
        <w:rPr>
          <w:rFonts w:hint="eastAsia"/>
        </w:rPr>
        <w:t>）；</w:t>
      </w:r>
    </w:p>
    <w:p>
      <w:pPr>
        <w:pStyle w:val="161"/>
        <w:numPr>
          <w:ilvl w:val="0"/>
          <w:numId w:val="4"/>
        </w:numPr>
        <w:ind w:hanging="474" w:firstLineChars="0"/>
      </w:pPr>
      <w:r>
        <w:rPr>
          <w:rFonts w:hint="eastAsia" w:ascii="宋体" w:cs="宋体" w:hAnsiTheme="minorHAnsi"/>
          <w:kern w:val="0"/>
        </w:rPr>
        <w:t>《危险废物污染防治技术政策》（环发</w:t>
      </w:r>
      <w:r>
        <w:rPr>
          <w:rFonts w:ascii="宋体" w:cs="宋体" w:hAnsiTheme="minorHAnsi"/>
          <w:kern w:val="0"/>
        </w:rPr>
        <w:t>[2001]199</w:t>
      </w:r>
      <w:r>
        <w:rPr>
          <w:rFonts w:hint="eastAsia" w:ascii="宋体" w:cs="宋体" w:hAnsiTheme="minorHAnsi"/>
          <w:kern w:val="0"/>
        </w:rPr>
        <w:t>号）；</w:t>
      </w:r>
    </w:p>
    <w:p>
      <w:pPr>
        <w:pStyle w:val="161"/>
        <w:numPr>
          <w:ilvl w:val="0"/>
          <w:numId w:val="4"/>
        </w:numPr>
        <w:ind w:hanging="474" w:firstLineChars="0"/>
      </w:pPr>
      <w:r>
        <w:rPr>
          <w:rFonts w:hint="eastAsia"/>
          <w:kern w:val="0"/>
        </w:rPr>
        <w:t>《危险废物集中焚烧处置设施运行监督管理技术规范》</w:t>
      </w:r>
      <w:r>
        <w:rPr>
          <w:kern w:val="0"/>
        </w:rPr>
        <w:t>(HJ515-2009)</w:t>
      </w:r>
      <w:r>
        <w:rPr>
          <w:rFonts w:hint="eastAsia"/>
        </w:rPr>
        <w:t>；</w:t>
      </w:r>
    </w:p>
    <w:p>
      <w:pPr>
        <w:pStyle w:val="161"/>
        <w:numPr>
          <w:ilvl w:val="0"/>
          <w:numId w:val="4"/>
        </w:numPr>
        <w:ind w:left="0" w:firstLine="426" w:firstLineChars="0"/>
        <w:rPr>
          <w:kern w:val="0"/>
        </w:rPr>
      </w:pPr>
      <w:r>
        <w:rPr>
          <w:rFonts w:hint="eastAsia"/>
        </w:rPr>
        <w:t>《关于发布</w:t>
      </w:r>
      <w:r>
        <w:t>&lt;</w:t>
      </w:r>
      <w:r>
        <w:rPr>
          <w:rFonts w:hint="eastAsia"/>
        </w:rPr>
        <w:t>一般工业固体废物贮存、处置场污染控制标准</w:t>
      </w:r>
      <w:r>
        <w:t>&gt;(GB18599- 2001)</w:t>
      </w:r>
      <w:r>
        <w:rPr>
          <w:rFonts w:hint="eastAsia"/>
        </w:rPr>
        <w:t>等</w:t>
      </w:r>
      <w:r>
        <w:t>3</w:t>
      </w:r>
      <w:r>
        <w:rPr>
          <w:rFonts w:hint="eastAsia"/>
        </w:rPr>
        <w:t>项国家污染物控制标准修改单的公告》</w:t>
      </w:r>
      <w:r>
        <w:t>(</w:t>
      </w:r>
      <w:r>
        <w:rPr>
          <w:rFonts w:hint="eastAsia"/>
        </w:rPr>
        <w:t>环境保护部公告</w:t>
      </w:r>
      <w:r>
        <w:t>2013</w:t>
      </w:r>
      <w:r>
        <w:rPr>
          <w:rFonts w:hint="eastAsia"/>
        </w:rPr>
        <w:t>年第</w:t>
      </w:r>
      <w:r>
        <w:t>36</w:t>
      </w:r>
      <w:r>
        <w:rPr>
          <w:rFonts w:hint="eastAsia"/>
        </w:rPr>
        <w:t>号</w:t>
      </w:r>
      <w:r>
        <w:t>)</w:t>
      </w:r>
      <w:r>
        <w:rPr>
          <w:rFonts w:hint="eastAsia"/>
        </w:rPr>
        <w:t>。</w:t>
      </w:r>
    </w:p>
    <w:p>
      <w:pPr>
        <w:pStyle w:val="5"/>
        <w:rPr>
          <w:kern w:val="0"/>
        </w:rPr>
      </w:pPr>
      <w:bookmarkStart w:id="80" w:name="_Toc13760077"/>
      <w:bookmarkStart w:id="81" w:name="_Toc3282111"/>
      <w:r>
        <w:rPr>
          <w:rFonts w:hint="eastAsia"/>
        </w:rPr>
        <w:t>2.2.5</w:t>
      </w:r>
      <w:r>
        <w:t>项目</w:t>
      </w:r>
      <w:r>
        <w:rPr>
          <w:rFonts w:hint="eastAsia"/>
        </w:rPr>
        <w:t>编制</w:t>
      </w:r>
      <w:r>
        <w:t>依据文件及技术参考资料</w:t>
      </w:r>
      <w:bookmarkEnd w:id="80"/>
      <w:bookmarkEnd w:id="81"/>
    </w:p>
    <w:p>
      <w:pPr>
        <w:pStyle w:val="159"/>
        <w:numPr>
          <w:ilvl w:val="0"/>
          <w:numId w:val="5"/>
        </w:numPr>
        <w:ind w:hanging="474" w:firstLineChars="0"/>
      </w:pPr>
      <w:r>
        <w:t>《</w:t>
      </w:r>
      <w:r>
        <w:rPr>
          <w:rFonts w:hint="eastAsia"/>
        </w:rPr>
        <w:t>委托书</w:t>
      </w:r>
      <w:r>
        <w:t>》</w:t>
      </w:r>
      <w:r>
        <w:rPr>
          <w:rFonts w:hint="eastAsia"/>
        </w:rPr>
        <w:t>，</w:t>
      </w:r>
      <w:r>
        <w:rPr>
          <w:rFonts w:hint="eastAsia" w:hAnsi="宋体"/>
          <w:bCs/>
        </w:rPr>
        <w:t>阿拉善盟绿能环保科技有限公司</w:t>
      </w:r>
      <w:r>
        <w:rPr>
          <w:rFonts w:hint="eastAsia"/>
        </w:rPr>
        <w:t>，</w:t>
      </w:r>
      <w:r>
        <w:t>201</w:t>
      </w:r>
      <w:r>
        <w:rPr>
          <w:rFonts w:hint="eastAsia"/>
        </w:rPr>
        <w:t>9年6月；</w:t>
      </w:r>
    </w:p>
    <w:p>
      <w:pPr>
        <w:pStyle w:val="159"/>
        <w:numPr>
          <w:ilvl w:val="0"/>
          <w:numId w:val="5"/>
        </w:numPr>
        <w:ind w:left="0" w:firstLine="426" w:firstLineChars="0"/>
      </w:pPr>
      <w:r>
        <w:rPr>
          <w:rFonts w:hint="eastAsia"/>
        </w:rPr>
        <w:t>《</w:t>
      </w:r>
      <w:r>
        <w:rPr>
          <w:rFonts w:hint="eastAsia" w:hAnsi="宋体"/>
          <w:bCs/>
        </w:rPr>
        <w:t>阿拉善盟绿能环保科技有限公司危险废弃物处置中心项目可行性研究报告</w:t>
      </w:r>
      <w:r>
        <w:rPr>
          <w:rFonts w:hint="eastAsia"/>
        </w:rPr>
        <w:t>》，，</w:t>
      </w:r>
      <w:r>
        <w:t>201</w:t>
      </w:r>
      <w:r>
        <w:rPr>
          <w:rFonts w:hint="eastAsia"/>
        </w:rPr>
        <w:t>9年6月；</w:t>
      </w:r>
    </w:p>
    <w:p>
      <w:pPr>
        <w:pStyle w:val="159"/>
        <w:numPr>
          <w:ilvl w:val="0"/>
          <w:numId w:val="5"/>
        </w:numPr>
        <w:ind w:left="0" w:firstLine="426" w:firstLineChars="0"/>
      </w:pPr>
      <w:r>
        <w:rPr>
          <w:rFonts w:hint="eastAsia"/>
        </w:rPr>
        <w:t>《</w:t>
      </w:r>
      <w:r>
        <w:rPr>
          <w:rFonts w:hint="eastAsia" w:hAnsi="宋体"/>
          <w:bCs/>
        </w:rPr>
        <w:t>阿拉善盟绿能环保科技有限公司危险废弃物处置中心项目</w:t>
      </w:r>
      <w:r>
        <w:rPr>
          <w:rFonts w:hint="eastAsia"/>
        </w:rPr>
        <w:t>环境影响报告书》，内蒙古环科园环境科技有限公司，</w:t>
      </w:r>
      <w:r>
        <w:t>201</w:t>
      </w:r>
      <w:r>
        <w:rPr>
          <w:rFonts w:hint="eastAsia"/>
        </w:rPr>
        <w:t>8年8月；</w:t>
      </w:r>
    </w:p>
    <w:p>
      <w:pPr>
        <w:pStyle w:val="159"/>
        <w:numPr>
          <w:ilvl w:val="0"/>
          <w:numId w:val="5"/>
        </w:numPr>
        <w:ind w:left="0" w:firstLine="426" w:firstLineChars="0"/>
        <w:rPr>
          <w:rFonts w:hAnsi="宋体"/>
          <w:kern w:val="0"/>
          <w:lang w:val="zh-CN"/>
        </w:rPr>
      </w:pPr>
      <w:r>
        <w:rPr>
          <w:rFonts w:hint="eastAsia" w:hAnsi="宋体"/>
          <w:kern w:val="0"/>
          <w:lang w:val="zh-CN"/>
        </w:rPr>
        <w:t>阿拉善盟环境保护局的环评批复《阿拉善盟环境保护局关于阿拉善绿能环保科技有限公司危险废弃物处置中心项目环境影响报告书的批复》(阿环审</w:t>
      </w:r>
      <w:r>
        <w:rPr>
          <w:rFonts w:hAnsi="宋体"/>
          <w:kern w:val="0"/>
          <w:lang w:val="zh-CN"/>
        </w:rPr>
        <w:t>[201</w:t>
      </w:r>
      <w:r>
        <w:rPr>
          <w:rFonts w:hint="eastAsia" w:hAnsi="宋体"/>
          <w:kern w:val="0"/>
          <w:lang w:val="zh-CN"/>
        </w:rPr>
        <w:t>8</w:t>
      </w:r>
      <w:r>
        <w:rPr>
          <w:rFonts w:hAnsi="宋体"/>
          <w:kern w:val="0"/>
          <w:lang w:val="zh-CN"/>
        </w:rPr>
        <w:t>]1</w:t>
      </w:r>
      <w:r>
        <w:rPr>
          <w:rFonts w:hint="eastAsia" w:hAnsi="宋体"/>
          <w:kern w:val="0"/>
          <w:lang w:val="zh-CN"/>
        </w:rPr>
        <w:t>号)；</w:t>
      </w:r>
    </w:p>
    <w:p>
      <w:pPr>
        <w:pStyle w:val="159"/>
        <w:numPr>
          <w:ilvl w:val="0"/>
          <w:numId w:val="5"/>
        </w:numPr>
        <w:ind w:left="0" w:firstLine="426" w:firstLineChars="0"/>
      </w:pPr>
      <w:r>
        <w:rPr>
          <w:rFonts w:hint="eastAsia" w:hAnsi="宋体"/>
          <w:kern w:val="0"/>
          <w:lang w:val="zh-CN"/>
        </w:rPr>
        <w:t>内蒙古自治区环境保护厅文件内环字</w:t>
      </w:r>
      <w:r>
        <w:rPr>
          <w:kern w:val="0"/>
          <w:lang w:val="zh-CN"/>
        </w:rPr>
        <w:t>[2017]13</w:t>
      </w:r>
      <w:r>
        <w:rPr>
          <w:rFonts w:hint="eastAsia" w:hAnsi="宋体"/>
          <w:kern w:val="0"/>
          <w:lang w:val="zh-CN"/>
        </w:rPr>
        <w:t>号《内蒙古自治区环境保护厅关于阿拉善腾格里经济技术开发区总体规划环境影响报告书的审查意见》；</w:t>
      </w:r>
    </w:p>
    <w:p>
      <w:pPr>
        <w:pStyle w:val="161"/>
        <w:numPr>
          <w:ilvl w:val="0"/>
          <w:numId w:val="5"/>
        </w:numPr>
        <w:ind w:hanging="474" w:firstLineChars="0"/>
      </w:pPr>
      <w:r>
        <w:t>项目区环境现状踏勘、调查的相关资料；</w:t>
      </w:r>
    </w:p>
    <w:p>
      <w:pPr>
        <w:pStyle w:val="159"/>
        <w:numPr>
          <w:ilvl w:val="0"/>
          <w:numId w:val="5"/>
        </w:numPr>
        <w:ind w:hanging="474" w:firstLineChars="0"/>
      </w:pPr>
      <w:r>
        <w:rPr>
          <w:rFonts w:hint="eastAsia" w:ascii="宋体" w:cs="宋体" w:hAnsiTheme="minorHAnsi"/>
          <w:kern w:val="0"/>
          <w:szCs w:val="24"/>
        </w:rPr>
        <w:t>建设单位提供的环评批复、验收批复文件及其它设计资料和相关图纸。</w:t>
      </w:r>
    </w:p>
    <w:p>
      <w:pPr>
        <w:pStyle w:val="4"/>
        <w:rPr>
          <w:lang w:val="zh-CN"/>
        </w:rPr>
      </w:pPr>
      <w:bookmarkStart w:id="82" w:name="_Toc503368843"/>
      <w:bookmarkStart w:id="83" w:name="_Toc13760078"/>
      <w:r>
        <w:rPr>
          <w:lang w:val="zh-CN"/>
        </w:rPr>
        <w:t>2.3</w:t>
      </w:r>
      <w:r>
        <w:rPr>
          <w:rFonts w:hint="eastAsia"/>
          <w:lang w:val="zh-CN"/>
        </w:rPr>
        <w:t>评价因子</w:t>
      </w:r>
      <w:bookmarkEnd w:id="82"/>
      <w:bookmarkEnd w:id="83"/>
    </w:p>
    <w:p>
      <w:pPr>
        <w:pStyle w:val="161"/>
        <w:ind w:firstLine="480"/>
        <w:outlineLvl w:val="0"/>
      </w:pPr>
      <w:bookmarkStart w:id="84" w:name="_Toc13760079"/>
      <w:bookmarkStart w:id="85" w:name="_Toc13582031"/>
      <w:r>
        <w:rPr>
          <w:rFonts w:hint="eastAsia" w:ascii="宋体" w:hAnsi="宋体" w:cs="宋体"/>
        </w:rPr>
        <w:t>⑴</w:t>
      </w:r>
      <w:r>
        <w:rPr>
          <w:rFonts w:hint="eastAsia"/>
        </w:rPr>
        <w:t>环境空气</w:t>
      </w:r>
      <w:bookmarkEnd w:id="84"/>
      <w:bookmarkEnd w:id="85"/>
    </w:p>
    <w:p>
      <w:pPr>
        <w:ind w:firstLine="480"/>
      </w:pPr>
      <w:r>
        <w:rPr>
          <w:rFonts w:hint="eastAsia"/>
        </w:rPr>
        <w:t>环境现状评价因子：</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w:t>
      </w:r>
      <w:r>
        <w:t>CO</w:t>
      </w:r>
      <w:r>
        <w:rPr>
          <w:rFonts w:hint="eastAsia"/>
        </w:rPr>
        <w:t>、</w:t>
      </w:r>
      <w:r>
        <w:t>O</w:t>
      </w:r>
      <w:r>
        <w:rPr>
          <w:vertAlign w:val="subscript"/>
        </w:rPr>
        <w:t>3</w:t>
      </w:r>
      <w:r>
        <w:rPr>
          <w:rFonts w:hint="eastAsia"/>
        </w:rPr>
        <w:t>、</w:t>
      </w:r>
      <w:r>
        <w:t>TSP</w:t>
      </w:r>
      <w:r>
        <w:rPr>
          <w:rFonts w:hint="eastAsia"/>
        </w:rPr>
        <w:t>、</w:t>
      </w:r>
      <w:r>
        <w:t>H</w:t>
      </w:r>
      <w:r>
        <w:rPr>
          <w:vertAlign w:val="subscript"/>
        </w:rPr>
        <w:t>2</w:t>
      </w:r>
      <w:r>
        <w:t>S</w:t>
      </w:r>
      <w:r>
        <w:rPr>
          <w:rFonts w:hint="eastAsia"/>
        </w:rPr>
        <w:t>、</w:t>
      </w:r>
      <w:r>
        <w:t>NH</w:t>
      </w:r>
      <w:r>
        <w:rPr>
          <w:vertAlign w:val="subscript"/>
        </w:rPr>
        <w:t>3</w:t>
      </w:r>
      <w:r>
        <w:rPr>
          <w:rFonts w:hint="eastAsia"/>
        </w:rPr>
        <w:t>、氟化物、</w:t>
      </w:r>
      <w:r>
        <w:t>HCl</w:t>
      </w:r>
      <w:r>
        <w:rPr>
          <w:rFonts w:hint="eastAsia"/>
        </w:rPr>
        <w:t>、硫酸雾、氰化氢、非甲烷总烃、</w:t>
      </w:r>
      <w:r>
        <w:t>VOC</w:t>
      </w:r>
      <w:r>
        <w:rPr>
          <w:rFonts w:hint="eastAsia"/>
        </w:rPr>
        <w:t>、臭气浓度、</w:t>
      </w:r>
      <w:r>
        <w:t>Hg</w:t>
      </w:r>
      <w:r>
        <w:rPr>
          <w:rFonts w:hint="eastAsia"/>
        </w:rPr>
        <w:t>、</w:t>
      </w:r>
      <w:r>
        <w:t>As</w:t>
      </w:r>
      <w:r>
        <w:rPr>
          <w:rFonts w:hint="eastAsia"/>
        </w:rPr>
        <w:t>、</w:t>
      </w:r>
      <w:r>
        <w:t>Pb</w:t>
      </w:r>
      <w:r>
        <w:rPr>
          <w:rFonts w:hint="eastAsia"/>
        </w:rPr>
        <w:t>、</w:t>
      </w:r>
      <w:r>
        <w:t>Cd</w:t>
      </w:r>
      <w:r>
        <w:rPr>
          <w:rFonts w:hint="eastAsia"/>
        </w:rPr>
        <w:t>、</w:t>
      </w:r>
      <w:r>
        <w:t>Ni</w:t>
      </w:r>
      <w:r>
        <w:rPr>
          <w:rFonts w:hint="eastAsia"/>
        </w:rPr>
        <w:t>，二噁英。</w:t>
      </w:r>
    </w:p>
    <w:p>
      <w:pPr>
        <w:ind w:firstLine="480"/>
      </w:pPr>
      <w:r>
        <w:rPr>
          <w:rFonts w:hint="eastAsia"/>
        </w:rPr>
        <w:t>环境影响预测因子：</w:t>
      </w:r>
      <w:r>
        <w:t>PM</w:t>
      </w:r>
      <w:r>
        <w:rPr>
          <w:vertAlign w:val="subscript"/>
        </w:rPr>
        <w:t>10</w:t>
      </w:r>
      <w:r>
        <w:rPr>
          <w:rFonts w:hint="eastAsia"/>
        </w:rPr>
        <w:t>、</w:t>
      </w:r>
      <w:r>
        <w:t>SO</w:t>
      </w:r>
      <w:r>
        <w:rPr>
          <w:vertAlign w:val="subscript"/>
        </w:rPr>
        <w:t>2</w:t>
      </w:r>
      <w:r>
        <w:rPr>
          <w:rFonts w:hint="eastAsia"/>
        </w:rPr>
        <w:t>、</w:t>
      </w:r>
      <w:r>
        <w:t>NO</w:t>
      </w:r>
      <w:r>
        <w:rPr>
          <w:vertAlign w:val="subscript"/>
        </w:rPr>
        <w:t>X</w:t>
      </w:r>
      <w:r>
        <w:rPr>
          <w:rFonts w:hint="eastAsia"/>
        </w:rPr>
        <w:t>、</w:t>
      </w:r>
      <w:r>
        <w:t>HCl</w:t>
      </w:r>
      <w:r>
        <w:rPr>
          <w:rFonts w:hint="eastAsia"/>
        </w:rPr>
        <w:t>、</w:t>
      </w:r>
      <w:r>
        <w:t>HF</w:t>
      </w:r>
      <w:r>
        <w:rPr>
          <w:rFonts w:hint="eastAsia"/>
        </w:rPr>
        <w:t>、</w:t>
      </w:r>
      <w:r>
        <w:t>CO</w:t>
      </w:r>
      <w:r>
        <w:rPr>
          <w:rFonts w:hint="eastAsia"/>
        </w:rPr>
        <w:t>、</w:t>
      </w:r>
      <w:r>
        <w:t>VOC</w:t>
      </w:r>
      <w:r>
        <w:rPr>
          <w:rFonts w:hint="eastAsia"/>
        </w:rPr>
        <w:t>、硫酸雾、</w:t>
      </w:r>
      <w:r>
        <w:t>H</w:t>
      </w:r>
      <w:r>
        <w:rPr>
          <w:vertAlign w:val="subscript"/>
        </w:rPr>
        <w:t>2</w:t>
      </w:r>
      <w:r>
        <w:t>S</w:t>
      </w:r>
      <w:r>
        <w:rPr>
          <w:rFonts w:hint="eastAsia"/>
        </w:rPr>
        <w:t>、</w:t>
      </w:r>
      <w:r>
        <w:t>NH</w:t>
      </w:r>
      <w:r>
        <w:rPr>
          <w:vertAlign w:val="subscript"/>
        </w:rPr>
        <w:t>3</w:t>
      </w:r>
      <w:r>
        <w:rPr>
          <w:rFonts w:hint="eastAsia"/>
        </w:rPr>
        <w:t>、重金属</w:t>
      </w:r>
      <w:r>
        <w:t>(Hg</w:t>
      </w:r>
      <w:r>
        <w:rPr>
          <w:rFonts w:hint="eastAsia"/>
        </w:rPr>
        <w:t>、</w:t>
      </w:r>
      <w:r>
        <w:t>Cd</w:t>
      </w:r>
      <w:r>
        <w:rPr>
          <w:rFonts w:hint="eastAsia"/>
        </w:rPr>
        <w:t>、</w:t>
      </w:r>
      <w:r>
        <w:t>Pb</w:t>
      </w:r>
      <w:r>
        <w:rPr>
          <w:rFonts w:hint="eastAsia"/>
        </w:rPr>
        <w:t>、As、Cr</w:t>
      </w:r>
      <w:r>
        <w:t>)</w:t>
      </w:r>
      <w:r>
        <w:rPr>
          <w:rFonts w:hint="eastAsia"/>
        </w:rPr>
        <w:t>。</w:t>
      </w:r>
    </w:p>
    <w:p>
      <w:pPr>
        <w:pStyle w:val="161"/>
        <w:ind w:firstLine="480"/>
        <w:outlineLvl w:val="0"/>
      </w:pPr>
      <w:bookmarkStart w:id="86" w:name="_Toc13760080"/>
      <w:bookmarkStart w:id="87" w:name="_Toc13582032"/>
      <w:r>
        <w:rPr>
          <w:rFonts w:hint="eastAsia" w:ascii="宋体" w:hAnsi="宋体" w:cs="宋体"/>
        </w:rPr>
        <w:t>⑵</w:t>
      </w:r>
      <w:r>
        <w:rPr>
          <w:rFonts w:hint="eastAsia"/>
        </w:rPr>
        <w:t>噪声</w:t>
      </w:r>
      <w:bookmarkEnd w:id="86"/>
      <w:bookmarkEnd w:id="87"/>
    </w:p>
    <w:p>
      <w:pPr>
        <w:ind w:firstLine="480"/>
      </w:pPr>
      <w:r>
        <w:rPr>
          <w:rFonts w:hint="eastAsia"/>
        </w:rPr>
        <w:t>环境现状及环境影响评价因子：厂界噪声连续等效</w:t>
      </w:r>
      <w:r>
        <w:t>A</w:t>
      </w:r>
      <w:r>
        <w:rPr>
          <w:rFonts w:hint="eastAsia"/>
        </w:rPr>
        <w:t>声级。</w:t>
      </w:r>
    </w:p>
    <w:p>
      <w:pPr>
        <w:pStyle w:val="161"/>
        <w:ind w:firstLine="480"/>
        <w:outlineLvl w:val="0"/>
      </w:pPr>
      <w:bookmarkStart w:id="88" w:name="_Toc13760081"/>
      <w:bookmarkStart w:id="89" w:name="_Toc13582033"/>
      <w:r>
        <w:rPr>
          <w:rFonts w:hint="eastAsia" w:ascii="宋体" w:hAnsi="宋体" w:cs="宋体"/>
        </w:rPr>
        <w:t>⑶</w:t>
      </w:r>
      <w:r>
        <w:rPr>
          <w:rFonts w:hint="eastAsia"/>
        </w:rPr>
        <w:t>地下水</w:t>
      </w:r>
      <w:bookmarkEnd w:id="88"/>
      <w:bookmarkEnd w:id="89"/>
    </w:p>
    <w:p>
      <w:pPr>
        <w:ind w:firstLine="480"/>
      </w:pPr>
      <w:r>
        <w:rPr>
          <w:rFonts w:hint="eastAsia"/>
          <w:snapToGrid w:val="0"/>
          <w:kern w:val="0"/>
        </w:rPr>
        <w:t>根据地下水环境影响因素识别结果，结合建设项目工程特征、排污种类、排污去向及周围地区环境质量概况，确定本次污染源评价因子如下：</w:t>
      </w:r>
    </w:p>
    <w:p>
      <w:pPr>
        <w:ind w:firstLine="480"/>
        <w:rPr>
          <w:lang w:val="zh-CN"/>
        </w:rPr>
      </w:pPr>
      <w:r>
        <w:rPr>
          <w:rFonts w:hint="eastAsia"/>
        </w:rPr>
        <w:t>环境现状评价因子：</w:t>
      </w:r>
      <w:r>
        <w:t>pH</w:t>
      </w:r>
      <w:r>
        <w:rPr>
          <w:rFonts w:hint="eastAsia" w:hAnsi="宋体"/>
        </w:rPr>
        <w:t>、总硬度</w:t>
      </w:r>
      <w:r>
        <w:rPr>
          <w:rFonts w:hAnsi="宋体"/>
        </w:rPr>
        <w:t>(</w:t>
      </w:r>
      <w:r>
        <w:rPr>
          <w:rFonts w:hint="eastAsia" w:hAnsi="宋体"/>
        </w:rPr>
        <w:t>以</w:t>
      </w:r>
      <w:r>
        <w:t>CaCO</w:t>
      </w:r>
      <w:r>
        <w:rPr>
          <w:vertAlign w:val="subscript"/>
        </w:rPr>
        <w:t>3</w:t>
      </w:r>
      <w:r>
        <w:rPr>
          <w:rFonts w:hint="eastAsia" w:hAnsi="宋体"/>
        </w:rPr>
        <w:t>计</w:t>
      </w:r>
      <w:r>
        <w:rPr>
          <w:rFonts w:hAnsi="宋体"/>
        </w:rPr>
        <w:t>)</w:t>
      </w:r>
      <w:r>
        <w:rPr>
          <w:rFonts w:hint="eastAsia" w:hAnsi="宋体"/>
        </w:rPr>
        <w:t>、溶解性总固体、</w:t>
      </w:r>
      <w:r>
        <w:t>SO</w:t>
      </w:r>
      <w:r>
        <w:rPr>
          <w:vertAlign w:val="subscript"/>
        </w:rPr>
        <w:t>4</w:t>
      </w:r>
      <w:r>
        <w:rPr>
          <w:vertAlign w:val="superscript"/>
        </w:rPr>
        <w:t>2-</w:t>
      </w:r>
      <w:r>
        <w:rPr>
          <w:rFonts w:hint="eastAsia" w:hAnsi="宋体"/>
        </w:rPr>
        <w:t>、</w:t>
      </w:r>
      <w:r>
        <w:t>Cl</w:t>
      </w:r>
      <w:r>
        <w:rPr>
          <w:vertAlign w:val="superscript"/>
        </w:rPr>
        <w:t>-</w:t>
      </w:r>
      <w:r>
        <w:rPr>
          <w:rFonts w:hint="eastAsia" w:hAnsi="宋体"/>
        </w:rPr>
        <w:t>、</w:t>
      </w:r>
      <w:r>
        <w:t>Fe</w:t>
      </w:r>
      <w:r>
        <w:rPr>
          <w:rFonts w:hint="eastAsia" w:hAnsi="宋体"/>
        </w:rPr>
        <w:t>、</w:t>
      </w:r>
      <w:r>
        <w:t>Mn</w:t>
      </w:r>
      <w:r>
        <w:rPr>
          <w:rFonts w:hint="eastAsia" w:hAnsi="宋体"/>
        </w:rPr>
        <w:t>、</w:t>
      </w:r>
      <w:r>
        <w:t>Cu</w:t>
      </w:r>
      <w:r>
        <w:rPr>
          <w:rFonts w:hint="eastAsia" w:hAnsi="宋体"/>
        </w:rPr>
        <w:t>、</w:t>
      </w:r>
      <w:r>
        <w:t>Zn</w:t>
      </w:r>
      <w:r>
        <w:rPr>
          <w:rFonts w:hint="eastAsia" w:hAnsi="宋体"/>
        </w:rPr>
        <w:t>、挥发酚、</w:t>
      </w:r>
      <w:r>
        <w:t>COD</w:t>
      </w:r>
      <w:r>
        <w:rPr>
          <w:vertAlign w:val="subscript"/>
        </w:rPr>
        <w:t>Mn</w:t>
      </w:r>
      <w:r>
        <w:rPr>
          <w:rFonts w:hint="eastAsia" w:hAnsi="宋体"/>
        </w:rPr>
        <w:t>、</w:t>
      </w:r>
      <w:r>
        <w:t>NO</w:t>
      </w:r>
      <w:r>
        <w:rPr>
          <w:vertAlign w:val="subscript"/>
        </w:rPr>
        <w:t>3</w:t>
      </w:r>
      <w:r>
        <w:t>-N</w:t>
      </w:r>
      <w:r>
        <w:rPr>
          <w:rFonts w:hint="eastAsia" w:hAnsi="宋体"/>
        </w:rPr>
        <w:t>、</w:t>
      </w:r>
      <w:r>
        <w:t>NO</w:t>
      </w:r>
      <w:r>
        <w:rPr>
          <w:vertAlign w:val="subscript"/>
        </w:rPr>
        <w:t>2</w:t>
      </w:r>
      <w:r>
        <w:t>-N</w:t>
      </w:r>
      <w:r>
        <w:rPr>
          <w:rFonts w:hint="eastAsia" w:hAnsi="宋体"/>
        </w:rPr>
        <w:t>、</w:t>
      </w:r>
      <w:r>
        <w:t>NH</w:t>
      </w:r>
      <w:r>
        <w:rPr>
          <w:vertAlign w:val="subscript"/>
        </w:rPr>
        <w:t>3</w:t>
      </w:r>
      <w:r>
        <w:t>-N</w:t>
      </w:r>
      <w:r>
        <w:rPr>
          <w:rFonts w:hint="eastAsia" w:hAnsi="宋体"/>
        </w:rPr>
        <w:t>、</w:t>
      </w:r>
      <w:r>
        <w:t>F</w:t>
      </w:r>
      <w:r>
        <w:rPr>
          <w:vertAlign w:val="superscript"/>
        </w:rPr>
        <w:t>-</w:t>
      </w:r>
      <w:r>
        <w:rPr>
          <w:rFonts w:hint="eastAsia" w:hAnsi="宋体"/>
        </w:rPr>
        <w:t>、</w:t>
      </w:r>
      <w:r>
        <w:t>CN</w:t>
      </w:r>
      <w:r>
        <w:rPr>
          <w:vertAlign w:val="superscript"/>
        </w:rPr>
        <w:t>-</w:t>
      </w:r>
      <w:r>
        <w:rPr>
          <w:rFonts w:hint="eastAsia" w:hAnsi="宋体"/>
        </w:rPr>
        <w:t>、</w:t>
      </w:r>
      <w:r>
        <w:t>Hg</w:t>
      </w:r>
      <w:r>
        <w:rPr>
          <w:rFonts w:hint="eastAsia" w:hAnsi="宋体"/>
        </w:rPr>
        <w:t>、</w:t>
      </w:r>
      <w:r>
        <w:t>As</w:t>
      </w:r>
      <w:r>
        <w:rPr>
          <w:rFonts w:hint="eastAsia" w:hAnsi="宋体"/>
        </w:rPr>
        <w:t>、</w:t>
      </w:r>
      <w:r>
        <w:t>Se</w:t>
      </w:r>
      <w:r>
        <w:rPr>
          <w:rFonts w:hint="eastAsia" w:hAnsi="宋体"/>
        </w:rPr>
        <w:t>、</w:t>
      </w:r>
      <w:r>
        <w:t>Cd</w:t>
      </w:r>
      <w:r>
        <w:rPr>
          <w:rFonts w:hint="eastAsia" w:hAnsi="宋体"/>
        </w:rPr>
        <w:t>、</w:t>
      </w:r>
      <w:r>
        <w:t>Cr</w:t>
      </w:r>
      <w:r>
        <w:rPr>
          <w:vertAlign w:val="superscript"/>
        </w:rPr>
        <w:t>6+</w:t>
      </w:r>
      <w:r>
        <w:rPr>
          <w:rFonts w:hint="eastAsia" w:hAnsi="宋体"/>
        </w:rPr>
        <w:t>、</w:t>
      </w:r>
      <w:r>
        <w:t>Pb</w:t>
      </w:r>
      <w:r>
        <w:rPr>
          <w:rFonts w:hint="eastAsia" w:hAnsi="宋体"/>
        </w:rPr>
        <w:t>以及阴离子表面活性剂</w:t>
      </w:r>
      <w:r>
        <w:rPr>
          <w:rFonts w:hint="eastAsia" w:ascii="宋体" w:hAnsi="宋体"/>
        </w:rPr>
        <w:t>。</w:t>
      </w:r>
    </w:p>
    <w:p>
      <w:pPr>
        <w:ind w:firstLine="480"/>
        <w:rPr>
          <w:lang w:val="zh-CN"/>
        </w:rPr>
      </w:pPr>
      <w:r>
        <w:rPr>
          <w:rFonts w:hint="eastAsia"/>
          <w:highlight w:val="yellow"/>
        </w:rPr>
        <w:t>环境影响预测因子：石油类、Hg。</w:t>
      </w:r>
    </w:p>
    <w:p>
      <w:pPr>
        <w:pStyle w:val="161"/>
        <w:ind w:firstLine="480"/>
        <w:outlineLvl w:val="0"/>
        <w:rPr>
          <w:szCs w:val="20"/>
        </w:rPr>
      </w:pPr>
      <w:bookmarkStart w:id="90" w:name="_Toc13760082"/>
      <w:bookmarkStart w:id="91" w:name="_Toc13582034"/>
      <w:r>
        <w:rPr>
          <w:rFonts w:hint="eastAsia" w:ascii="宋体"/>
        </w:rPr>
        <w:t>⑷</w:t>
      </w:r>
      <w:r>
        <w:rPr>
          <w:rFonts w:hint="eastAsia"/>
        </w:rPr>
        <w:t>土壤环境</w:t>
      </w:r>
      <w:bookmarkEnd w:id="90"/>
      <w:bookmarkEnd w:id="91"/>
    </w:p>
    <w:p>
      <w:pPr>
        <w:ind w:firstLine="480"/>
      </w:pPr>
      <w:r>
        <w:rPr>
          <w:rFonts w:hint="eastAsia"/>
        </w:rPr>
        <w:t>环境现状评价因子：</w:t>
      </w:r>
    </w:p>
    <w:p>
      <w:pPr>
        <w:pStyle w:val="161"/>
        <w:ind w:firstLine="480"/>
      </w:pPr>
      <w:r>
        <w:rPr>
          <w:rFonts w:hint="eastAsia"/>
        </w:rPr>
        <w:fldChar w:fldCharType="begin"/>
      </w:r>
      <w:r>
        <w:instrText xml:space="preserve"> = 1 \* GB3 </w:instrText>
      </w:r>
      <w:r>
        <w:rPr>
          <w:rFonts w:hint="eastAsia"/>
        </w:rPr>
        <w:fldChar w:fldCharType="separate"/>
      </w:r>
      <w:r>
        <w:rPr>
          <w:rFonts w:hint="eastAsia"/>
        </w:rPr>
        <w:t>①</w:t>
      </w:r>
      <w:r>
        <w:rPr>
          <w:rFonts w:hint="eastAsia"/>
        </w:rPr>
        <w:fldChar w:fldCharType="end"/>
      </w:r>
      <w:r>
        <w:rPr>
          <w:rFonts w:hint="eastAsia"/>
        </w:rPr>
        <w:t>重金属和无机物：镉、铜。</w:t>
      </w:r>
    </w:p>
    <w:p>
      <w:pPr>
        <w:pStyle w:val="161"/>
        <w:ind w:firstLine="480"/>
      </w:pPr>
      <w:r>
        <w:rPr>
          <w:rFonts w:hint="eastAsia"/>
        </w:rPr>
        <w:fldChar w:fldCharType="begin"/>
      </w:r>
      <w:r>
        <w:instrText xml:space="preserve"> = 2 \* GB3 </w:instrText>
      </w:r>
      <w:r>
        <w:rPr>
          <w:rFonts w:hint="eastAsia"/>
        </w:rPr>
        <w:fldChar w:fldCharType="separate"/>
      </w:r>
      <w:r>
        <w:rPr>
          <w:rFonts w:hint="eastAsia"/>
        </w:rPr>
        <w:t>②</w:t>
      </w:r>
      <w:r>
        <w:rPr>
          <w:rFonts w:hint="eastAsia"/>
        </w:rPr>
        <w:fldChar w:fldCharType="end"/>
      </w:r>
      <w:r>
        <w:rPr>
          <w:rFonts w:hint="eastAsia"/>
        </w:rPr>
        <w:t>挥发性有机物：四氯化碳、氯仿、氯甲烷、1,1-二氯乙烷、1,2-二氯乙烷、1,1-二氯乙烯、顺-1,2-二氯乙烯、反-1,2-二氯乙烯、二氯甲烷、1,2-二氯丙烯、1,1,1,2-四氯乙烷、1,1,2,2-四氯乙烷、四氯乙烯、1,1,1-四氯乙烷、1,1,2-四氯乙烷、三氯乙烯、1,2,3-三氯丙烷、氯乙烯、苯、氯苯、1,2-二氯苯、1,4-二氯苯、乙苯、苯乙烯、甲苯、间二甲苯+对二甲苯、邻二甲苯</w:t>
      </w:r>
    </w:p>
    <w:p>
      <w:pPr>
        <w:pStyle w:val="161"/>
        <w:ind w:firstLine="480"/>
      </w:pPr>
      <w:r>
        <w:rPr>
          <w:rFonts w:hint="eastAsia"/>
        </w:rPr>
        <w:fldChar w:fldCharType="begin"/>
      </w:r>
      <w:r>
        <w:instrText xml:space="preserve"> = 3 \* GB3 </w:instrText>
      </w:r>
      <w:r>
        <w:rPr>
          <w:rFonts w:hint="eastAsia"/>
        </w:rPr>
        <w:fldChar w:fldCharType="separate"/>
      </w:r>
      <w:r>
        <w:rPr>
          <w:rFonts w:hint="eastAsia"/>
        </w:rPr>
        <w:t>③</w:t>
      </w:r>
      <w:r>
        <w:rPr>
          <w:rFonts w:hint="eastAsia"/>
        </w:rPr>
        <w:fldChar w:fldCharType="end"/>
      </w:r>
      <w:r>
        <w:rPr>
          <w:rFonts w:hint="eastAsia"/>
        </w:rPr>
        <w:t>半挥发性有机物：硝基苯、苯胺、2-氯酚、苯并[a]蒽、苯并[a]芘、苯并[b]荧蒽、苯并[k]荧蒽、䓛、二苯并[a，h]蒽、茚并[1,2,3-cd]芘、萘。</w:t>
      </w:r>
    </w:p>
    <w:p>
      <w:pPr>
        <w:pStyle w:val="161"/>
        <w:ind w:firstLine="480"/>
        <w:rPr>
          <w:rFonts w:cs="Times New Roman"/>
        </w:rPr>
      </w:pPr>
      <w:r>
        <w:rPr>
          <w:rFonts w:hint="eastAsia"/>
        </w:rPr>
        <w:fldChar w:fldCharType="begin"/>
      </w:r>
      <w:r>
        <w:instrText xml:space="preserve"> = 4 \* GB3 </w:instrText>
      </w:r>
      <w:r>
        <w:rPr>
          <w:rFonts w:hint="eastAsia"/>
        </w:rPr>
        <w:fldChar w:fldCharType="separate"/>
      </w:r>
      <w:r>
        <w:rPr>
          <w:rFonts w:hint="eastAsia"/>
        </w:rPr>
        <w:t>④</w:t>
      </w:r>
      <w:r>
        <w:rPr>
          <w:rFonts w:hint="eastAsia"/>
        </w:rPr>
        <w:fldChar w:fldCharType="end"/>
      </w:r>
      <w:r>
        <w:rPr>
          <w:rFonts w:hint="eastAsia"/>
        </w:rPr>
        <w:t>特征因子：氰化物、汞、砷、铅、铬（六价）、镍</w:t>
      </w:r>
    </w:p>
    <w:p>
      <w:pPr>
        <w:pStyle w:val="161"/>
        <w:ind w:firstLine="480"/>
        <w:outlineLvl w:val="0"/>
      </w:pPr>
      <w:bookmarkStart w:id="92" w:name="_Toc13582035"/>
      <w:bookmarkStart w:id="93" w:name="_Toc13760083"/>
      <w:r>
        <w:rPr>
          <w:rFonts w:hint="eastAsia" w:hAnsi="宋体"/>
        </w:rPr>
        <w:t>⑸</w:t>
      </w:r>
      <w:r>
        <w:rPr>
          <w:rFonts w:hint="eastAsia"/>
        </w:rPr>
        <w:t>环境风险</w:t>
      </w:r>
      <w:bookmarkEnd w:id="92"/>
      <w:bookmarkEnd w:id="93"/>
    </w:p>
    <w:p>
      <w:pPr>
        <w:ind w:firstLine="480"/>
      </w:pPr>
      <w:r>
        <w:rPr>
          <w:rFonts w:hint="eastAsia"/>
        </w:rPr>
        <w:t>废酸、废碱、废乳化液、柴油。</w:t>
      </w:r>
    </w:p>
    <w:p>
      <w:pPr>
        <w:pStyle w:val="161"/>
        <w:ind w:firstLine="480"/>
        <w:outlineLvl w:val="0"/>
      </w:pPr>
      <w:bookmarkStart w:id="94" w:name="_Toc13760084"/>
      <w:bookmarkStart w:id="95" w:name="_Toc13582036"/>
      <w:r>
        <w:rPr>
          <w:rFonts w:hint="eastAsia" w:hAnsi="宋体"/>
        </w:rPr>
        <w:t>⑹</w:t>
      </w:r>
      <w:r>
        <w:rPr>
          <w:rFonts w:hint="eastAsia"/>
        </w:rPr>
        <w:t>生态环境</w:t>
      </w:r>
      <w:bookmarkEnd w:id="94"/>
      <w:bookmarkEnd w:id="95"/>
    </w:p>
    <w:p>
      <w:pPr>
        <w:ind w:firstLine="480"/>
      </w:pPr>
      <w:r>
        <w:rPr>
          <w:rFonts w:hint="eastAsia"/>
          <w:lang w:val="pt-BR"/>
        </w:rPr>
        <w:t>土地利用、动植物现状、土壤侵蚀。</w:t>
      </w:r>
    </w:p>
    <w:p>
      <w:pPr>
        <w:pStyle w:val="4"/>
      </w:pPr>
      <w:bookmarkStart w:id="96" w:name="_Toc3282112"/>
      <w:bookmarkStart w:id="97" w:name="_Toc13760085"/>
      <w:r>
        <w:rPr>
          <w:rFonts w:hint="eastAsia"/>
        </w:rPr>
        <w:t>2.4执行标准</w:t>
      </w:r>
      <w:bookmarkEnd w:id="96"/>
      <w:bookmarkEnd w:id="97"/>
    </w:p>
    <w:p>
      <w:pPr>
        <w:pStyle w:val="5"/>
        <w:rPr>
          <w:kern w:val="0"/>
        </w:rPr>
      </w:pPr>
      <w:bookmarkStart w:id="98" w:name="_Toc3282113"/>
      <w:bookmarkStart w:id="99" w:name="_Toc13760086"/>
      <w:r>
        <w:rPr>
          <w:rFonts w:hint="eastAsia"/>
        </w:rPr>
        <w:t>2.4.1环境质量标准</w:t>
      </w:r>
      <w:bookmarkEnd w:id="98"/>
      <w:bookmarkEnd w:id="99"/>
    </w:p>
    <w:p>
      <w:pPr>
        <w:pStyle w:val="161"/>
        <w:ind w:firstLine="480"/>
        <w:outlineLvl w:val="0"/>
      </w:pPr>
      <w:r>
        <w:fldChar w:fldCharType="begin"/>
      </w:r>
      <w:r>
        <w:rPr>
          <w:rFonts w:hint="eastAsia"/>
        </w:rPr>
        <w:instrText xml:space="preserve">= 1 \* GB2</w:instrText>
      </w:r>
      <w:r>
        <w:fldChar w:fldCharType="separate"/>
      </w:r>
      <w:bookmarkStart w:id="100" w:name="_Toc13760087"/>
      <w:bookmarkStart w:id="101" w:name="_Toc13582039"/>
      <w:r>
        <w:rPr>
          <w:rFonts w:hint="eastAsia"/>
        </w:rPr>
        <w:t>⑴</w:t>
      </w:r>
      <w:r>
        <w:fldChar w:fldCharType="end"/>
      </w:r>
      <w:r>
        <w:rPr>
          <w:rFonts w:hint="eastAsia"/>
        </w:rPr>
        <w:t>环境空气</w:t>
      </w:r>
      <w:bookmarkEnd w:id="100"/>
      <w:bookmarkEnd w:id="101"/>
    </w:p>
    <w:p>
      <w:pPr>
        <w:ind w:firstLine="480"/>
        <w:rPr>
          <w:lang w:val="zh-CN"/>
        </w:rPr>
      </w:pPr>
      <w:r>
        <w:rPr>
          <w:rFonts w:hint="eastAsia"/>
          <w:lang w:val="zh-CN"/>
        </w:rPr>
        <w:t>项目所在地属于环境空气二类功能区，其中</w:t>
      </w:r>
      <w:r>
        <w:t>SO</w:t>
      </w:r>
      <w:r>
        <w:rPr>
          <w:vertAlign w:val="subscript"/>
        </w:rPr>
        <w:t>2</w:t>
      </w:r>
      <w:r>
        <w:rPr>
          <w:rFonts w:hint="eastAsia"/>
          <w:lang w:val="zh-CN"/>
        </w:rPr>
        <w:t>、</w:t>
      </w:r>
      <w:r>
        <w:t>TSP</w:t>
      </w:r>
      <w:r>
        <w:rPr>
          <w:rFonts w:hint="eastAsia"/>
        </w:rPr>
        <w:t>、</w:t>
      </w:r>
      <w:r>
        <w:t>PM</w:t>
      </w:r>
      <w:r>
        <w:rPr>
          <w:vertAlign w:val="subscript"/>
        </w:rPr>
        <w:t>10</w:t>
      </w:r>
      <w:r>
        <w:rPr>
          <w:rFonts w:hint="eastAsia"/>
        </w:rPr>
        <w:t>、</w:t>
      </w:r>
      <w:r>
        <w:t>PM</w:t>
      </w:r>
      <w:r>
        <w:rPr>
          <w:vertAlign w:val="subscript"/>
        </w:rPr>
        <w:t>2.5</w:t>
      </w:r>
      <w:r>
        <w:rPr>
          <w:rFonts w:hint="eastAsia"/>
        </w:rPr>
        <w:t>、</w:t>
      </w:r>
      <w:r>
        <w:t>NO</w:t>
      </w:r>
      <w:r>
        <w:rPr>
          <w:vertAlign w:val="subscript"/>
        </w:rPr>
        <w:t>2</w:t>
      </w:r>
      <w:r>
        <w:rPr>
          <w:rFonts w:hint="eastAsia"/>
        </w:rPr>
        <w:t>、</w:t>
      </w:r>
      <w:r>
        <w:t>CO</w:t>
      </w:r>
      <w:r>
        <w:rPr>
          <w:rFonts w:hint="eastAsia"/>
        </w:rPr>
        <w:t>、</w:t>
      </w:r>
      <w:r>
        <w:t>O</w:t>
      </w:r>
      <w:r>
        <w:rPr>
          <w:vertAlign w:val="subscript"/>
        </w:rPr>
        <w:t>3</w:t>
      </w:r>
      <w:r>
        <w:rPr>
          <w:rFonts w:hint="eastAsia"/>
        </w:rPr>
        <w:t>和氟化物</w:t>
      </w:r>
      <w:r>
        <w:rPr>
          <w:rFonts w:hint="eastAsia"/>
          <w:lang w:val="zh-CN"/>
        </w:rPr>
        <w:t>执行《环境空气质量标准》</w:t>
      </w:r>
      <w:r>
        <w:rPr>
          <w:lang w:val="zh-CN"/>
        </w:rPr>
        <w:t>(GB3095—2012)</w:t>
      </w:r>
      <w:r>
        <w:rPr>
          <w:rFonts w:hint="eastAsia"/>
          <w:lang w:val="zh-CN"/>
        </w:rPr>
        <w:t>二级标准；</w:t>
      </w:r>
      <w:r>
        <w:t>H</w:t>
      </w:r>
      <w:r>
        <w:rPr>
          <w:vertAlign w:val="subscript"/>
        </w:rPr>
        <w:t>2</w:t>
      </w:r>
      <w:r>
        <w:t>S</w:t>
      </w:r>
      <w:r>
        <w:rPr>
          <w:rFonts w:hint="eastAsia"/>
        </w:rPr>
        <w:t>、</w:t>
      </w:r>
      <w:r>
        <w:t>NH</w:t>
      </w:r>
      <w:r>
        <w:rPr>
          <w:vertAlign w:val="subscript"/>
        </w:rPr>
        <w:t>3</w:t>
      </w:r>
      <w:r>
        <w:rPr>
          <w:rFonts w:hint="eastAsia"/>
        </w:rPr>
        <w:t>、</w:t>
      </w:r>
      <w:r>
        <w:t>H</w:t>
      </w:r>
      <w:r>
        <w:rPr>
          <w:vertAlign w:val="subscript"/>
        </w:rPr>
        <w:t>2</w:t>
      </w:r>
      <w:r>
        <w:t>SO</w:t>
      </w:r>
      <w:r>
        <w:rPr>
          <w:vertAlign w:val="subscript"/>
        </w:rPr>
        <w:t>4</w:t>
      </w:r>
      <w:r>
        <w:rPr>
          <w:rFonts w:hint="eastAsia"/>
        </w:rPr>
        <w:t>、</w:t>
      </w:r>
      <w:r>
        <w:t>HCl</w:t>
      </w:r>
      <w:r>
        <w:rPr>
          <w:rFonts w:hint="eastAsia"/>
        </w:rPr>
        <w:t>、</w:t>
      </w:r>
      <w:r>
        <w:t>Hg</w:t>
      </w:r>
      <w:r>
        <w:rPr>
          <w:rFonts w:hint="eastAsia"/>
        </w:rPr>
        <w:t>、</w:t>
      </w:r>
      <w:r>
        <w:t>As</w:t>
      </w:r>
      <w:r>
        <w:rPr>
          <w:rFonts w:hint="eastAsia"/>
        </w:rPr>
        <w:t>、</w:t>
      </w:r>
      <w:r>
        <w:t>Pb</w:t>
      </w:r>
      <w:r>
        <w:rPr>
          <w:rFonts w:hint="eastAsia"/>
          <w:lang w:val="zh-CN"/>
        </w:rPr>
        <w:t>参照执行《工业企业设计卫生标准》</w:t>
      </w:r>
      <w:r>
        <w:rPr>
          <w:lang w:val="zh-CN"/>
        </w:rPr>
        <w:t>(TJ36-79)</w:t>
      </w:r>
      <w:r>
        <w:rPr>
          <w:rFonts w:hint="eastAsia"/>
          <w:lang w:val="zh-CN"/>
        </w:rPr>
        <w:t>表</w:t>
      </w:r>
      <w:r>
        <w:t>1</w:t>
      </w:r>
      <w:r>
        <w:rPr>
          <w:rFonts w:hint="eastAsia"/>
        </w:rPr>
        <w:t>中居住区大气中有害物质的最高容许浓度</w:t>
      </w:r>
      <w:r>
        <w:rPr>
          <w:rFonts w:hint="eastAsia"/>
          <w:lang w:val="zh-CN"/>
        </w:rPr>
        <w:t>；</w:t>
      </w:r>
      <w:r>
        <w:t>Cd</w:t>
      </w:r>
      <w:r>
        <w:rPr>
          <w:rFonts w:hint="eastAsia"/>
        </w:rPr>
        <w:t>参照执行南斯拉夫环境标准；非甲烷总烃</w:t>
      </w:r>
      <w:r>
        <w:rPr>
          <w:rFonts w:hint="eastAsia"/>
          <w:lang w:val="zh-CN"/>
        </w:rPr>
        <w:t>参照执行《环境空气质量非甲烷总烃限值》</w:t>
      </w:r>
      <w:r>
        <w:rPr>
          <w:lang w:val="zh-CN"/>
        </w:rPr>
        <w:t>(</w:t>
      </w:r>
      <w:r>
        <w:t>DB13/1577-2012</w:t>
      </w:r>
      <w:r>
        <w:rPr>
          <w:lang w:val="zh-CN"/>
        </w:rPr>
        <w:t>)</w:t>
      </w:r>
      <w:r>
        <w:rPr>
          <w:rFonts w:hint="eastAsia"/>
          <w:lang w:val="zh-CN"/>
        </w:rPr>
        <w:t>表</w:t>
      </w:r>
      <w:r>
        <w:t>1</w:t>
      </w:r>
      <w:r>
        <w:rPr>
          <w:rFonts w:hint="eastAsia"/>
        </w:rPr>
        <w:t>中二级标准；</w:t>
      </w:r>
      <w:r>
        <w:t>VOC</w:t>
      </w:r>
      <w:r>
        <w:rPr>
          <w:rFonts w:hint="eastAsia"/>
        </w:rPr>
        <w:t>参照执行《室内空气质量标准》</w:t>
      </w:r>
      <w:r>
        <w:t>(GB/T18883-2002)</w:t>
      </w:r>
      <w:r>
        <w:rPr>
          <w:rFonts w:hint="eastAsia"/>
        </w:rPr>
        <w:t>；二噁英参照执行</w:t>
      </w:r>
      <w:r>
        <w:rPr>
          <w:rFonts w:hint="eastAsia" w:ascii="宋体" w:cs="宋体"/>
          <w:kern w:val="0"/>
        </w:rPr>
        <w:t>日本环境厅中央环境审议会制定的环境标准</w:t>
      </w:r>
      <w:r>
        <w:rPr>
          <w:rFonts w:hint="eastAsia"/>
        </w:rPr>
        <w:t>。</w:t>
      </w:r>
      <w:r>
        <w:rPr>
          <w:rFonts w:hint="eastAsia"/>
          <w:lang w:val="zh-CN"/>
        </w:rPr>
        <w:t>详见表</w:t>
      </w:r>
      <w:r>
        <w:rPr>
          <w:lang w:val="zh-CN"/>
        </w:rPr>
        <w:t>2.</w:t>
      </w:r>
      <w:r>
        <w:rPr>
          <w:rFonts w:hint="eastAsia"/>
          <w:lang w:val="zh-CN"/>
        </w:rPr>
        <w:t>4—</w:t>
      </w:r>
      <w:r>
        <w:rPr>
          <w:lang w:val="zh-CN"/>
        </w:rPr>
        <w:t>1</w:t>
      </w:r>
      <w:r>
        <w:rPr>
          <w:rFonts w:hint="eastAsia"/>
          <w:lang w:val="zh-CN"/>
        </w:rPr>
        <w:t>。</w:t>
      </w:r>
    </w:p>
    <w:p>
      <w:pPr>
        <w:ind w:firstLine="480"/>
        <w:rPr>
          <w:rFonts w:hAnsi="宋体"/>
          <w:lang w:val="zh-CN"/>
        </w:rPr>
      </w:pPr>
      <w:r>
        <w:rPr>
          <w:rFonts w:hint="eastAsia" w:hAnsi="宋体"/>
          <w:lang w:val="zh-CN"/>
        </w:rPr>
        <w:t>表</w:t>
      </w:r>
      <w:r>
        <w:rPr>
          <w:lang w:val="zh-CN"/>
        </w:rPr>
        <w:t>2.</w:t>
      </w:r>
      <w:r>
        <w:rPr>
          <w:rFonts w:hint="eastAsia"/>
          <w:lang w:val="zh-CN"/>
        </w:rPr>
        <w:t>4—</w:t>
      </w:r>
      <w:r>
        <w:rPr>
          <w:lang w:val="zh-CN"/>
        </w:rPr>
        <w:t xml:space="preserve">1           </w:t>
      </w:r>
      <w:r>
        <w:rPr>
          <w:rFonts w:hint="eastAsia" w:hAnsi="宋体"/>
          <w:lang w:val="zh-CN"/>
        </w:rPr>
        <w:t>环境空气质量评价标准</w:t>
      </w:r>
    </w:p>
    <w:tbl>
      <w:tblPr>
        <w:tblStyle w:val="88"/>
        <w:tblW w:w="9070"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140"/>
        <w:gridCol w:w="2141"/>
        <w:gridCol w:w="2643"/>
        <w:gridCol w:w="2146"/>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140" w:type="dxa"/>
            <w:tcBorders>
              <w:top w:val="single" w:color="000000" w:sz="12"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污染物名称</w:t>
            </w:r>
          </w:p>
        </w:tc>
        <w:tc>
          <w:tcPr>
            <w:tcW w:w="2141" w:type="dxa"/>
            <w:tcBorders>
              <w:top w:val="single" w:color="000000" w:sz="12"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取值时间</w:t>
            </w:r>
          </w:p>
        </w:tc>
        <w:tc>
          <w:tcPr>
            <w:tcW w:w="2643" w:type="dxa"/>
            <w:tcBorders>
              <w:top w:val="single" w:color="000000" w:sz="12"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浓度限值</w:t>
            </w:r>
            <w:r>
              <w:rPr>
                <w:rFonts w:cs="Times New Roman"/>
                <w:sz w:val="21"/>
              </w:rPr>
              <w:t>μg/m</w:t>
            </w:r>
            <w:r>
              <w:rPr>
                <w:sz w:val="21"/>
                <w:vertAlign w:val="superscript"/>
              </w:rPr>
              <w:t>3</w:t>
            </w:r>
          </w:p>
        </w:tc>
        <w:tc>
          <w:tcPr>
            <w:tcW w:w="2146" w:type="dxa"/>
            <w:tcBorders>
              <w:top w:val="single" w:color="000000" w:sz="12" w:space="0"/>
              <w:left w:val="dotted" w:color="auto" w:sz="4" w:space="0"/>
              <w:bottom w:val="dotted" w:color="auto" w:sz="4" w:space="0"/>
              <w:right w:val="nil"/>
            </w:tcBorders>
            <w:vAlign w:val="center"/>
          </w:tcPr>
          <w:p>
            <w:pPr>
              <w:autoSpaceDE w:val="0"/>
              <w:autoSpaceDN w:val="0"/>
              <w:adjustRightInd w:val="0"/>
              <w:spacing w:line="240" w:lineRule="exact"/>
              <w:ind w:firstLine="0" w:firstLineChars="0"/>
              <w:jc w:val="center"/>
              <w:rPr>
                <w:sz w:val="21"/>
              </w:rPr>
            </w:pPr>
            <w:r>
              <w:rPr>
                <w:rFonts w:hint="eastAsia"/>
                <w:sz w:val="21"/>
              </w:rPr>
              <w:t>参照标准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140" w:type="dxa"/>
            <w:vMerge w:val="restart"/>
            <w:tcBorders>
              <w:top w:val="single" w:color="auto" w:sz="12"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SO</w:t>
            </w:r>
            <w:r>
              <w:rPr>
                <w:sz w:val="21"/>
                <w:vertAlign w:val="subscript"/>
              </w:rPr>
              <w:t>2</w:t>
            </w:r>
          </w:p>
        </w:tc>
        <w:tc>
          <w:tcPr>
            <w:tcW w:w="2141" w:type="dxa"/>
            <w:tcBorders>
              <w:top w:val="single" w:color="auto" w:sz="12"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single" w:color="auto" w:sz="12"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0.50</w:t>
            </w:r>
          </w:p>
        </w:tc>
        <w:tc>
          <w:tcPr>
            <w:tcW w:w="2146" w:type="dxa"/>
            <w:vMerge w:val="restart"/>
            <w:tcBorders>
              <w:top w:val="single" w:color="auto" w:sz="12" w:space="0"/>
              <w:left w:val="dotted" w:color="auto" w:sz="4" w:space="0"/>
              <w:bottom w:val="dotted" w:color="auto" w:sz="4" w:space="0"/>
              <w:right w:val="nil"/>
            </w:tcBorders>
            <w:vAlign w:val="center"/>
          </w:tcPr>
          <w:p>
            <w:pPr>
              <w:autoSpaceDE w:val="0"/>
              <w:autoSpaceDN w:val="0"/>
              <w:adjustRightInd w:val="0"/>
              <w:spacing w:line="240" w:lineRule="exact"/>
              <w:ind w:firstLine="0" w:firstLineChars="0"/>
              <w:rPr>
                <w:sz w:val="21"/>
              </w:rPr>
            </w:pPr>
            <w:r>
              <w:rPr>
                <w:rFonts w:hint="eastAsia"/>
                <w:sz w:val="21"/>
                <w:lang w:val="zh-CN"/>
              </w:rPr>
              <w:t>《环境空气质量标准》</w:t>
            </w:r>
            <w:r>
              <w:rPr>
                <w:sz w:val="21"/>
                <w:lang w:val="zh-CN"/>
              </w:rPr>
              <w:t>(</w:t>
            </w:r>
            <w:r>
              <w:rPr>
                <w:sz w:val="21"/>
              </w:rPr>
              <w:t>GB3095-2012)</w:t>
            </w:r>
            <w:r>
              <w:rPr>
                <w:rFonts w:hint="eastAsia"/>
                <w:sz w:val="21"/>
              </w:rPr>
              <w:t>二级标准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0.15</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0.06</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TSP</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0.30</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0.20</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PM</w:t>
            </w:r>
            <w:r>
              <w:rPr>
                <w:sz w:val="21"/>
                <w:vertAlign w:val="subscript"/>
              </w:rPr>
              <w:t>10</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0.15</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0.07</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PM</w:t>
            </w:r>
            <w:r>
              <w:rPr>
                <w:sz w:val="21"/>
                <w:vertAlign w:val="subscript"/>
              </w:rPr>
              <w:t>2.5</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0.075</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0.035</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NO</w:t>
            </w:r>
            <w:r>
              <w:rPr>
                <w:sz w:val="21"/>
                <w:vertAlign w:val="subscript"/>
              </w:rPr>
              <w:t>2</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0.20</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0.08</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0.04</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CO</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10.00mg/m</w:t>
            </w:r>
            <w:r>
              <w:rPr>
                <w:sz w:val="21"/>
                <w:vertAlign w:val="superscript"/>
              </w:rPr>
              <w:t>3</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4.00 mg/m</w:t>
            </w:r>
            <w:r>
              <w:rPr>
                <w:sz w:val="21"/>
                <w:vertAlign w:val="superscript"/>
              </w:rPr>
              <w:t>3</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O</w:t>
            </w:r>
            <w:r>
              <w:rPr>
                <w:sz w:val="21"/>
                <w:vertAlign w:val="subscript"/>
              </w:rPr>
              <w:t>3</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0.16</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8</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0.20</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氟化物</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0.02</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0.007</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Pb</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0.5</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Cd</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0.005</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Hg</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0.05</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As</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0.006</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氟化物</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20</w:t>
            </w:r>
          </w:p>
        </w:tc>
        <w:tc>
          <w:tcPr>
            <w:tcW w:w="2146"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H</w:t>
            </w:r>
            <w:r>
              <w:rPr>
                <w:sz w:val="21"/>
                <w:vertAlign w:val="subscript"/>
              </w:rPr>
              <w:t>2</w:t>
            </w:r>
            <w:r>
              <w:rPr>
                <w:sz w:val="21"/>
              </w:rPr>
              <w:t>S</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10</w:t>
            </w:r>
          </w:p>
        </w:tc>
        <w:tc>
          <w:tcPr>
            <w:tcW w:w="2146" w:type="dxa"/>
            <w:vMerge w:val="restart"/>
            <w:tcBorders>
              <w:top w:val="dotted" w:color="auto" w:sz="4" w:space="0"/>
              <w:left w:val="dotted" w:color="auto" w:sz="4" w:space="0"/>
              <w:bottom w:val="dotted" w:color="auto" w:sz="4" w:space="0"/>
              <w:right w:val="nil"/>
            </w:tcBorders>
            <w:vAlign w:val="center"/>
          </w:tcPr>
          <w:p>
            <w:pPr>
              <w:autoSpaceDE w:val="0"/>
              <w:autoSpaceDN w:val="0"/>
              <w:adjustRightInd w:val="0"/>
              <w:spacing w:line="240" w:lineRule="exact"/>
              <w:ind w:firstLine="0" w:firstLineChars="0"/>
              <w:rPr>
                <w:sz w:val="21"/>
              </w:rPr>
            </w:pPr>
            <w:r>
              <w:rPr>
                <w:rFonts w:hint="eastAsia"/>
                <w:sz w:val="21"/>
                <w:lang w:val="zh-CN"/>
              </w:rPr>
              <w:t>《环境影响评价技术导则大气环境》</w:t>
            </w:r>
            <w:r>
              <w:rPr>
                <w:sz w:val="21"/>
                <w:lang w:val="zh-CN"/>
              </w:rPr>
              <w:t>(HJ2.2-2018)</w:t>
            </w:r>
            <w:r>
              <w:rPr>
                <w:rFonts w:hint="eastAsia"/>
                <w:sz w:val="21"/>
                <w:lang w:val="zh-CN"/>
              </w:rPr>
              <w:t>附录</w:t>
            </w:r>
            <w:r>
              <w:rPr>
                <w:sz w:val="21"/>
                <w:lang w:val="zh-CN"/>
              </w:rPr>
              <w:t>D</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NH</w:t>
            </w:r>
            <w:r>
              <w:rPr>
                <w:sz w:val="21"/>
                <w:vertAlign w:val="subscript"/>
              </w:rPr>
              <w:t>3</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200</w:t>
            </w:r>
          </w:p>
        </w:tc>
        <w:tc>
          <w:tcPr>
            <w:tcW w:w="2146" w:type="dxa"/>
            <w:vMerge w:val="continue"/>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H</w:t>
            </w:r>
            <w:r>
              <w:rPr>
                <w:sz w:val="21"/>
                <w:vertAlign w:val="subscript"/>
              </w:rPr>
              <w:t>2</w:t>
            </w:r>
            <w:r>
              <w:rPr>
                <w:sz w:val="21"/>
              </w:rPr>
              <w:t>SO</w:t>
            </w:r>
            <w:r>
              <w:rPr>
                <w:sz w:val="21"/>
                <w:vertAlign w:val="subscript"/>
              </w:rPr>
              <w:t>4</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300</w:t>
            </w:r>
          </w:p>
        </w:tc>
        <w:tc>
          <w:tcPr>
            <w:tcW w:w="2146" w:type="dxa"/>
            <w:vMerge w:val="continue"/>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HCl</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50</w:t>
            </w:r>
          </w:p>
        </w:tc>
        <w:tc>
          <w:tcPr>
            <w:tcW w:w="2146" w:type="dxa"/>
            <w:vMerge w:val="continue"/>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TVOC</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8</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600</w:t>
            </w:r>
          </w:p>
        </w:tc>
        <w:tc>
          <w:tcPr>
            <w:tcW w:w="2146" w:type="dxa"/>
            <w:vMerge w:val="continue"/>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非甲烷总烃</w:t>
            </w:r>
          </w:p>
        </w:tc>
        <w:tc>
          <w:tcPr>
            <w:tcW w:w="214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643"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2.0</w:t>
            </w:r>
          </w:p>
        </w:tc>
        <w:tc>
          <w:tcPr>
            <w:tcW w:w="2146" w:type="dxa"/>
            <w:tcBorders>
              <w:top w:val="dotted" w:color="auto" w:sz="4" w:space="0"/>
              <w:left w:val="dotted" w:color="auto" w:sz="4" w:space="0"/>
              <w:bottom w:val="dotted" w:color="auto" w:sz="4" w:space="0"/>
              <w:right w:val="nil"/>
            </w:tcBorders>
            <w:vAlign w:val="center"/>
          </w:tcPr>
          <w:p>
            <w:pPr>
              <w:autoSpaceDE w:val="0"/>
              <w:autoSpaceDN w:val="0"/>
              <w:adjustRightInd w:val="0"/>
              <w:spacing w:line="240" w:lineRule="exact"/>
              <w:ind w:firstLine="0" w:firstLineChars="0"/>
              <w:rPr>
                <w:sz w:val="21"/>
              </w:rPr>
            </w:pPr>
            <w:r>
              <w:rPr>
                <w:rFonts w:hint="eastAsia"/>
                <w:sz w:val="21"/>
                <w:lang w:val="zh-CN"/>
              </w:rPr>
              <w:t>《环境空气质量非甲烷总烃限值》</w:t>
            </w:r>
            <w:r>
              <w:rPr>
                <w:sz w:val="21"/>
                <w:lang w:val="zh-CN"/>
              </w:rPr>
              <w:t>(</w:t>
            </w:r>
            <w:r>
              <w:rPr>
                <w:sz w:val="21"/>
              </w:rPr>
              <w:t>DB13/1577-2012</w:t>
            </w:r>
            <w:r>
              <w:rPr>
                <w:sz w:val="21"/>
                <w:lang w:val="zh-CN"/>
              </w:rPr>
              <w:t>)</w:t>
            </w:r>
            <w:r>
              <w:rPr>
                <w:rFonts w:hint="eastAsia"/>
                <w:sz w:val="21"/>
                <w:lang w:val="zh-CN"/>
              </w:rPr>
              <w:t>表</w:t>
            </w:r>
            <w:r>
              <w:rPr>
                <w:sz w:val="21"/>
              </w:rPr>
              <w:t>1</w:t>
            </w:r>
            <w:r>
              <w:rPr>
                <w:rFonts w:hint="eastAsia"/>
                <w:sz w:val="21"/>
              </w:rPr>
              <w:t>中二级标准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55" w:hRule="atLeast"/>
        </w:trPr>
        <w:tc>
          <w:tcPr>
            <w:tcW w:w="2140" w:type="dxa"/>
            <w:tcBorders>
              <w:top w:val="dotted" w:color="auto" w:sz="4" w:space="0"/>
              <w:left w:val="nil"/>
              <w:bottom w:val="single" w:color="000000" w:sz="12"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二噁英</w:t>
            </w:r>
          </w:p>
        </w:tc>
        <w:tc>
          <w:tcPr>
            <w:tcW w:w="2141" w:type="dxa"/>
            <w:tcBorders>
              <w:top w:val="dotted" w:color="auto" w:sz="4" w:space="0"/>
              <w:left w:val="dotted" w:color="auto" w:sz="4" w:space="0"/>
              <w:bottom w:val="single" w:color="000000" w:sz="12"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643" w:type="dxa"/>
            <w:tcBorders>
              <w:top w:val="dotted" w:color="auto" w:sz="4" w:space="0"/>
              <w:left w:val="dotted" w:color="auto" w:sz="4" w:space="0"/>
              <w:bottom w:val="single" w:color="000000" w:sz="12"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0.6(TEQpg/m</w:t>
            </w:r>
            <w:r>
              <w:rPr>
                <w:sz w:val="21"/>
                <w:vertAlign w:val="superscript"/>
              </w:rPr>
              <w:t>3</w:t>
            </w:r>
            <w:r>
              <w:rPr>
                <w:sz w:val="21"/>
              </w:rPr>
              <w:t>)</w:t>
            </w:r>
          </w:p>
        </w:tc>
        <w:tc>
          <w:tcPr>
            <w:tcW w:w="2146" w:type="dxa"/>
            <w:tcBorders>
              <w:top w:val="dotted" w:color="auto" w:sz="4" w:space="0"/>
              <w:left w:val="dotted" w:color="auto" w:sz="4" w:space="0"/>
              <w:bottom w:val="single" w:color="000000" w:sz="12" w:space="0"/>
              <w:right w:val="nil"/>
            </w:tcBorders>
            <w:vAlign w:val="center"/>
          </w:tcPr>
          <w:tbl>
            <w:tblPr>
              <w:tblStyle w:val="88"/>
              <w:tblW w:w="2007" w:type="dxa"/>
              <w:tblInd w:w="0" w:type="dxa"/>
              <w:tblLayout w:type="fixed"/>
              <w:tblCellMar>
                <w:top w:w="0" w:type="dxa"/>
                <w:left w:w="108" w:type="dxa"/>
                <w:bottom w:w="0" w:type="dxa"/>
                <w:right w:w="108" w:type="dxa"/>
              </w:tblCellMar>
            </w:tblPr>
            <w:tblGrid>
              <w:gridCol w:w="2007"/>
            </w:tblGrid>
            <w:tr>
              <w:tblPrEx>
                <w:tblCellMar>
                  <w:top w:w="0" w:type="dxa"/>
                  <w:left w:w="108" w:type="dxa"/>
                  <w:bottom w:w="0" w:type="dxa"/>
                  <w:right w:w="108" w:type="dxa"/>
                </w:tblCellMar>
              </w:tblPrEx>
              <w:trPr>
                <w:trHeight w:val="242" w:hRule="atLeast"/>
              </w:trPr>
              <w:tc>
                <w:tcPr>
                  <w:tcW w:w="2007" w:type="dxa"/>
                  <w:tcMar>
                    <w:top w:w="0" w:type="dxa"/>
                    <w:left w:w="0" w:type="dxa"/>
                    <w:bottom w:w="0" w:type="dxa"/>
                    <w:right w:w="0" w:type="dxa"/>
                  </w:tcMar>
                </w:tcPr>
                <w:p>
                  <w:pPr>
                    <w:autoSpaceDE w:val="0"/>
                    <w:autoSpaceDN w:val="0"/>
                    <w:adjustRightInd w:val="0"/>
                    <w:spacing w:line="240" w:lineRule="exact"/>
                    <w:ind w:firstLine="0" w:firstLineChars="0"/>
                    <w:rPr>
                      <w:rFonts w:ascii="宋体" w:cs="宋体"/>
                      <w:kern w:val="0"/>
                      <w:sz w:val="21"/>
                    </w:rPr>
                  </w:pPr>
                  <w:r>
                    <w:rPr>
                      <w:rFonts w:hint="eastAsia" w:ascii="宋体" w:cs="宋体"/>
                      <w:kern w:val="0"/>
                      <w:sz w:val="21"/>
                    </w:rPr>
                    <w:t>日本环境厅中央环境审议会制定的环境标准</w:t>
                  </w:r>
                </w:p>
              </w:tc>
            </w:tr>
          </w:tbl>
          <w:p>
            <w:pPr>
              <w:widowControl/>
              <w:spacing w:line="240" w:lineRule="auto"/>
              <w:ind w:firstLine="0" w:firstLineChars="0"/>
              <w:jc w:val="left"/>
              <w:rPr>
                <w:rFonts w:cs="宋体" w:asciiTheme="minorHAnsi" w:hAnsiTheme="minorHAnsi"/>
                <w:sz w:val="21"/>
                <w:szCs w:val="22"/>
              </w:rPr>
            </w:pPr>
          </w:p>
        </w:tc>
      </w:tr>
    </w:tbl>
    <w:p>
      <w:pPr>
        <w:ind w:firstLine="480"/>
        <w:rPr>
          <w:rFonts w:hAnsi="宋体"/>
        </w:rPr>
      </w:pPr>
    </w:p>
    <w:p>
      <w:pPr>
        <w:pStyle w:val="161"/>
        <w:ind w:firstLine="480"/>
        <w:outlineLvl w:val="0"/>
        <w:rPr>
          <w:rFonts w:cs="Times New Roman"/>
          <w:szCs w:val="20"/>
        </w:rPr>
      </w:pPr>
      <w:r>
        <w:rPr>
          <w:rFonts w:hint="eastAsia"/>
        </w:rPr>
        <w:fldChar w:fldCharType="begin"/>
      </w:r>
      <w:r>
        <w:instrText xml:space="preserve"> = 2 \* GB2 </w:instrText>
      </w:r>
      <w:r>
        <w:rPr>
          <w:rFonts w:hint="eastAsia"/>
        </w:rPr>
        <w:fldChar w:fldCharType="separate"/>
      </w:r>
      <w:bookmarkStart w:id="102" w:name="_Toc13760088"/>
      <w:bookmarkStart w:id="103" w:name="_Toc13582040"/>
      <w:r>
        <w:rPr>
          <w:rFonts w:hint="eastAsia"/>
        </w:rPr>
        <w:t>⑵</w:t>
      </w:r>
      <w:r>
        <w:rPr>
          <w:rFonts w:hint="eastAsia"/>
        </w:rPr>
        <w:fldChar w:fldCharType="end"/>
      </w:r>
      <w:r>
        <w:rPr>
          <w:rFonts w:hint="eastAsia"/>
        </w:rPr>
        <w:t>地下水环境</w:t>
      </w:r>
      <w:bookmarkEnd w:id="102"/>
      <w:bookmarkEnd w:id="103"/>
    </w:p>
    <w:p>
      <w:pPr>
        <w:ind w:firstLine="480"/>
        <w:rPr>
          <w:lang w:val="zh-CN"/>
        </w:rPr>
      </w:pPr>
      <w:r>
        <w:rPr>
          <w:rFonts w:hint="eastAsia" w:hAnsi="宋体"/>
          <w:lang w:val="zh-CN"/>
        </w:rPr>
        <w:t>地下水质量评价执行《地下水质量标准》</w:t>
      </w:r>
      <w:r>
        <w:rPr>
          <w:rFonts w:hAnsi="宋体"/>
          <w:lang w:val="zh-CN"/>
        </w:rPr>
        <w:t>(</w:t>
      </w:r>
      <w:r>
        <w:rPr>
          <w:lang w:val="zh-CN"/>
        </w:rPr>
        <w:t>GB/T14848-2017</w:t>
      </w:r>
      <w:r>
        <w:rPr>
          <w:rFonts w:hAnsi="宋体"/>
          <w:lang w:val="zh-CN"/>
        </w:rPr>
        <w:t>)</w:t>
      </w:r>
      <w:r>
        <w:rPr>
          <w:rFonts w:hint="eastAsia" w:ascii="宋体" w:hAnsi="宋体"/>
          <w:lang w:val="zh-CN"/>
        </w:rPr>
        <w:t>Ⅲ</w:t>
      </w:r>
      <w:r>
        <w:rPr>
          <w:rFonts w:hint="eastAsia" w:hAnsi="宋体"/>
          <w:lang w:val="zh-CN"/>
        </w:rPr>
        <w:t>类标准。</w:t>
      </w:r>
    </w:p>
    <w:p>
      <w:pPr>
        <w:ind w:firstLine="480"/>
        <w:rPr>
          <w:rFonts w:hAnsi="宋体"/>
          <w:lang w:val="zh-CN"/>
        </w:rPr>
      </w:pPr>
      <w:r>
        <w:rPr>
          <w:rFonts w:hint="eastAsia" w:hAnsi="宋体"/>
          <w:lang w:val="zh-CN"/>
        </w:rPr>
        <w:t>表</w:t>
      </w:r>
      <w:r>
        <w:rPr>
          <w:lang w:val="zh-CN"/>
        </w:rPr>
        <w:t>2.</w:t>
      </w:r>
      <w:r>
        <w:rPr>
          <w:rFonts w:hint="eastAsia"/>
          <w:lang w:val="zh-CN"/>
        </w:rPr>
        <w:t>4—2</w:t>
      </w:r>
      <w:r>
        <w:rPr>
          <w:rFonts w:hint="eastAsia" w:hAnsi="宋体"/>
          <w:lang w:val="zh-CN"/>
        </w:rPr>
        <w:t>地下水质量标准</w:t>
      </w:r>
      <w:r>
        <w:rPr>
          <w:rFonts w:hAnsi="宋体"/>
          <w:lang w:val="zh-CN"/>
        </w:rPr>
        <w:t>(</w:t>
      </w:r>
      <w:r>
        <w:rPr>
          <w:rFonts w:hint="eastAsia" w:hAnsi="宋体"/>
          <w:lang w:val="zh-CN"/>
        </w:rPr>
        <w:t>节选</w:t>
      </w:r>
      <w:r>
        <w:rPr>
          <w:rFonts w:hAnsi="宋体"/>
          <w:lang w:val="zh-CN"/>
        </w:rPr>
        <w:t>)</w:t>
      </w:r>
    </w:p>
    <w:tbl>
      <w:tblPr>
        <w:tblStyle w:val="88"/>
        <w:tblW w:w="9286" w:type="dxa"/>
        <w:tblInd w:w="108" w:type="dxa"/>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Layout w:type="fixed"/>
        <w:tblCellMar>
          <w:top w:w="0" w:type="dxa"/>
          <w:left w:w="108" w:type="dxa"/>
          <w:bottom w:w="0" w:type="dxa"/>
          <w:right w:w="108" w:type="dxa"/>
        </w:tblCellMar>
      </w:tblPr>
      <w:tblGrid>
        <w:gridCol w:w="801"/>
        <w:gridCol w:w="2513"/>
        <w:gridCol w:w="1176"/>
        <w:gridCol w:w="929"/>
        <w:gridCol w:w="2587"/>
        <w:gridCol w:w="1280"/>
      </w:tblGrid>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single" w:color="auto" w:sz="12" w:space="0"/>
              <w:left w:val="nil"/>
              <w:bottom w:val="single" w:color="auto" w:sz="12" w:space="0"/>
              <w:right w:val="dotted" w:color="auto" w:sz="8" w:space="0"/>
            </w:tcBorders>
            <w:vAlign w:val="center"/>
          </w:tcPr>
          <w:p>
            <w:pPr>
              <w:widowControl/>
              <w:spacing w:line="240" w:lineRule="atLeast"/>
              <w:ind w:firstLine="0" w:firstLineChars="0"/>
              <w:jc w:val="center"/>
              <w:textAlignment w:val="center"/>
              <w:rPr>
                <w:rFonts w:cs="Times New Roman"/>
                <w:kern w:val="0"/>
                <w:sz w:val="21"/>
              </w:rPr>
            </w:pPr>
            <w:r>
              <w:rPr>
                <w:rFonts w:cs="Times New Roman"/>
                <w:kern w:val="0"/>
                <w:sz w:val="21"/>
              </w:rPr>
              <w:t>序号</w:t>
            </w:r>
          </w:p>
        </w:tc>
        <w:tc>
          <w:tcPr>
            <w:tcW w:w="2513" w:type="dxa"/>
            <w:tcBorders>
              <w:top w:val="single" w:color="auto" w:sz="12" w:space="0"/>
              <w:left w:val="dotted" w:color="auto" w:sz="8" w:space="0"/>
              <w:bottom w:val="single" w:color="auto" w:sz="12" w:space="0"/>
              <w:right w:val="dotted" w:color="auto" w:sz="8" w:space="0"/>
            </w:tcBorders>
            <w:vAlign w:val="center"/>
          </w:tcPr>
          <w:p>
            <w:pPr>
              <w:widowControl/>
              <w:spacing w:line="240" w:lineRule="atLeast"/>
              <w:ind w:firstLine="0" w:firstLineChars="0"/>
              <w:jc w:val="center"/>
              <w:textAlignment w:val="center"/>
              <w:rPr>
                <w:rFonts w:cs="Times New Roman"/>
                <w:kern w:val="0"/>
                <w:sz w:val="21"/>
              </w:rPr>
            </w:pPr>
            <w:r>
              <w:rPr>
                <w:rFonts w:hAnsi="宋体" w:cs="Times New Roman"/>
                <w:kern w:val="0"/>
                <w:sz w:val="21"/>
              </w:rPr>
              <w:t>项目</w:t>
            </w:r>
          </w:p>
        </w:tc>
        <w:tc>
          <w:tcPr>
            <w:tcW w:w="1176" w:type="dxa"/>
            <w:tcBorders>
              <w:top w:val="single" w:color="auto" w:sz="12" w:space="0"/>
              <w:left w:val="dotted" w:color="auto" w:sz="8" w:space="0"/>
              <w:bottom w:val="single" w:color="auto" w:sz="12" w:space="0"/>
              <w:right w:val="dotted" w:color="auto" w:sz="8" w:space="0"/>
            </w:tcBorders>
            <w:vAlign w:val="center"/>
          </w:tcPr>
          <w:p>
            <w:pPr>
              <w:widowControl/>
              <w:spacing w:line="240" w:lineRule="atLeast"/>
              <w:ind w:firstLine="0" w:firstLineChars="0"/>
              <w:jc w:val="center"/>
              <w:textAlignment w:val="center"/>
              <w:rPr>
                <w:rFonts w:cs="Times New Roman"/>
                <w:kern w:val="0"/>
                <w:sz w:val="21"/>
              </w:rPr>
            </w:pPr>
            <w:r>
              <w:rPr>
                <w:rFonts w:hAnsi="宋体" w:cs="Times New Roman"/>
                <w:kern w:val="0"/>
                <w:sz w:val="21"/>
              </w:rPr>
              <w:t>标准</w:t>
            </w:r>
          </w:p>
        </w:tc>
        <w:tc>
          <w:tcPr>
            <w:tcW w:w="929" w:type="dxa"/>
            <w:tcBorders>
              <w:top w:val="single" w:color="auto" w:sz="12" w:space="0"/>
              <w:left w:val="dotted" w:color="auto" w:sz="8" w:space="0"/>
              <w:bottom w:val="single" w:color="auto" w:sz="12" w:space="0"/>
              <w:right w:val="dotted" w:color="auto" w:sz="8" w:space="0"/>
            </w:tcBorders>
            <w:vAlign w:val="center"/>
          </w:tcPr>
          <w:p>
            <w:pPr>
              <w:widowControl/>
              <w:spacing w:line="240" w:lineRule="atLeast"/>
              <w:ind w:firstLine="0" w:firstLineChars="0"/>
              <w:jc w:val="center"/>
              <w:textAlignment w:val="center"/>
              <w:rPr>
                <w:rFonts w:cs="Times New Roman"/>
                <w:kern w:val="0"/>
                <w:sz w:val="21"/>
              </w:rPr>
            </w:pPr>
            <w:r>
              <w:rPr>
                <w:rFonts w:hAnsi="宋体" w:cs="Times New Roman"/>
                <w:kern w:val="0"/>
                <w:sz w:val="21"/>
              </w:rPr>
              <w:t>序号</w:t>
            </w:r>
          </w:p>
        </w:tc>
        <w:tc>
          <w:tcPr>
            <w:tcW w:w="2587" w:type="dxa"/>
            <w:tcBorders>
              <w:top w:val="single" w:color="auto" w:sz="12" w:space="0"/>
              <w:left w:val="dotted" w:color="auto" w:sz="8" w:space="0"/>
              <w:bottom w:val="single" w:color="auto" w:sz="12" w:space="0"/>
              <w:right w:val="dotted" w:color="auto" w:sz="8" w:space="0"/>
            </w:tcBorders>
            <w:vAlign w:val="center"/>
          </w:tcPr>
          <w:p>
            <w:pPr>
              <w:widowControl/>
              <w:spacing w:line="240" w:lineRule="atLeast"/>
              <w:ind w:firstLine="0" w:firstLineChars="0"/>
              <w:jc w:val="center"/>
              <w:textAlignment w:val="center"/>
              <w:rPr>
                <w:rFonts w:cs="Times New Roman"/>
                <w:kern w:val="0"/>
                <w:sz w:val="21"/>
              </w:rPr>
            </w:pPr>
            <w:r>
              <w:rPr>
                <w:rFonts w:hAnsi="宋体" w:cs="Times New Roman"/>
                <w:kern w:val="0"/>
                <w:sz w:val="21"/>
              </w:rPr>
              <w:t>项目</w:t>
            </w:r>
          </w:p>
        </w:tc>
        <w:tc>
          <w:tcPr>
            <w:tcW w:w="1280" w:type="dxa"/>
            <w:tcBorders>
              <w:top w:val="single" w:color="auto" w:sz="12" w:space="0"/>
              <w:left w:val="dotted" w:color="auto" w:sz="8" w:space="0"/>
              <w:bottom w:val="single" w:color="auto" w:sz="12" w:space="0"/>
              <w:right w:val="nil"/>
            </w:tcBorders>
            <w:vAlign w:val="center"/>
          </w:tcPr>
          <w:p>
            <w:pPr>
              <w:widowControl/>
              <w:spacing w:line="240" w:lineRule="atLeast"/>
              <w:ind w:firstLine="0" w:firstLineChars="0"/>
              <w:jc w:val="center"/>
              <w:textAlignment w:val="center"/>
              <w:rPr>
                <w:rFonts w:cs="Times New Roman"/>
                <w:kern w:val="0"/>
                <w:sz w:val="21"/>
              </w:rPr>
            </w:pPr>
            <w:r>
              <w:rPr>
                <w:rFonts w:hAnsi="宋体" w:cs="Times New Roman"/>
                <w:kern w:val="0"/>
                <w:sz w:val="21"/>
              </w:rPr>
              <w:t>标准</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single" w:color="auto" w:sz="12"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w:t>
            </w:r>
          </w:p>
        </w:tc>
        <w:tc>
          <w:tcPr>
            <w:tcW w:w="2513" w:type="dxa"/>
            <w:tcBorders>
              <w:top w:val="single" w:color="auto" w:sz="12"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色</w:t>
            </w:r>
            <w:r>
              <w:rPr>
                <w:rFonts w:cs="Times New Roman"/>
                <w:sz w:val="21"/>
              </w:rPr>
              <w:t>(</w:t>
            </w:r>
            <w:r>
              <w:rPr>
                <w:rFonts w:hAnsi="宋体" w:cs="Times New Roman"/>
                <w:sz w:val="21"/>
              </w:rPr>
              <w:t>铂钴色度单位</w:t>
            </w:r>
            <w:r>
              <w:rPr>
                <w:rFonts w:cs="Times New Roman"/>
                <w:sz w:val="21"/>
              </w:rPr>
              <w:t>)</w:t>
            </w:r>
          </w:p>
        </w:tc>
        <w:tc>
          <w:tcPr>
            <w:tcW w:w="1176" w:type="dxa"/>
            <w:tcBorders>
              <w:top w:val="single" w:color="auto" w:sz="12"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≤15</w:t>
            </w:r>
          </w:p>
        </w:tc>
        <w:tc>
          <w:tcPr>
            <w:tcW w:w="929" w:type="dxa"/>
            <w:tcBorders>
              <w:top w:val="single" w:color="auto" w:sz="12"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21</w:t>
            </w:r>
          </w:p>
        </w:tc>
        <w:tc>
          <w:tcPr>
            <w:tcW w:w="2587" w:type="dxa"/>
            <w:tcBorders>
              <w:top w:val="single" w:color="auto" w:sz="12"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总大肠菌群</w:t>
            </w:r>
            <w:r>
              <w:rPr>
                <w:rFonts w:cs="Times New Roman"/>
                <w:sz w:val="21"/>
              </w:rPr>
              <w:t>/(MPN</w:t>
            </w:r>
            <w:r>
              <w:rPr>
                <w:rFonts w:cs="Times New Roman"/>
                <w:sz w:val="21"/>
                <w:vertAlign w:val="superscript"/>
              </w:rPr>
              <w:t>b</w:t>
            </w:r>
            <w:r>
              <w:rPr>
                <w:rFonts w:cs="Times New Roman"/>
                <w:sz w:val="21"/>
              </w:rPr>
              <w:t>/100mL</w:t>
            </w:r>
            <w:r>
              <w:rPr>
                <w:rFonts w:hAnsi="宋体" w:cs="Times New Roman"/>
                <w:sz w:val="21"/>
              </w:rPr>
              <w:t>或</w:t>
            </w:r>
            <w:r>
              <w:rPr>
                <w:rFonts w:cs="Times New Roman"/>
                <w:sz w:val="21"/>
              </w:rPr>
              <w:t>CFU</w:t>
            </w:r>
            <w:r>
              <w:rPr>
                <w:rFonts w:cs="Times New Roman"/>
                <w:sz w:val="21"/>
                <w:vertAlign w:val="superscript"/>
              </w:rPr>
              <w:t>c</w:t>
            </w:r>
            <w:r>
              <w:rPr>
                <w:rFonts w:cs="Times New Roman"/>
                <w:sz w:val="21"/>
              </w:rPr>
              <w:t>/100mL)</w:t>
            </w:r>
          </w:p>
        </w:tc>
        <w:tc>
          <w:tcPr>
            <w:tcW w:w="1280" w:type="dxa"/>
            <w:tcBorders>
              <w:top w:val="single" w:color="auto" w:sz="12"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≤3.0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嗅和味</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无</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22</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菌落总数</w:t>
            </w:r>
            <w:r>
              <w:rPr>
                <w:rFonts w:cs="Times New Roman"/>
                <w:sz w:val="21"/>
              </w:rPr>
              <w:t>/(CFU/100mL)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≤100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浑浊度</w:t>
            </w:r>
            <w:r>
              <w:rPr>
                <w:rFonts w:cs="Times New Roman"/>
                <w:sz w:val="21"/>
              </w:rPr>
              <w:t>/NTU</w:t>
            </w:r>
            <w:r>
              <w:rPr>
                <w:rFonts w:cs="Times New Roman"/>
                <w:sz w:val="21"/>
                <w:vertAlign w:val="superscript"/>
              </w:rPr>
              <w:t>a</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23</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硝酸盐氮</w:t>
            </w:r>
            <w:r>
              <w:rPr>
                <w:rFonts w:cs="Times New Roman"/>
                <w:sz w:val="21"/>
              </w:rPr>
              <w:t>(mg/L)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≤20.0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4</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肉眼可见物</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无</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24</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亚硝酸盐氮</w:t>
            </w:r>
            <w:r>
              <w:rPr>
                <w:rFonts w:cs="Times New Roman"/>
                <w:sz w:val="21"/>
              </w:rPr>
              <w:t>(mg/L)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≤1.00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5</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pH</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6.5-8.5</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25</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氰化物</w:t>
            </w:r>
            <w:r>
              <w:rPr>
                <w:rFonts w:cs="Times New Roman"/>
                <w:sz w:val="21"/>
              </w:rPr>
              <w:t>(mg/L)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≤0.05</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6</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总硬度</w:t>
            </w:r>
            <w:r>
              <w:rPr>
                <w:rFonts w:cs="Times New Roman"/>
                <w:sz w:val="21"/>
              </w:rPr>
              <w:t>(</w:t>
            </w:r>
            <w:r>
              <w:rPr>
                <w:rFonts w:hAnsi="宋体" w:cs="Times New Roman"/>
                <w:sz w:val="21"/>
              </w:rPr>
              <w:t>以</w:t>
            </w:r>
            <w:r>
              <w:rPr>
                <w:rFonts w:cs="Times New Roman"/>
                <w:sz w:val="21"/>
              </w:rPr>
              <w:t>CaCO</w:t>
            </w:r>
            <w:r>
              <w:rPr>
                <w:rFonts w:cs="Times New Roman"/>
                <w:sz w:val="21"/>
                <w:vertAlign w:val="subscript"/>
              </w:rPr>
              <w:t>3</w:t>
            </w:r>
            <w:r>
              <w:rPr>
                <w:rFonts w:cs="Times New Roman"/>
                <w:sz w:val="21"/>
              </w:rPr>
              <w:t>)</w:t>
            </w:r>
            <w:r>
              <w:rPr>
                <w:rFonts w:hAnsi="宋体" w:cs="Times New Roman"/>
                <w:sz w:val="21"/>
              </w:rPr>
              <w:t>计</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≤450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26</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氟化物</w:t>
            </w:r>
            <w:r>
              <w:rPr>
                <w:rFonts w:cs="Times New Roman"/>
                <w:sz w:val="21"/>
              </w:rPr>
              <w:t>(mg/L)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≤1.0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7</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溶解性总固体</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≤1000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27</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碘化物</w:t>
            </w:r>
            <w:r>
              <w:rPr>
                <w:rFonts w:cs="Times New Roman"/>
                <w:sz w:val="21"/>
              </w:rPr>
              <w:t>(mg/L)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≤0.08</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8</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氯化物</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≤250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28</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汞</w:t>
            </w:r>
            <w:r>
              <w:rPr>
                <w:rFonts w:cs="Times New Roman"/>
                <w:sz w:val="21"/>
              </w:rPr>
              <w:t>(µg/L)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≤0.001</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9</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硫酸盐</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≤250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29</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砷</w:t>
            </w:r>
            <w:r>
              <w:rPr>
                <w:rFonts w:cs="Times New Roman"/>
                <w:sz w:val="21"/>
              </w:rPr>
              <w:t>(µg/L)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≤0.01</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10</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铁</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≤0.3</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30</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硒</w:t>
            </w:r>
            <w:r>
              <w:rPr>
                <w:rFonts w:cs="Times New Roman"/>
                <w:sz w:val="21"/>
              </w:rPr>
              <w:t>(µg/L)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≤0.01</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11</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锰</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≤0.10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31</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镉</w:t>
            </w:r>
            <w:r>
              <w:rPr>
                <w:rFonts w:cs="Times New Roman"/>
                <w:sz w:val="21"/>
              </w:rPr>
              <w:t>(mg/L)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≤0.005</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12</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铜</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≤1.00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32</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六价铬</w:t>
            </w:r>
            <w:r>
              <w:rPr>
                <w:rFonts w:cs="Times New Roman"/>
                <w:sz w:val="21"/>
              </w:rPr>
              <w:t>(mg/L)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≤0.05</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13</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锌</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≤1.00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33</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铅</w:t>
            </w:r>
            <w:r>
              <w:rPr>
                <w:rFonts w:cs="Times New Roman"/>
                <w:sz w:val="21"/>
              </w:rPr>
              <w:t>(mg/L)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≤0.01</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14</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铝</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≤0.20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34</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三氯甲烷</w:t>
            </w:r>
            <w:r>
              <w:rPr>
                <w:rFonts w:cs="Times New Roman"/>
                <w:sz w:val="21"/>
              </w:rPr>
              <w:t>/(μg/L)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≤60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15</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挥发性酚类</w:t>
            </w:r>
            <w:r>
              <w:rPr>
                <w:rFonts w:cs="Times New Roman"/>
                <w:sz w:val="21"/>
              </w:rPr>
              <w:t>(</w:t>
            </w:r>
            <w:r>
              <w:rPr>
                <w:rFonts w:hAnsi="宋体" w:cs="Times New Roman"/>
                <w:sz w:val="21"/>
              </w:rPr>
              <w:t>以苯酚计</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≤0.002</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35</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四氯化碳</w:t>
            </w:r>
            <w:r>
              <w:rPr>
                <w:rFonts w:cs="Times New Roman"/>
                <w:sz w:val="21"/>
              </w:rPr>
              <w:t>/(μg/L)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≤2.0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16</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阴离子表面活性剂</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≤0.3</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36</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苯</w:t>
            </w:r>
            <w:r>
              <w:rPr>
                <w:rFonts w:cs="Times New Roman"/>
                <w:sz w:val="21"/>
              </w:rPr>
              <w:t>/(μg/L)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≤10.0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17</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耗氧量</w:t>
            </w:r>
            <w:r>
              <w:rPr>
                <w:rFonts w:cs="Times New Roman"/>
                <w:sz w:val="21"/>
              </w:rPr>
              <w:t>(COD</w:t>
            </w:r>
            <w:r>
              <w:rPr>
                <w:rFonts w:cs="Times New Roman"/>
                <w:sz w:val="21"/>
                <w:vertAlign w:val="subscript"/>
              </w:rPr>
              <w:t>Mn</w:t>
            </w:r>
            <w:r>
              <w:rPr>
                <w:rFonts w:hAnsi="宋体" w:cs="Times New Roman"/>
                <w:sz w:val="21"/>
              </w:rPr>
              <w:t>法，以</w:t>
            </w:r>
            <w:r>
              <w:rPr>
                <w:rFonts w:cs="Times New Roman"/>
                <w:sz w:val="21"/>
              </w:rPr>
              <w:t>O</w:t>
            </w:r>
            <w:r>
              <w:rPr>
                <w:rFonts w:cs="Times New Roman"/>
                <w:sz w:val="21"/>
                <w:vertAlign w:val="subscript"/>
              </w:rPr>
              <w:t>2</w:t>
            </w:r>
            <w:r>
              <w:rPr>
                <w:rFonts w:hAnsi="宋体" w:cs="Times New Roman"/>
                <w:sz w:val="21"/>
              </w:rPr>
              <w:t>计</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37</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甲苯</w:t>
            </w:r>
            <w:r>
              <w:rPr>
                <w:rFonts w:cs="Times New Roman"/>
                <w:sz w:val="21"/>
              </w:rPr>
              <w:t>/(μg/L)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≤700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18</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氨氮</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≤0.50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38</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总</w:t>
            </w:r>
            <w:r>
              <w:rPr>
                <w:rFonts w:cs="Times New Roman"/>
                <w:sz w:val="21"/>
              </w:rPr>
              <w:t>α</w:t>
            </w:r>
            <w:r>
              <w:rPr>
                <w:rFonts w:hAnsi="宋体" w:cs="Times New Roman"/>
                <w:sz w:val="21"/>
              </w:rPr>
              <w:t>放射性</w:t>
            </w:r>
            <w:r>
              <w:rPr>
                <w:rFonts w:cs="Times New Roman"/>
                <w:sz w:val="21"/>
              </w:rPr>
              <w:t>/(μg/L)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≤0.5</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19</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硫化物</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≤0.02</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39</w:t>
            </w: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总</w:t>
            </w:r>
            <w:r>
              <w:rPr>
                <w:rFonts w:cs="Times New Roman"/>
                <w:sz w:val="21"/>
              </w:rPr>
              <w:t>β</w:t>
            </w:r>
            <w:r>
              <w:rPr>
                <w:rFonts w:hAnsi="宋体" w:cs="Times New Roman"/>
                <w:sz w:val="21"/>
              </w:rPr>
              <w:t>放射性</w:t>
            </w:r>
            <w:r>
              <w:rPr>
                <w:rFonts w:cs="Times New Roman"/>
                <w:sz w:val="21"/>
              </w:rPr>
              <w:t>/(μg/L)</w:t>
            </w: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r>
              <w:rPr>
                <w:rFonts w:cs="Times New Roman"/>
                <w:sz w:val="21"/>
              </w:rPr>
              <w:t>≤1.0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801" w:type="dxa"/>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20</w:t>
            </w:r>
          </w:p>
        </w:tc>
        <w:tc>
          <w:tcPr>
            <w:tcW w:w="2513"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hAnsi="宋体" w:cs="Times New Roman"/>
                <w:sz w:val="21"/>
              </w:rPr>
              <w:t>钠</w:t>
            </w:r>
            <w:r>
              <w:rPr>
                <w:rFonts w:cs="Times New Roman"/>
                <w:sz w:val="21"/>
              </w:rPr>
              <w:t>/(mg/L)</w:t>
            </w:r>
          </w:p>
        </w:tc>
        <w:tc>
          <w:tcPr>
            <w:tcW w:w="1176"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r>
              <w:rPr>
                <w:rFonts w:cs="Times New Roman"/>
                <w:sz w:val="21"/>
              </w:rPr>
              <w:t>≤200</w:t>
            </w:r>
          </w:p>
        </w:tc>
        <w:tc>
          <w:tcPr>
            <w:tcW w:w="929"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p>
        </w:tc>
        <w:tc>
          <w:tcPr>
            <w:tcW w:w="2587" w:type="dxa"/>
            <w:tcBorders>
              <w:top w:val="dotted" w:color="auto" w:sz="8" w:space="0"/>
              <w:left w:val="dotted" w:color="auto" w:sz="8" w:space="0"/>
              <w:bottom w:val="dotted" w:color="auto" w:sz="8" w:space="0"/>
              <w:right w:val="dotted" w:color="auto" w:sz="8" w:space="0"/>
            </w:tcBorders>
            <w:vAlign w:val="center"/>
          </w:tcPr>
          <w:p>
            <w:pPr>
              <w:widowControl/>
              <w:spacing w:line="240" w:lineRule="atLeast"/>
              <w:ind w:firstLine="0" w:firstLineChars="0"/>
              <w:jc w:val="center"/>
              <w:textAlignment w:val="center"/>
              <w:rPr>
                <w:rFonts w:cs="Times New Roman"/>
                <w:sz w:val="21"/>
              </w:rPr>
            </w:pPr>
          </w:p>
        </w:tc>
        <w:tc>
          <w:tcPr>
            <w:tcW w:w="1280" w:type="dxa"/>
            <w:tcBorders>
              <w:top w:val="dotted" w:color="auto" w:sz="8" w:space="0"/>
              <w:left w:val="dotted" w:color="auto" w:sz="8" w:space="0"/>
              <w:bottom w:val="dotted" w:color="auto" w:sz="8" w:space="0"/>
              <w:right w:val="nil"/>
            </w:tcBorders>
            <w:vAlign w:val="center"/>
          </w:tcPr>
          <w:p>
            <w:pPr>
              <w:widowControl/>
              <w:spacing w:line="240" w:lineRule="atLeast"/>
              <w:ind w:firstLine="0" w:firstLineChars="0"/>
              <w:jc w:val="center"/>
              <w:textAlignment w:val="center"/>
              <w:rPr>
                <w:rFonts w:cs="Times New Roman"/>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9286" w:type="dxa"/>
            <w:gridSpan w:val="6"/>
            <w:tcBorders>
              <w:top w:val="dotted" w:color="auto" w:sz="8" w:space="0"/>
              <w:left w:val="nil"/>
              <w:bottom w:val="single" w:color="auto" w:sz="12" w:space="0"/>
              <w:right w:val="nil"/>
            </w:tcBorders>
            <w:vAlign w:val="center"/>
          </w:tcPr>
          <w:p>
            <w:pPr>
              <w:widowControl/>
              <w:spacing w:line="240" w:lineRule="atLeast"/>
              <w:ind w:firstLine="0" w:firstLineChars="0"/>
              <w:jc w:val="left"/>
              <w:textAlignment w:val="center"/>
              <w:rPr>
                <w:rFonts w:cs="Times New Roman"/>
                <w:sz w:val="21"/>
              </w:rPr>
            </w:pPr>
            <w:r>
              <w:rPr>
                <w:rFonts w:cs="Times New Roman"/>
                <w:sz w:val="21"/>
              </w:rPr>
              <w:t>aMTU</w:t>
            </w:r>
            <w:r>
              <w:rPr>
                <w:rFonts w:hAnsi="宋体" w:cs="Times New Roman"/>
                <w:sz w:val="21"/>
              </w:rPr>
              <w:t>为散射浊度单位</w:t>
            </w:r>
          </w:p>
          <w:p>
            <w:pPr>
              <w:widowControl/>
              <w:spacing w:line="240" w:lineRule="atLeast"/>
              <w:ind w:firstLine="0" w:firstLineChars="0"/>
              <w:jc w:val="left"/>
              <w:textAlignment w:val="center"/>
              <w:rPr>
                <w:rFonts w:cs="Times New Roman"/>
                <w:sz w:val="21"/>
              </w:rPr>
            </w:pPr>
            <w:r>
              <w:rPr>
                <w:rFonts w:cs="Times New Roman"/>
                <w:sz w:val="21"/>
              </w:rPr>
              <w:t>bMPN</w:t>
            </w:r>
            <w:r>
              <w:rPr>
                <w:rFonts w:hAnsi="宋体" w:cs="Times New Roman"/>
                <w:sz w:val="21"/>
              </w:rPr>
              <w:t>表示最可能数</w:t>
            </w:r>
          </w:p>
          <w:p>
            <w:pPr>
              <w:widowControl/>
              <w:spacing w:line="240" w:lineRule="atLeast"/>
              <w:ind w:firstLine="0" w:firstLineChars="0"/>
              <w:jc w:val="left"/>
              <w:textAlignment w:val="center"/>
              <w:rPr>
                <w:rFonts w:cs="Times New Roman"/>
                <w:sz w:val="21"/>
              </w:rPr>
            </w:pPr>
            <w:r>
              <w:rPr>
                <w:rFonts w:cs="Times New Roman"/>
                <w:sz w:val="21"/>
              </w:rPr>
              <w:t>cCFU</w:t>
            </w:r>
            <w:r>
              <w:rPr>
                <w:rFonts w:hAnsi="宋体" w:cs="Times New Roman"/>
                <w:sz w:val="21"/>
              </w:rPr>
              <w:t>表示菌落形成单位</w:t>
            </w:r>
          </w:p>
          <w:p>
            <w:pPr>
              <w:widowControl/>
              <w:spacing w:line="240" w:lineRule="atLeast"/>
              <w:ind w:firstLine="0" w:firstLineChars="0"/>
              <w:jc w:val="left"/>
              <w:textAlignment w:val="center"/>
              <w:rPr>
                <w:rFonts w:cs="Times New Roman"/>
                <w:sz w:val="21"/>
              </w:rPr>
            </w:pPr>
            <w:r>
              <w:rPr>
                <w:rFonts w:cs="Times New Roman"/>
                <w:sz w:val="21"/>
              </w:rPr>
              <w:t>d</w:t>
            </w:r>
            <w:r>
              <w:rPr>
                <w:rFonts w:hAnsi="宋体" w:cs="Times New Roman"/>
                <w:sz w:val="21"/>
              </w:rPr>
              <w:t>放射性指标超过指导指，应进行核素分析和评价</w:t>
            </w:r>
          </w:p>
        </w:tc>
      </w:tr>
    </w:tbl>
    <w:p>
      <w:pPr>
        <w:autoSpaceDE w:val="0"/>
        <w:autoSpaceDN w:val="0"/>
        <w:adjustRightInd w:val="0"/>
        <w:snapToGrid w:val="0"/>
        <w:ind w:firstLine="480"/>
        <w:rPr>
          <w:lang w:val="zh-CN"/>
        </w:rPr>
      </w:pPr>
    </w:p>
    <w:p>
      <w:pPr>
        <w:pStyle w:val="161"/>
        <w:ind w:firstLine="480"/>
        <w:outlineLvl w:val="0"/>
        <w:rPr>
          <w:rFonts w:cs="Times New Roman"/>
          <w:szCs w:val="20"/>
        </w:rPr>
      </w:pPr>
      <w:r>
        <w:fldChar w:fldCharType="begin"/>
      </w:r>
      <w:r>
        <w:rPr>
          <w:rFonts w:hint="eastAsia"/>
        </w:rPr>
        <w:instrText xml:space="preserve">= 3 \* GB2</w:instrText>
      </w:r>
      <w:r>
        <w:fldChar w:fldCharType="separate"/>
      </w:r>
      <w:bookmarkStart w:id="104" w:name="_Toc13582041"/>
      <w:bookmarkStart w:id="105" w:name="_Toc13760089"/>
      <w:r>
        <w:rPr>
          <w:rFonts w:hint="eastAsia"/>
        </w:rPr>
        <w:t>⑶</w:t>
      </w:r>
      <w:r>
        <w:fldChar w:fldCharType="end"/>
      </w:r>
      <w:r>
        <w:rPr>
          <w:rFonts w:hint="eastAsia" w:hAnsi="宋体"/>
        </w:rPr>
        <w:t>声环境</w:t>
      </w:r>
      <w:bookmarkEnd w:id="104"/>
      <w:bookmarkEnd w:id="105"/>
    </w:p>
    <w:p>
      <w:pPr>
        <w:ind w:firstLine="480"/>
        <w:rPr>
          <w:lang w:val="zh-CN"/>
        </w:rPr>
      </w:pPr>
      <w:r>
        <w:rPr>
          <w:rFonts w:hint="eastAsia" w:hAnsi="宋体"/>
          <w:lang w:val="zh-CN"/>
        </w:rPr>
        <w:t>声环境执行《声环境质量标准》</w:t>
      </w:r>
      <w:r>
        <w:rPr>
          <w:rFonts w:hAnsi="宋体"/>
          <w:lang w:val="zh-CN"/>
        </w:rPr>
        <w:t>(</w:t>
      </w:r>
      <w:r>
        <w:rPr>
          <w:lang w:val="zh-CN"/>
        </w:rPr>
        <w:t>GB3096-2008</w:t>
      </w:r>
      <w:r>
        <w:rPr>
          <w:rFonts w:hAnsi="宋体"/>
          <w:lang w:val="zh-CN"/>
        </w:rPr>
        <w:t>)</w:t>
      </w:r>
      <w:r>
        <w:rPr>
          <w:rFonts w:hint="eastAsia" w:hAnsi="宋体"/>
          <w:lang w:val="zh-CN"/>
        </w:rPr>
        <w:t>中</w:t>
      </w:r>
      <w:r>
        <w:rPr>
          <w:lang w:val="zh-CN"/>
        </w:rPr>
        <w:t>3</w:t>
      </w:r>
      <w:r>
        <w:rPr>
          <w:rFonts w:hint="eastAsia" w:hAnsi="宋体"/>
          <w:lang w:val="zh-CN"/>
        </w:rPr>
        <w:t>类标准，见表</w:t>
      </w:r>
      <w:r>
        <w:rPr>
          <w:lang w:val="zh-CN"/>
        </w:rPr>
        <w:t>2.</w:t>
      </w:r>
      <w:r>
        <w:rPr>
          <w:rFonts w:hint="eastAsia"/>
          <w:lang w:val="zh-CN"/>
        </w:rPr>
        <w:t>4—3</w:t>
      </w:r>
      <w:r>
        <w:rPr>
          <w:rFonts w:hint="eastAsia" w:hAnsi="宋体"/>
          <w:lang w:val="zh-CN"/>
        </w:rPr>
        <w:t>。</w:t>
      </w:r>
    </w:p>
    <w:p>
      <w:pPr>
        <w:ind w:firstLine="480"/>
        <w:rPr>
          <w:rFonts w:hAnsi="宋体"/>
          <w:lang w:val="zh-CN"/>
        </w:rPr>
      </w:pPr>
      <w:r>
        <w:rPr>
          <w:rFonts w:hint="eastAsia" w:hAnsi="宋体"/>
          <w:lang w:val="zh-CN"/>
        </w:rPr>
        <w:t>表</w:t>
      </w:r>
      <w:r>
        <w:rPr>
          <w:lang w:val="zh-CN"/>
        </w:rPr>
        <w:t>2.</w:t>
      </w:r>
      <w:r>
        <w:rPr>
          <w:rFonts w:hint="eastAsia"/>
          <w:lang w:val="zh-CN"/>
        </w:rPr>
        <w:t>4—</w:t>
      </w:r>
      <w:r>
        <w:rPr>
          <w:lang w:val="zh-CN"/>
        </w:rPr>
        <w:t xml:space="preserve">3                  </w:t>
      </w:r>
      <w:r>
        <w:rPr>
          <w:rFonts w:hint="eastAsia" w:hAnsi="宋体"/>
          <w:lang w:val="zh-CN"/>
        </w:rPr>
        <w:t>声环境质量标准</w:t>
      </w:r>
    </w:p>
    <w:tbl>
      <w:tblPr>
        <w:tblStyle w:val="88"/>
        <w:tblW w:w="9070"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1890"/>
        <w:gridCol w:w="3601"/>
        <w:gridCol w:w="3579"/>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890" w:type="dxa"/>
            <w:tcBorders>
              <w:top w:val="single" w:color="000000" w:sz="12" w:space="0"/>
              <w:left w:val="nil"/>
              <w:bottom w:val="single" w:color="auto" w:sz="12" w:space="0"/>
              <w:right w:val="dotted" w:color="auto" w:sz="4" w:space="0"/>
            </w:tcBorders>
            <w:vAlign w:val="center"/>
          </w:tcPr>
          <w:p>
            <w:pPr>
              <w:autoSpaceDE w:val="0"/>
              <w:autoSpaceDN w:val="0"/>
              <w:adjustRightInd w:val="0"/>
              <w:spacing w:line="240" w:lineRule="atLeast"/>
              <w:ind w:firstLine="0" w:firstLineChars="0"/>
              <w:jc w:val="center"/>
              <w:rPr>
                <w:kern w:val="0"/>
                <w:sz w:val="21"/>
                <w:lang w:val="zh-CN"/>
              </w:rPr>
            </w:pPr>
            <w:r>
              <w:rPr>
                <w:rFonts w:hint="eastAsia" w:hAnsi="宋体"/>
                <w:kern w:val="0"/>
                <w:sz w:val="21"/>
                <w:lang w:val="zh-CN"/>
              </w:rPr>
              <w:t>类别</w:t>
            </w:r>
          </w:p>
        </w:tc>
        <w:tc>
          <w:tcPr>
            <w:tcW w:w="3601" w:type="dxa"/>
            <w:tcBorders>
              <w:top w:val="single" w:color="000000" w:sz="12" w:space="0"/>
              <w:left w:val="dotted" w:color="auto" w:sz="4" w:space="0"/>
              <w:bottom w:val="single" w:color="auto" w:sz="12" w:space="0"/>
              <w:right w:val="dotted" w:color="auto" w:sz="4" w:space="0"/>
            </w:tcBorders>
            <w:vAlign w:val="center"/>
          </w:tcPr>
          <w:p>
            <w:pPr>
              <w:autoSpaceDE w:val="0"/>
              <w:autoSpaceDN w:val="0"/>
              <w:adjustRightInd w:val="0"/>
              <w:spacing w:line="240" w:lineRule="atLeast"/>
              <w:ind w:firstLine="0" w:firstLineChars="0"/>
              <w:jc w:val="center"/>
              <w:rPr>
                <w:kern w:val="0"/>
                <w:sz w:val="21"/>
                <w:lang w:val="zh-CN"/>
              </w:rPr>
            </w:pPr>
            <w:r>
              <w:rPr>
                <w:rFonts w:hint="eastAsia" w:hAnsi="宋体"/>
                <w:kern w:val="0"/>
                <w:sz w:val="21"/>
                <w:lang w:val="zh-CN"/>
              </w:rPr>
              <w:t>昼间</w:t>
            </w:r>
          </w:p>
        </w:tc>
        <w:tc>
          <w:tcPr>
            <w:tcW w:w="3579" w:type="dxa"/>
            <w:tcBorders>
              <w:top w:val="single" w:color="000000" w:sz="12" w:space="0"/>
              <w:left w:val="dotted" w:color="auto" w:sz="4" w:space="0"/>
              <w:bottom w:val="single" w:color="auto" w:sz="12" w:space="0"/>
              <w:right w:val="nil"/>
            </w:tcBorders>
            <w:vAlign w:val="center"/>
          </w:tcPr>
          <w:p>
            <w:pPr>
              <w:autoSpaceDE w:val="0"/>
              <w:autoSpaceDN w:val="0"/>
              <w:adjustRightInd w:val="0"/>
              <w:spacing w:line="240" w:lineRule="atLeast"/>
              <w:ind w:firstLine="0" w:firstLineChars="0"/>
              <w:jc w:val="center"/>
              <w:rPr>
                <w:kern w:val="0"/>
                <w:sz w:val="21"/>
                <w:lang w:val="zh-CN"/>
              </w:rPr>
            </w:pPr>
            <w:r>
              <w:rPr>
                <w:rFonts w:hint="eastAsia" w:hAnsi="宋体"/>
                <w:kern w:val="0"/>
                <w:sz w:val="21"/>
                <w:lang w:val="zh-CN"/>
              </w:rPr>
              <w:t>夜间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1890" w:type="dxa"/>
            <w:tcBorders>
              <w:top w:val="single" w:color="auto" w:sz="12" w:space="0"/>
              <w:left w:val="nil"/>
              <w:bottom w:val="single" w:color="000000" w:sz="12" w:space="0"/>
              <w:right w:val="dotted" w:color="auto" w:sz="4" w:space="0"/>
            </w:tcBorders>
            <w:vAlign w:val="center"/>
          </w:tcPr>
          <w:p>
            <w:pPr>
              <w:autoSpaceDE w:val="0"/>
              <w:autoSpaceDN w:val="0"/>
              <w:adjustRightInd w:val="0"/>
              <w:spacing w:line="240" w:lineRule="atLeast"/>
              <w:ind w:firstLine="0" w:firstLineChars="0"/>
              <w:jc w:val="center"/>
              <w:rPr>
                <w:kern w:val="0"/>
                <w:sz w:val="21"/>
              </w:rPr>
            </w:pPr>
            <w:r>
              <w:rPr>
                <w:kern w:val="0"/>
                <w:sz w:val="21"/>
              </w:rPr>
              <w:t>3</w:t>
            </w:r>
          </w:p>
        </w:tc>
        <w:tc>
          <w:tcPr>
            <w:tcW w:w="3601" w:type="dxa"/>
            <w:tcBorders>
              <w:top w:val="single" w:color="auto" w:sz="12" w:space="0"/>
              <w:left w:val="dotted" w:color="auto" w:sz="4" w:space="0"/>
              <w:bottom w:val="single" w:color="000000" w:sz="12" w:space="0"/>
              <w:right w:val="dotted" w:color="auto" w:sz="4" w:space="0"/>
            </w:tcBorders>
            <w:vAlign w:val="center"/>
          </w:tcPr>
          <w:p>
            <w:pPr>
              <w:autoSpaceDE w:val="0"/>
              <w:autoSpaceDN w:val="0"/>
              <w:adjustRightInd w:val="0"/>
              <w:spacing w:line="240" w:lineRule="atLeast"/>
              <w:ind w:firstLine="0" w:firstLineChars="0"/>
              <w:jc w:val="center"/>
              <w:rPr>
                <w:kern w:val="0"/>
                <w:sz w:val="21"/>
              </w:rPr>
            </w:pPr>
            <w:r>
              <w:rPr>
                <w:kern w:val="0"/>
                <w:sz w:val="21"/>
              </w:rPr>
              <w:t>65 dB</w:t>
            </w:r>
            <w:r>
              <w:rPr>
                <w:rFonts w:hAnsi="宋体"/>
                <w:kern w:val="0"/>
                <w:sz w:val="21"/>
              </w:rPr>
              <w:t>(</w:t>
            </w:r>
            <w:r>
              <w:rPr>
                <w:kern w:val="0"/>
                <w:sz w:val="21"/>
              </w:rPr>
              <w:t>A</w:t>
            </w:r>
            <w:r>
              <w:rPr>
                <w:rFonts w:hAnsi="宋体"/>
                <w:kern w:val="0"/>
                <w:sz w:val="21"/>
              </w:rPr>
              <w:t>)</w:t>
            </w:r>
          </w:p>
        </w:tc>
        <w:tc>
          <w:tcPr>
            <w:tcW w:w="3579" w:type="dxa"/>
            <w:tcBorders>
              <w:top w:val="single" w:color="auto" w:sz="12" w:space="0"/>
              <w:left w:val="dotted" w:color="auto" w:sz="4" w:space="0"/>
              <w:bottom w:val="single" w:color="000000" w:sz="12" w:space="0"/>
              <w:right w:val="nil"/>
            </w:tcBorders>
            <w:vAlign w:val="center"/>
          </w:tcPr>
          <w:p>
            <w:pPr>
              <w:autoSpaceDE w:val="0"/>
              <w:autoSpaceDN w:val="0"/>
              <w:adjustRightInd w:val="0"/>
              <w:spacing w:line="240" w:lineRule="atLeast"/>
              <w:ind w:firstLine="0" w:firstLineChars="0"/>
              <w:jc w:val="center"/>
              <w:rPr>
                <w:kern w:val="0"/>
                <w:sz w:val="21"/>
              </w:rPr>
            </w:pPr>
            <w:r>
              <w:rPr>
                <w:kern w:val="0"/>
                <w:sz w:val="21"/>
              </w:rPr>
              <w:t>55 dB</w:t>
            </w:r>
            <w:r>
              <w:rPr>
                <w:rFonts w:hAnsi="宋体"/>
                <w:kern w:val="0"/>
                <w:sz w:val="21"/>
              </w:rPr>
              <w:t>(</w:t>
            </w:r>
            <w:r>
              <w:rPr>
                <w:kern w:val="0"/>
                <w:sz w:val="21"/>
              </w:rPr>
              <w:t>A</w:t>
            </w:r>
            <w:r>
              <w:rPr>
                <w:rFonts w:hAnsi="宋体"/>
                <w:kern w:val="0"/>
                <w:sz w:val="21"/>
              </w:rPr>
              <w:t>)</w:t>
            </w:r>
          </w:p>
        </w:tc>
      </w:tr>
    </w:tbl>
    <w:p>
      <w:pPr>
        <w:ind w:firstLine="480"/>
        <w:rPr>
          <w:rFonts w:cs="Times New Roman" w:hAnsiTheme="minorEastAsia" w:eastAsiaTheme="minorEastAsia"/>
          <w:szCs w:val="24"/>
        </w:rPr>
      </w:pPr>
    </w:p>
    <w:p>
      <w:pPr>
        <w:pStyle w:val="161"/>
        <w:ind w:firstLine="480"/>
        <w:outlineLvl w:val="0"/>
      </w:pPr>
      <w:r>
        <w:fldChar w:fldCharType="begin"/>
      </w:r>
      <w:r>
        <w:rPr>
          <w:rFonts w:hint="eastAsia"/>
        </w:rPr>
        <w:instrText xml:space="preserve">= 4 \* GB2</w:instrText>
      </w:r>
      <w:r>
        <w:fldChar w:fldCharType="separate"/>
      </w:r>
      <w:bookmarkStart w:id="106" w:name="_Toc13582042"/>
      <w:bookmarkStart w:id="107" w:name="_Toc13760090"/>
      <w:r>
        <w:rPr>
          <w:rFonts w:hint="eastAsia"/>
        </w:rPr>
        <w:t>⑷</w:t>
      </w:r>
      <w:r>
        <w:fldChar w:fldCharType="end"/>
      </w:r>
      <w:r>
        <w:rPr>
          <w:rFonts w:hint="eastAsia"/>
        </w:rPr>
        <w:t>土壤环境</w:t>
      </w:r>
      <w:bookmarkEnd w:id="106"/>
      <w:bookmarkEnd w:id="107"/>
    </w:p>
    <w:p>
      <w:pPr>
        <w:ind w:firstLine="480"/>
        <w:rPr>
          <w:szCs w:val="24"/>
        </w:rPr>
      </w:pPr>
      <w:r>
        <w:rPr>
          <w:rFonts w:hint="eastAsia"/>
          <w:lang w:val="zh-CN"/>
        </w:rPr>
        <w:t>土壤环境执行</w:t>
      </w:r>
      <w:r>
        <w:rPr>
          <w:rFonts w:hint="eastAsia"/>
        </w:rPr>
        <w:t>《土壤环境质量 建设用地土壤污染风险管控标准》</w:t>
      </w:r>
      <w:r>
        <w:t>(GB</w:t>
      </w:r>
      <w:r>
        <w:rPr>
          <w:rFonts w:hint="eastAsia"/>
        </w:rPr>
        <w:t>36600</w:t>
      </w:r>
      <w:r>
        <w:t>-</w:t>
      </w:r>
      <w:r>
        <w:rPr>
          <w:rFonts w:hint="eastAsia"/>
        </w:rPr>
        <w:t>2018</w:t>
      </w:r>
      <w:r>
        <w:t>)</w:t>
      </w:r>
      <w:r>
        <w:rPr>
          <w:rFonts w:hint="eastAsia"/>
        </w:rPr>
        <w:t>中的表1和表2第二类用地筛选值</w:t>
      </w:r>
      <w:r>
        <w:rPr>
          <w:rFonts w:hint="eastAsia"/>
          <w:lang w:val="zh-CN"/>
        </w:rPr>
        <w:t>，见表</w:t>
      </w:r>
      <w:r>
        <w:rPr>
          <w:lang w:val="zh-CN"/>
        </w:rPr>
        <w:t>2.</w:t>
      </w:r>
      <w:r>
        <w:rPr>
          <w:rFonts w:hint="eastAsia"/>
          <w:lang w:val="zh-CN"/>
        </w:rPr>
        <w:t>4—4和表</w:t>
      </w:r>
      <w:r>
        <w:rPr>
          <w:lang w:val="zh-CN"/>
        </w:rPr>
        <w:t>2.</w:t>
      </w:r>
      <w:r>
        <w:rPr>
          <w:rFonts w:hint="eastAsia"/>
          <w:lang w:val="zh-CN"/>
        </w:rPr>
        <w:t>4—5。</w:t>
      </w:r>
    </w:p>
    <w:p>
      <w:pPr>
        <w:ind w:firstLine="480"/>
      </w:pPr>
      <w:r>
        <w:rPr>
          <w:rFonts w:hint="eastAsia"/>
        </w:rPr>
        <w:t>表</w:t>
      </w:r>
      <w:r>
        <w:rPr>
          <w:lang w:val="zh-CN"/>
        </w:rPr>
        <w:t>2.</w:t>
      </w:r>
      <w:r>
        <w:rPr>
          <w:rFonts w:hint="eastAsia"/>
          <w:lang w:val="zh-CN"/>
        </w:rPr>
        <w:t>4—4</w:t>
      </w:r>
      <w:r>
        <w:rPr>
          <w:rFonts w:hint="eastAsia"/>
        </w:rPr>
        <w:t>壤环境质量标准 建设用地土壤污染风险筛选值（基本项目）</w:t>
      </w:r>
    </w:p>
    <w:tbl>
      <w:tblPr>
        <w:tblStyle w:val="88"/>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817"/>
        <w:gridCol w:w="2126"/>
        <w:gridCol w:w="1701"/>
        <w:gridCol w:w="1134"/>
        <w:gridCol w:w="2127"/>
        <w:gridCol w:w="138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9286" w:type="dxa"/>
            <w:gridSpan w:val="6"/>
            <w:tcBorders>
              <w:top w:val="single" w:color="auto" w:sz="12" w:space="0"/>
              <w:left w:val="nil"/>
              <w:bottom w:val="dotted" w:color="auto" w:sz="4" w:space="0"/>
              <w:right w:val="nil"/>
            </w:tcBorders>
            <w:vAlign w:val="center"/>
          </w:tcPr>
          <w:p>
            <w:pPr>
              <w:spacing w:line="240" w:lineRule="atLeast"/>
              <w:ind w:firstLine="0" w:firstLineChars="0"/>
              <w:jc w:val="center"/>
              <w:rPr>
                <w:sz w:val="21"/>
              </w:rPr>
            </w:pPr>
            <w:r>
              <w:rPr>
                <w:rFonts w:hint="eastAsia"/>
                <w:sz w:val="21"/>
              </w:rPr>
              <w:t>第二类用地筛选值</w:t>
            </w:r>
            <w:r>
              <w:rPr>
                <w:sz w:val="21"/>
              </w:rPr>
              <w:t>(mg/kg)</w:t>
            </w:r>
            <w:r>
              <w:rPr>
                <w:rFonts w:hint="eastAsia"/>
                <w:sz w:val="21"/>
              </w:rPr>
              <w:t>，基本项目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序号</w:t>
            </w:r>
          </w:p>
        </w:tc>
        <w:tc>
          <w:tcPr>
            <w:tcW w:w="2126"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污染物项目</w:t>
            </w:r>
          </w:p>
        </w:tc>
        <w:tc>
          <w:tcPr>
            <w:tcW w:w="170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筛选值</w:t>
            </w:r>
          </w:p>
        </w:tc>
        <w:tc>
          <w:tcPr>
            <w:tcW w:w="1134"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序号</w:t>
            </w:r>
          </w:p>
        </w:tc>
        <w:tc>
          <w:tcPr>
            <w:tcW w:w="2127"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污染物项目</w:t>
            </w:r>
          </w:p>
        </w:tc>
        <w:tc>
          <w:tcPr>
            <w:tcW w:w="1381"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筛选值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w:t>
            </w:r>
          </w:p>
        </w:tc>
        <w:tc>
          <w:tcPr>
            <w:tcW w:w="2126"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砷</w:t>
            </w:r>
          </w:p>
        </w:tc>
        <w:tc>
          <w:tcPr>
            <w:tcW w:w="170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60</w:t>
            </w:r>
          </w:p>
        </w:tc>
        <w:tc>
          <w:tcPr>
            <w:tcW w:w="1134"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24</w:t>
            </w:r>
          </w:p>
        </w:tc>
        <w:tc>
          <w:tcPr>
            <w:tcW w:w="2127"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1,2,3-三氯丙烷</w:t>
            </w:r>
          </w:p>
        </w:tc>
        <w:tc>
          <w:tcPr>
            <w:tcW w:w="1381"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镉</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65</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25</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氯乙烯</w:t>
            </w:r>
          </w:p>
        </w:tc>
        <w:tc>
          <w:tcPr>
            <w:tcW w:w="138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0.43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3</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铬（六价）</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5.7</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26</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苯</w:t>
            </w:r>
          </w:p>
        </w:tc>
        <w:tc>
          <w:tcPr>
            <w:tcW w:w="138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4</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铜</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18000</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27</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氯苯</w:t>
            </w:r>
          </w:p>
        </w:tc>
        <w:tc>
          <w:tcPr>
            <w:tcW w:w="138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270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铅</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800</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28</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1,2-二氯苯</w:t>
            </w:r>
          </w:p>
        </w:tc>
        <w:tc>
          <w:tcPr>
            <w:tcW w:w="138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560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6</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汞</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38</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29</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1,4-二氯苯</w:t>
            </w:r>
          </w:p>
        </w:tc>
        <w:tc>
          <w:tcPr>
            <w:tcW w:w="138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7</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镍</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900</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30</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乙苯</w:t>
            </w:r>
          </w:p>
        </w:tc>
        <w:tc>
          <w:tcPr>
            <w:tcW w:w="138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8</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199" w:firstLineChars="95"/>
              <w:jc w:val="center"/>
              <w:rPr>
                <w:rFonts w:ascii="宋体" w:hAnsi="宋体" w:cs="宋体"/>
                <w:color w:val="000000"/>
                <w:sz w:val="21"/>
              </w:rPr>
            </w:pPr>
            <w:r>
              <w:rPr>
                <w:rFonts w:hint="eastAsia"/>
                <w:color w:val="000000"/>
                <w:sz w:val="21"/>
              </w:rPr>
              <w:t>四氯化碳</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2.8</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31</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苯乙烯</w:t>
            </w:r>
          </w:p>
        </w:tc>
        <w:tc>
          <w:tcPr>
            <w:tcW w:w="138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1290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9</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199" w:firstLineChars="95"/>
              <w:jc w:val="center"/>
              <w:rPr>
                <w:rFonts w:ascii="宋体" w:hAnsi="宋体" w:cs="宋体"/>
                <w:color w:val="000000"/>
                <w:sz w:val="21"/>
              </w:rPr>
            </w:pPr>
            <w:r>
              <w:rPr>
                <w:rFonts w:hint="eastAsia"/>
                <w:color w:val="000000"/>
                <w:sz w:val="21"/>
              </w:rPr>
              <w:t>氯仿</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0.9</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32</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甲苯</w:t>
            </w:r>
          </w:p>
        </w:tc>
        <w:tc>
          <w:tcPr>
            <w:tcW w:w="138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1200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10</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199" w:firstLineChars="95"/>
              <w:jc w:val="center"/>
              <w:rPr>
                <w:rFonts w:ascii="宋体" w:hAnsi="宋体" w:cs="宋体"/>
                <w:color w:val="000000"/>
                <w:sz w:val="21"/>
              </w:rPr>
            </w:pPr>
            <w:r>
              <w:rPr>
                <w:rFonts w:hint="eastAsia"/>
                <w:color w:val="000000"/>
                <w:sz w:val="21"/>
              </w:rPr>
              <w:t>氯甲烷</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37</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33</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间二甲苯+对二甲苯</w:t>
            </w:r>
          </w:p>
        </w:tc>
        <w:tc>
          <w:tcPr>
            <w:tcW w:w="138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570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11</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1,1-二氯乙烷</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9</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34</w:t>
            </w:r>
          </w:p>
        </w:tc>
        <w:tc>
          <w:tcPr>
            <w:tcW w:w="2127"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邻</w:t>
            </w:r>
            <w:r>
              <w:rPr>
                <w:rFonts w:hint="eastAsia"/>
                <w:color w:val="000000"/>
                <w:sz w:val="21"/>
              </w:rPr>
              <w:t>二甲苯</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640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12</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1,2-二氯乙烷</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35</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硝基苯</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76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13</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1,1-二氯乙烯</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66</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36</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苯胺</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260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14</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顺-1,2-二氯乙烯</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596</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37</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2-氯酚</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2256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15</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反-1,2-二氯乙烯</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54</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38</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苯并[a]蒽</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15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16</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199" w:firstLineChars="95"/>
              <w:jc w:val="center"/>
              <w:rPr>
                <w:rFonts w:ascii="宋体" w:hAnsi="宋体" w:cs="宋体"/>
                <w:color w:val="000000"/>
                <w:sz w:val="21"/>
              </w:rPr>
            </w:pPr>
            <w:r>
              <w:rPr>
                <w:rFonts w:hint="eastAsia"/>
                <w:color w:val="000000"/>
                <w:sz w:val="21"/>
              </w:rPr>
              <w:t>二氯甲烷</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616</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39</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苯并[a]芘</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1.5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17</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1,2-二氯丙烯</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40</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苯并[b]荧蒽</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15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18</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1,1,1,2-四氯乙烷</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10</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41</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苯并[k]荧蒽</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151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19</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1,1,2,2-四氯乙烷</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6.8</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42</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hAnsi="宋体"/>
                <w:sz w:val="21"/>
              </w:rPr>
              <w:t>䓛</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1293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20</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199" w:firstLineChars="95"/>
              <w:jc w:val="center"/>
              <w:rPr>
                <w:rFonts w:ascii="宋体" w:hAnsi="宋体" w:cs="宋体"/>
                <w:color w:val="000000"/>
                <w:sz w:val="21"/>
              </w:rPr>
            </w:pPr>
            <w:r>
              <w:rPr>
                <w:rFonts w:hint="eastAsia"/>
                <w:color w:val="000000"/>
                <w:sz w:val="21"/>
              </w:rPr>
              <w:t>四氯乙烯</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53</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43</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二苯并[a，h]蒽</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1.5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21</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1,1,1-四氯乙烷</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840</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44</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茚并[1,2,3-cd]芘</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15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22</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color w:val="000000"/>
                <w:sz w:val="21"/>
              </w:rPr>
            </w:pPr>
            <w:r>
              <w:rPr>
                <w:rFonts w:hint="eastAsia"/>
                <w:color w:val="000000"/>
                <w:sz w:val="21"/>
              </w:rPr>
              <w:t>1,1,2-四氯乙烷</w:t>
            </w:r>
          </w:p>
        </w:tc>
        <w:tc>
          <w:tcPr>
            <w:tcW w:w="170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2.8</w:t>
            </w:r>
          </w:p>
        </w:tc>
        <w:tc>
          <w:tcPr>
            <w:tcW w:w="1134"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45</w:t>
            </w:r>
          </w:p>
        </w:tc>
        <w:tc>
          <w:tcPr>
            <w:tcW w:w="2127" w:type="dxa"/>
            <w:tcBorders>
              <w:top w:val="dotted" w:color="auto" w:sz="4" w:space="0"/>
              <w:left w:val="dotted" w:color="auto" w:sz="4" w:space="0"/>
              <w:bottom w:val="dotted" w:color="auto" w:sz="4" w:space="0"/>
              <w:right w:val="nil"/>
            </w:tcBorders>
            <w:vAlign w:val="center"/>
          </w:tcPr>
          <w:p>
            <w:pPr>
              <w:spacing w:line="240" w:lineRule="atLeast"/>
              <w:ind w:firstLine="420"/>
              <w:rPr>
                <w:rFonts w:ascii="宋体" w:hAnsi="宋体" w:cs="宋体"/>
                <w:color w:val="000000"/>
                <w:sz w:val="21"/>
              </w:rPr>
            </w:pPr>
            <w:r>
              <w:rPr>
                <w:rFonts w:hint="eastAsia"/>
                <w:color w:val="000000"/>
                <w:sz w:val="21"/>
              </w:rPr>
              <w:t>萘</w:t>
            </w:r>
          </w:p>
        </w:tc>
        <w:tc>
          <w:tcPr>
            <w:tcW w:w="1381" w:type="dxa"/>
            <w:tcBorders>
              <w:top w:val="dotted" w:color="auto" w:sz="4" w:space="0"/>
              <w:left w:val="dotted" w:color="auto" w:sz="4" w:space="0"/>
              <w:bottom w:val="dotted" w:color="auto" w:sz="4" w:space="0"/>
              <w:right w:val="nil"/>
            </w:tcBorders>
          </w:tcPr>
          <w:p>
            <w:pPr>
              <w:spacing w:line="240" w:lineRule="atLeast"/>
              <w:ind w:firstLine="0" w:firstLineChars="0"/>
              <w:jc w:val="center"/>
              <w:rPr>
                <w:sz w:val="21"/>
              </w:rPr>
            </w:pPr>
            <w:r>
              <w:rPr>
                <w:rFonts w:hint="eastAsia"/>
                <w:sz w:val="21"/>
              </w:rPr>
              <w:t>70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17"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23</w:t>
            </w:r>
          </w:p>
        </w:tc>
        <w:tc>
          <w:tcPr>
            <w:tcW w:w="2126"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199" w:firstLineChars="95"/>
              <w:jc w:val="center"/>
              <w:rPr>
                <w:rFonts w:ascii="宋体" w:hAnsi="宋体" w:cs="宋体"/>
                <w:color w:val="000000"/>
                <w:sz w:val="21"/>
              </w:rPr>
            </w:pPr>
            <w:r>
              <w:rPr>
                <w:rFonts w:hint="eastAsia"/>
                <w:color w:val="000000"/>
                <w:sz w:val="21"/>
              </w:rPr>
              <w:t>三氯乙烯</w:t>
            </w:r>
          </w:p>
        </w:tc>
        <w:tc>
          <w:tcPr>
            <w:tcW w:w="170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2.8</w:t>
            </w:r>
          </w:p>
        </w:tc>
        <w:tc>
          <w:tcPr>
            <w:tcW w:w="1134"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p>
        </w:tc>
        <w:tc>
          <w:tcPr>
            <w:tcW w:w="2127" w:type="dxa"/>
            <w:tcBorders>
              <w:top w:val="dotted" w:color="auto" w:sz="4" w:space="0"/>
              <w:left w:val="dotted" w:color="auto" w:sz="4" w:space="0"/>
              <w:bottom w:val="single" w:color="auto" w:sz="12" w:space="0"/>
              <w:right w:val="nil"/>
            </w:tcBorders>
            <w:vAlign w:val="center"/>
          </w:tcPr>
          <w:p>
            <w:pPr>
              <w:spacing w:line="240" w:lineRule="atLeast"/>
              <w:ind w:firstLine="420"/>
              <w:rPr>
                <w:rFonts w:ascii="宋体" w:hAnsi="宋体" w:cs="宋体"/>
                <w:color w:val="000000"/>
                <w:sz w:val="21"/>
              </w:rPr>
            </w:pPr>
          </w:p>
        </w:tc>
        <w:tc>
          <w:tcPr>
            <w:tcW w:w="1381" w:type="dxa"/>
            <w:tcBorders>
              <w:top w:val="dotted" w:color="auto" w:sz="4" w:space="0"/>
              <w:left w:val="dotted" w:color="auto" w:sz="4" w:space="0"/>
              <w:bottom w:val="single" w:color="auto" w:sz="12" w:space="0"/>
              <w:right w:val="nil"/>
            </w:tcBorders>
          </w:tcPr>
          <w:p>
            <w:pPr>
              <w:spacing w:line="240" w:lineRule="atLeast"/>
              <w:ind w:firstLine="0" w:firstLineChars="0"/>
              <w:jc w:val="center"/>
              <w:rPr>
                <w:sz w:val="21"/>
              </w:rPr>
            </w:pPr>
          </w:p>
        </w:tc>
      </w:tr>
    </w:tbl>
    <w:p>
      <w:pPr>
        <w:ind w:firstLine="480"/>
        <w:rPr>
          <w:rFonts w:cs="Times New Roman" w:hAnsiTheme="minorEastAsia" w:eastAsiaTheme="minorEastAsia"/>
          <w:szCs w:val="24"/>
        </w:rPr>
      </w:pPr>
    </w:p>
    <w:p>
      <w:pPr>
        <w:ind w:firstLine="480"/>
      </w:pPr>
      <w:r>
        <w:rPr>
          <w:rFonts w:hint="eastAsia"/>
        </w:rPr>
        <w:t>表</w:t>
      </w:r>
      <w:r>
        <w:rPr>
          <w:lang w:val="zh-CN"/>
        </w:rPr>
        <w:t>2.</w:t>
      </w:r>
      <w:r>
        <w:rPr>
          <w:rFonts w:hint="eastAsia"/>
          <w:lang w:val="zh-CN"/>
        </w:rPr>
        <w:t xml:space="preserve">4—5    </w:t>
      </w:r>
      <w:r>
        <w:rPr>
          <w:rFonts w:hint="eastAsia"/>
        </w:rPr>
        <w:t>壤环境质量标准 建设用地土壤污染风险筛选值（其他项目）</w:t>
      </w:r>
    </w:p>
    <w:tbl>
      <w:tblPr>
        <w:tblStyle w:val="88"/>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00"/>
        <w:gridCol w:w="1599"/>
        <w:gridCol w:w="1605"/>
        <w:gridCol w:w="1494"/>
        <w:gridCol w:w="1494"/>
        <w:gridCol w:w="149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9286" w:type="dxa"/>
            <w:gridSpan w:val="6"/>
            <w:tcBorders>
              <w:top w:val="single" w:color="auto" w:sz="12" w:space="0"/>
              <w:left w:val="nil"/>
              <w:bottom w:val="dotted" w:color="auto" w:sz="4" w:space="0"/>
              <w:right w:val="nil"/>
            </w:tcBorders>
            <w:vAlign w:val="center"/>
          </w:tcPr>
          <w:p>
            <w:pPr>
              <w:spacing w:line="240" w:lineRule="atLeast"/>
              <w:ind w:firstLine="0" w:firstLineChars="0"/>
              <w:jc w:val="center"/>
              <w:rPr>
                <w:sz w:val="21"/>
              </w:rPr>
            </w:pPr>
            <w:r>
              <w:rPr>
                <w:rFonts w:hint="eastAsia"/>
                <w:sz w:val="21"/>
              </w:rPr>
              <w:t>第二类用地筛选值</w:t>
            </w:r>
            <w:r>
              <w:rPr>
                <w:sz w:val="21"/>
              </w:rPr>
              <w:t>(mg/kg)</w:t>
            </w:r>
            <w:r>
              <w:rPr>
                <w:rFonts w:hint="eastAsia"/>
                <w:sz w:val="21"/>
              </w:rPr>
              <w:t>，其他项目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序号</w:t>
            </w:r>
          </w:p>
        </w:tc>
        <w:tc>
          <w:tcPr>
            <w:tcW w:w="1599"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污染物项目</w:t>
            </w:r>
          </w:p>
        </w:tc>
        <w:tc>
          <w:tcPr>
            <w:tcW w:w="1605"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筛选值</w:t>
            </w:r>
          </w:p>
        </w:tc>
        <w:tc>
          <w:tcPr>
            <w:tcW w:w="1494"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序号</w:t>
            </w:r>
          </w:p>
        </w:tc>
        <w:tc>
          <w:tcPr>
            <w:tcW w:w="1494"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污染物项目</w:t>
            </w:r>
          </w:p>
        </w:tc>
        <w:tc>
          <w:tcPr>
            <w:tcW w:w="1494"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筛选值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1</w:t>
            </w:r>
          </w:p>
        </w:tc>
        <w:tc>
          <w:tcPr>
            <w:tcW w:w="1599"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氰化物</w:t>
            </w:r>
          </w:p>
        </w:tc>
        <w:tc>
          <w:tcPr>
            <w:tcW w:w="1605"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135</w:t>
            </w:r>
          </w:p>
        </w:tc>
        <w:tc>
          <w:tcPr>
            <w:tcW w:w="1494"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highlight w:val="yellow"/>
              </w:rPr>
            </w:pPr>
          </w:p>
        </w:tc>
        <w:tc>
          <w:tcPr>
            <w:tcW w:w="1494" w:type="dxa"/>
            <w:tcBorders>
              <w:top w:val="single" w:color="auto" w:sz="12" w:space="0"/>
              <w:left w:val="dotted" w:color="auto" w:sz="4" w:space="0"/>
              <w:bottom w:val="single" w:color="auto" w:sz="12" w:space="0"/>
              <w:right w:val="nil"/>
            </w:tcBorders>
          </w:tcPr>
          <w:p>
            <w:pPr>
              <w:spacing w:line="240" w:lineRule="atLeast"/>
              <w:ind w:firstLine="0" w:firstLineChars="0"/>
              <w:jc w:val="center"/>
              <w:rPr>
                <w:sz w:val="21"/>
                <w:highlight w:val="yellow"/>
              </w:rPr>
            </w:pPr>
          </w:p>
        </w:tc>
        <w:tc>
          <w:tcPr>
            <w:tcW w:w="1494" w:type="dxa"/>
            <w:tcBorders>
              <w:top w:val="single" w:color="auto" w:sz="12" w:space="0"/>
              <w:left w:val="dotted" w:color="auto" w:sz="4" w:space="0"/>
              <w:bottom w:val="single" w:color="auto" w:sz="12" w:space="0"/>
              <w:right w:val="nil"/>
            </w:tcBorders>
          </w:tcPr>
          <w:p>
            <w:pPr>
              <w:spacing w:line="240" w:lineRule="atLeast"/>
              <w:ind w:firstLine="0" w:firstLineChars="0"/>
              <w:jc w:val="center"/>
              <w:rPr>
                <w:sz w:val="21"/>
                <w:highlight w:val="yellow"/>
              </w:rPr>
            </w:pPr>
          </w:p>
        </w:tc>
      </w:tr>
    </w:tbl>
    <w:p>
      <w:pPr>
        <w:ind w:firstLine="480"/>
        <w:rPr>
          <w:rFonts w:cs="Times New Roman" w:hAnsiTheme="minorEastAsia" w:eastAsiaTheme="minorEastAsia"/>
          <w:szCs w:val="24"/>
        </w:rPr>
      </w:pPr>
    </w:p>
    <w:p>
      <w:pPr>
        <w:pStyle w:val="5"/>
        <w:rPr>
          <w:kern w:val="0"/>
        </w:rPr>
      </w:pPr>
      <w:bookmarkStart w:id="108" w:name="_Toc13760091"/>
      <w:bookmarkStart w:id="109" w:name="_Toc3282114"/>
      <w:r>
        <w:rPr>
          <w:rFonts w:hint="eastAsia"/>
        </w:rPr>
        <w:t>2.4.2污染物排放标准</w:t>
      </w:r>
      <w:bookmarkEnd w:id="108"/>
      <w:bookmarkEnd w:id="109"/>
    </w:p>
    <w:p>
      <w:pPr>
        <w:ind w:firstLine="480"/>
        <w:rPr>
          <w:lang w:val="zh-CN"/>
        </w:rPr>
      </w:pPr>
      <w:r>
        <w:rPr>
          <w:lang w:val="zh-CN"/>
        </w:rPr>
        <w:fldChar w:fldCharType="begin"/>
      </w:r>
      <w:r>
        <w:rPr>
          <w:rFonts w:hint="eastAsia"/>
          <w:lang w:val="zh-CN"/>
        </w:rPr>
        <w:instrText xml:space="preserve">= 1 \* GB2</w:instrText>
      </w:r>
      <w:r>
        <w:rPr>
          <w:lang w:val="zh-CN"/>
        </w:rPr>
        <w:fldChar w:fldCharType="separate"/>
      </w:r>
      <w:r>
        <w:rPr>
          <w:rFonts w:hint="eastAsia"/>
          <w:lang w:val="zh-CN"/>
        </w:rPr>
        <w:t>⑴</w:t>
      </w:r>
      <w:r>
        <w:rPr>
          <w:lang w:val="zh-CN"/>
        </w:rPr>
        <w:fldChar w:fldCharType="end"/>
      </w:r>
      <w:r>
        <w:rPr>
          <w:rFonts w:hint="eastAsia" w:hAnsi="宋体"/>
          <w:lang w:val="zh-CN"/>
        </w:rPr>
        <w:t>废气</w:t>
      </w:r>
    </w:p>
    <w:p>
      <w:pPr>
        <w:ind w:firstLine="480"/>
        <w:rPr>
          <w:szCs w:val="24"/>
        </w:rPr>
      </w:pPr>
      <w:r>
        <w:rPr>
          <w:rFonts w:hint="eastAsia" w:ascii="宋体" w:hAnsi="宋体" w:cs="宋体"/>
          <w:szCs w:val="24"/>
        </w:rPr>
        <w:t>①</w:t>
      </w:r>
      <w:r>
        <w:rPr>
          <w:rFonts w:hint="eastAsia"/>
          <w:szCs w:val="24"/>
        </w:rPr>
        <w:t>本项目焚烧车间回转窑产生的大气污染物参照《危险废物焚烧污染控制标准》</w:t>
      </w:r>
      <w:r>
        <w:rPr>
          <w:szCs w:val="24"/>
        </w:rPr>
        <w:t>(GB18484-2001)</w:t>
      </w:r>
      <w:r>
        <w:rPr>
          <w:rFonts w:hint="eastAsia"/>
          <w:szCs w:val="24"/>
        </w:rPr>
        <w:t>执行。本项目焚烧窑的危废处置量为100</w:t>
      </w:r>
      <w:r>
        <w:rPr>
          <w:szCs w:val="24"/>
        </w:rPr>
        <w:t>t/d</w:t>
      </w:r>
      <w:r>
        <w:rPr>
          <w:rFonts w:hint="eastAsia"/>
          <w:szCs w:val="24"/>
        </w:rPr>
        <w:t>，折算小时处理量为4167</w:t>
      </w:r>
      <w:r>
        <w:rPr>
          <w:szCs w:val="24"/>
        </w:rPr>
        <w:t>kg/h</w:t>
      </w:r>
      <w:r>
        <w:rPr>
          <w:rFonts w:hint="eastAsia"/>
          <w:szCs w:val="24"/>
        </w:rPr>
        <w:t>，故焚烧炉排气筒高度参照执行</w:t>
      </w:r>
      <w:r>
        <w:rPr>
          <w:szCs w:val="24"/>
        </w:rPr>
        <w:t>GB18484-2001</w:t>
      </w:r>
      <w:r>
        <w:rPr>
          <w:rFonts w:hint="eastAsia"/>
          <w:szCs w:val="24"/>
        </w:rPr>
        <w:t>表</w:t>
      </w:r>
      <w:r>
        <w:rPr>
          <w:szCs w:val="24"/>
        </w:rPr>
        <w:t>1</w:t>
      </w:r>
      <w:r>
        <w:rPr>
          <w:rFonts w:hint="eastAsia"/>
          <w:szCs w:val="24"/>
        </w:rPr>
        <w:t>中焚烧量为</w:t>
      </w:r>
      <w:r>
        <w:rPr>
          <w:szCs w:val="24"/>
        </w:rPr>
        <w:t>2</w:t>
      </w:r>
      <w:r>
        <w:rPr>
          <w:rFonts w:hint="eastAsia"/>
          <w:szCs w:val="24"/>
        </w:rPr>
        <w:t>5</w:t>
      </w:r>
      <w:r>
        <w:rPr>
          <w:szCs w:val="24"/>
        </w:rPr>
        <w:t>00kg/h</w:t>
      </w:r>
      <w:r>
        <w:rPr>
          <w:rFonts w:hint="eastAsia"/>
          <w:szCs w:val="24"/>
        </w:rPr>
        <w:t>排气筒最低允许高度，技术性能参考执行</w:t>
      </w:r>
      <w:r>
        <w:rPr>
          <w:szCs w:val="24"/>
        </w:rPr>
        <w:t>GB18484-2001</w:t>
      </w:r>
      <w:r>
        <w:rPr>
          <w:rFonts w:hint="eastAsia"/>
          <w:szCs w:val="24"/>
        </w:rPr>
        <w:t>表</w:t>
      </w:r>
      <w:r>
        <w:rPr>
          <w:szCs w:val="24"/>
        </w:rPr>
        <w:t>2</w:t>
      </w:r>
      <w:r>
        <w:rPr>
          <w:rFonts w:hint="eastAsia"/>
          <w:szCs w:val="24"/>
        </w:rPr>
        <w:t>中危险废物技术性能指标，污染物排放执行</w:t>
      </w:r>
      <w:r>
        <w:rPr>
          <w:szCs w:val="24"/>
        </w:rPr>
        <w:t>GB18484-2001</w:t>
      </w:r>
      <w:r>
        <w:rPr>
          <w:rFonts w:hint="eastAsia"/>
          <w:szCs w:val="24"/>
        </w:rPr>
        <w:t>表</w:t>
      </w:r>
      <w:r>
        <w:rPr>
          <w:szCs w:val="24"/>
        </w:rPr>
        <w:t>3</w:t>
      </w:r>
      <w:r>
        <w:rPr>
          <w:rFonts w:hint="eastAsia"/>
          <w:szCs w:val="24"/>
        </w:rPr>
        <w:t>中焚烧量为</w:t>
      </w:r>
      <w:r>
        <w:rPr>
          <w:szCs w:val="24"/>
        </w:rPr>
        <w:t>2500kg/h</w:t>
      </w:r>
      <w:r>
        <w:rPr>
          <w:rFonts w:hint="eastAsia"/>
          <w:szCs w:val="24"/>
        </w:rPr>
        <w:t>大气污染物排放限值。</w:t>
      </w:r>
      <w:r>
        <w:rPr>
          <w:szCs w:val="24"/>
        </w:rPr>
        <w:t>GB18484-2001</w:t>
      </w:r>
      <w:r>
        <w:rPr>
          <w:rFonts w:hint="eastAsia"/>
          <w:szCs w:val="24"/>
        </w:rPr>
        <w:t>中相关排放限值及标准见表</w:t>
      </w:r>
      <w:r>
        <w:rPr>
          <w:szCs w:val="24"/>
        </w:rPr>
        <w:t>2.4</w:t>
      </w:r>
      <w:r>
        <w:rPr>
          <w:rFonts w:hint="eastAsia"/>
          <w:szCs w:val="24"/>
        </w:rPr>
        <w:t>—6，表</w:t>
      </w:r>
      <w:r>
        <w:rPr>
          <w:szCs w:val="24"/>
        </w:rPr>
        <w:t>2.4</w:t>
      </w:r>
      <w:r>
        <w:rPr>
          <w:rFonts w:hint="eastAsia"/>
          <w:szCs w:val="24"/>
        </w:rPr>
        <w:t>—7和表</w:t>
      </w:r>
      <w:r>
        <w:rPr>
          <w:szCs w:val="24"/>
        </w:rPr>
        <w:t>2.4</w:t>
      </w:r>
      <w:r>
        <w:rPr>
          <w:rFonts w:hint="eastAsia"/>
          <w:szCs w:val="24"/>
        </w:rPr>
        <w:t>—8。</w:t>
      </w:r>
    </w:p>
    <w:p>
      <w:pPr>
        <w:ind w:firstLine="480"/>
      </w:pPr>
      <w:r>
        <w:rPr>
          <w:rFonts w:hint="eastAsia"/>
        </w:rPr>
        <w:t>表</w:t>
      </w:r>
      <w:r>
        <w:t>2.4</w:t>
      </w:r>
      <w:r>
        <w:rPr>
          <w:rFonts w:hint="eastAsia"/>
          <w:szCs w:val="24"/>
        </w:rPr>
        <w:t>—</w:t>
      </w:r>
      <w:r>
        <w:rPr>
          <w:rFonts w:hint="eastAsia"/>
        </w:rPr>
        <w:t>6          焚烧炉排气筒高度规定限制表</w:t>
      </w:r>
    </w:p>
    <w:tbl>
      <w:tblPr>
        <w:tblStyle w:val="88"/>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05"/>
        <w:gridCol w:w="5395"/>
        <w:gridCol w:w="238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05"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焚烧量</w:t>
            </w:r>
            <w:r>
              <w:rPr>
                <w:sz w:val="21"/>
              </w:rPr>
              <w:t>(kg/h)</w:t>
            </w:r>
          </w:p>
        </w:tc>
        <w:tc>
          <w:tcPr>
            <w:tcW w:w="5395"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废物类型</w:t>
            </w:r>
          </w:p>
        </w:tc>
        <w:tc>
          <w:tcPr>
            <w:tcW w:w="2386"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rFonts w:cs="Times New Roman"/>
                <w:sz w:val="21"/>
              </w:rPr>
            </w:pPr>
            <w:r>
              <w:rPr>
                <w:rFonts w:hint="eastAsia"/>
                <w:sz w:val="21"/>
              </w:rPr>
              <w:t>排气筒最低允许高度</w:t>
            </w:r>
          </w:p>
          <w:p>
            <w:pPr>
              <w:spacing w:line="240" w:lineRule="atLeast"/>
              <w:ind w:firstLine="0" w:firstLineChars="0"/>
              <w:jc w:val="center"/>
              <w:rPr>
                <w:sz w:val="21"/>
              </w:rPr>
            </w:pPr>
            <w:r>
              <w:rPr>
                <w:sz w:val="21"/>
              </w:rPr>
              <w:t>(m)</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05" w:type="dxa"/>
            <w:vMerge w:val="restart"/>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w:t>
            </w:r>
            <w:r>
              <w:rPr>
                <w:sz w:val="21"/>
              </w:rPr>
              <w:t>300</w:t>
            </w:r>
          </w:p>
        </w:tc>
        <w:tc>
          <w:tcPr>
            <w:tcW w:w="5395"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医院临床废物</w:t>
            </w:r>
          </w:p>
        </w:tc>
        <w:tc>
          <w:tcPr>
            <w:tcW w:w="2386"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05"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sz w:val="21"/>
              </w:rPr>
            </w:pPr>
          </w:p>
        </w:tc>
        <w:tc>
          <w:tcPr>
            <w:tcW w:w="539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除医院临床废物意外的第</w:t>
            </w:r>
            <w:r>
              <w:rPr>
                <w:sz w:val="21"/>
              </w:rPr>
              <w:t>4.2</w:t>
            </w:r>
            <w:r>
              <w:rPr>
                <w:rFonts w:hint="eastAsia"/>
                <w:sz w:val="21"/>
              </w:rPr>
              <w:t>条规定的危险废物</w:t>
            </w:r>
          </w:p>
        </w:tc>
        <w:tc>
          <w:tcPr>
            <w:tcW w:w="2386"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05"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300-2000</w:t>
            </w:r>
          </w:p>
        </w:tc>
        <w:tc>
          <w:tcPr>
            <w:tcW w:w="539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第</w:t>
            </w:r>
            <w:r>
              <w:rPr>
                <w:sz w:val="21"/>
              </w:rPr>
              <w:t>4.2</w:t>
            </w:r>
            <w:r>
              <w:rPr>
                <w:rFonts w:hint="eastAsia"/>
                <w:sz w:val="21"/>
              </w:rPr>
              <w:t>条规定的危险废物</w:t>
            </w:r>
          </w:p>
        </w:tc>
        <w:tc>
          <w:tcPr>
            <w:tcW w:w="2386"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35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05"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2000-2500</w:t>
            </w:r>
          </w:p>
        </w:tc>
        <w:tc>
          <w:tcPr>
            <w:tcW w:w="539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第</w:t>
            </w:r>
            <w:r>
              <w:rPr>
                <w:sz w:val="21"/>
              </w:rPr>
              <w:t>4.2</w:t>
            </w:r>
            <w:r>
              <w:rPr>
                <w:rFonts w:hint="eastAsia"/>
                <w:sz w:val="21"/>
              </w:rPr>
              <w:t>条规定的危险废物</w:t>
            </w:r>
          </w:p>
        </w:tc>
        <w:tc>
          <w:tcPr>
            <w:tcW w:w="2386"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45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05"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b/>
                <w:sz w:val="21"/>
              </w:rPr>
            </w:pPr>
            <w:r>
              <w:rPr>
                <w:rFonts w:hint="eastAsia"/>
                <w:b/>
                <w:sz w:val="21"/>
              </w:rPr>
              <w:t>≥</w:t>
            </w:r>
            <w:r>
              <w:rPr>
                <w:b/>
                <w:sz w:val="21"/>
              </w:rPr>
              <w:t>2500</w:t>
            </w:r>
          </w:p>
        </w:tc>
        <w:tc>
          <w:tcPr>
            <w:tcW w:w="5395"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b/>
                <w:sz w:val="21"/>
              </w:rPr>
            </w:pPr>
            <w:r>
              <w:rPr>
                <w:rFonts w:hint="eastAsia"/>
                <w:b/>
                <w:sz w:val="21"/>
              </w:rPr>
              <w:t>第</w:t>
            </w:r>
            <w:r>
              <w:rPr>
                <w:b/>
                <w:sz w:val="21"/>
              </w:rPr>
              <w:t>4.2</w:t>
            </w:r>
            <w:r>
              <w:rPr>
                <w:rFonts w:hint="eastAsia"/>
                <w:b/>
                <w:sz w:val="21"/>
              </w:rPr>
              <w:t>条规定的危险废物</w:t>
            </w:r>
          </w:p>
        </w:tc>
        <w:tc>
          <w:tcPr>
            <w:tcW w:w="2386"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b/>
                <w:sz w:val="21"/>
              </w:rPr>
            </w:pPr>
            <w:r>
              <w:rPr>
                <w:b/>
                <w:sz w:val="21"/>
              </w:rPr>
              <w:t>50</w:t>
            </w:r>
          </w:p>
        </w:tc>
      </w:tr>
    </w:tbl>
    <w:p>
      <w:pPr>
        <w:ind w:firstLine="480"/>
      </w:pPr>
    </w:p>
    <w:p>
      <w:pPr>
        <w:ind w:firstLine="480"/>
        <w:rPr>
          <w:rFonts w:cs="Times New Roman"/>
        </w:rPr>
      </w:pPr>
      <w:r>
        <w:rPr>
          <w:rFonts w:hint="eastAsia"/>
        </w:rPr>
        <w:t>表</w:t>
      </w:r>
      <w:r>
        <w:t>2.4</w:t>
      </w:r>
      <w:r>
        <w:rPr>
          <w:rFonts w:hint="eastAsia"/>
        </w:rPr>
        <w:t>—7            焚烧炉的技术性能指标表</w:t>
      </w:r>
    </w:p>
    <w:tbl>
      <w:tblPr>
        <w:tblStyle w:val="88"/>
        <w:tblW w:w="917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36"/>
        <w:gridCol w:w="1129"/>
        <w:gridCol w:w="1431"/>
        <w:gridCol w:w="945"/>
        <w:gridCol w:w="1307"/>
        <w:gridCol w:w="203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336"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rFonts w:cs="Times New Roman"/>
                <w:sz w:val="21"/>
              </w:rPr>
            </w:pPr>
            <w:r>
              <w:rPr>
                <w:rFonts w:hint="eastAsia"/>
                <w:sz w:val="21"/>
              </w:rPr>
              <w:t>指标</w:t>
            </w:r>
          </w:p>
          <w:p>
            <w:pPr>
              <w:spacing w:line="240" w:lineRule="atLeast"/>
              <w:ind w:firstLine="0" w:firstLineChars="0"/>
              <w:rPr>
                <w:sz w:val="21"/>
              </w:rPr>
            </w:pPr>
            <w:r>
              <w:rPr>
                <w:rFonts w:hint="eastAsia"/>
                <w:sz w:val="21"/>
              </w:rPr>
              <w:t>废物类型</w:t>
            </w:r>
          </w:p>
        </w:tc>
        <w:tc>
          <w:tcPr>
            <w:tcW w:w="1129" w:type="dxa"/>
            <w:tcBorders>
              <w:top w:val="single" w:color="auto" w:sz="12" w:space="0"/>
              <w:left w:val="dotted" w:color="auto" w:sz="4" w:space="0"/>
              <w:bottom w:val="single" w:color="auto" w:sz="12" w:space="0"/>
              <w:right w:val="dotted" w:color="auto" w:sz="4" w:space="0"/>
            </w:tcBorders>
            <w:tcMar>
              <w:top w:w="0" w:type="dxa"/>
              <w:left w:w="0" w:type="dxa"/>
              <w:bottom w:w="0" w:type="dxa"/>
              <w:right w:w="0" w:type="dxa"/>
            </w:tcMar>
            <w:vAlign w:val="center"/>
          </w:tcPr>
          <w:p>
            <w:pPr>
              <w:spacing w:line="240" w:lineRule="atLeast"/>
              <w:ind w:firstLine="0" w:firstLineChars="0"/>
              <w:jc w:val="center"/>
              <w:rPr>
                <w:rFonts w:cs="Times New Roman"/>
                <w:sz w:val="21"/>
              </w:rPr>
            </w:pPr>
            <w:r>
              <w:rPr>
                <w:rFonts w:hint="eastAsia"/>
                <w:sz w:val="21"/>
              </w:rPr>
              <w:t>焚烧炉</w:t>
            </w:r>
          </w:p>
          <w:p>
            <w:pPr>
              <w:spacing w:line="240" w:lineRule="atLeast"/>
              <w:ind w:firstLine="0" w:firstLineChars="0"/>
              <w:jc w:val="center"/>
              <w:rPr>
                <w:sz w:val="21"/>
              </w:rPr>
            </w:pPr>
            <w:r>
              <w:rPr>
                <w:rFonts w:hint="eastAsia"/>
                <w:sz w:val="21"/>
              </w:rPr>
              <w:t>温度</w:t>
            </w:r>
          </w:p>
          <w:p>
            <w:pPr>
              <w:spacing w:line="240" w:lineRule="atLeast"/>
              <w:ind w:firstLine="0" w:firstLineChars="0"/>
              <w:jc w:val="center"/>
              <w:rPr>
                <w:sz w:val="21"/>
              </w:rPr>
            </w:pPr>
            <w:r>
              <w:rPr>
                <w:sz w:val="21"/>
              </w:rPr>
              <w:t>(</w:t>
            </w:r>
            <w:r>
              <w:rPr>
                <w:rFonts w:hint="eastAsia"/>
                <w:sz w:val="21"/>
              </w:rPr>
              <w:t>℃</w:t>
            </w:r>
            <w:r>
              <w:rPr>
                <w:sz w:val="21"/>
              </w:rPr>
              <w:t>)</w:t>
            </w:r>
          </w:p>
        </w:tc>
        <w:tc>
          <w:tcPr>
            <w:tcW w:w="1431" w:type="dxa"/>
            <w:tcBorders>
              <w:top w:val="single" w:color="auto" w:sz="12" w:space="0"/>
              <w:left w:val="dotted" w:color="auto" w:sz="4" w:space="0"/>
              <w:bottom w:val="single" w:color="auto" w:sz="12" w:space="0"/>
              <w:right w:val="dotted" w:color="auto" w:sz="4" w:space="0"/>
            </w:tcBorders>
            <w:tcMar>
              <w:top w:w="0" w:type="dxa"/>
              <w:left w:w="0" w:type="dxa"/>
              <w:bottom w:w="0" w:type="dxa"/>
              <w:right w:w="0" w:type="dxa"/>
            </w:tcMar>
            <w:vAlign w:val="center"/>
          </w:tcPr>
          <w:p>
            <w:pPr>
              <w:spacing w:line="240" w:lineRule="atLeast"/>
              <w:ind w:firstLine="0" w:firstLineChars="0"/>
              <w:jc w:val="center"/>
              <w:rPr>
                <w:rFonts w:cs="Times New Roman"/>
                <w:sz w:val="21"/>
              </w:rPr>
            </w:pPr>
            <w:r>
              <w:rPr>
                <w:rFonts w:hint="eastAsia"/>
                <w:sz w:val="21"/>
              </w:rPr>
              <w:t>烟气停留时间</w:t>
            </w:r>
          </w:p>
          <w:p>
            <w:pPr>
              <w:spacing w:line="240" w:lineRule="atLeast"/>
              <w:ind w:firstLine="0" w:firstLineChars="0"/>
              <w:jc w:val="center"/>
              <w:rPr>
                <w:sz w:val="21"/>
              </w:rPr>
            </w:pPr>
            <w:r>
              <w:rPr>
                <w:sz w:val="21"/>
              </w:rPr>
              <w:t>(s)</w:t>
            </w:r>
          </w:p>
        </w:tc>
        <w:tc>
          <w:tcPr>
            <w:tcW w:w="945" w:type="dxa"/>
            <w:tcBorders>
              <w:top w:val="single" w:color="auto" w:sz="12" w:space="0"/>
              <w:left w:val="dotted" w:color="auto" w:sz="4" w:space="0"/>
              <w:bottom w:val="single" w:color="auto" w:sz="12" w:space="0"/>
              <w:right w:val="dotted" w:color="auto" w:sz="4" w:space="0"/>
            </w:tcBorders>
            <w:tcMar>
              <w:top w:w="0" w:type="dxa"/>
              <w:left w:w="0" w:type="dxa"/>
              <w:bottom w:w="0" w:type="dxa"/>
              <w:right w:w="0" w:type="dxa"/>
            </w:tcMar>
            <w:vAlign w:val="center"/>
          </w:tcPr>
          <w:p>
            <w:pPr>
              <w:spacing w:line="240" w:lineRule="atLeast"/>
              <w:ind w:firstLine="0" w:firstLineChars="0"/>
              <w:jc w:val="center"/>
              <w:rPr>
                <w:rFonts w:cs="Times New Roman"/>
                <w:sz w:val="21"/>
              </w:rPr>
            </w:pPr>
            <w:r>
              <w:rPr>
                <w:rFonts w:hint="eastAsia"/>
                <w:sz w:val="21"/>
              </w:rPr>
              <w:t>燃烧效率</w:t>
            </w:r>
          </w:p>
          <w:p>
            <w:pPr>
              <w:spacing w:line="240" w:lineRule="atLeast"/>
              <w:ind w:firstLine="0" w:firstLineChars="0"/>
              <w:jc w:val="center"/>
              <w:rPr>
                <w:sz w:val="21"/>
              </w:rPr>
            </w:pPr>
            <w:r>
              <w:rPr>
                <w:sz w:val="21"/>
              </w:rPr>
              <w:t>(%)</w:t>
            </w:r>
          </w:p>
        </w:tc>
        <w:tc>
          <w:tcPr>
            <w:tcW w:w="1307" w:type="dxa"/>
            <w:tcBorders>
              <w:top w:val="single" w:color="auto" w:sz="12" w:space="0"/>
              <w:left w:val="dotted" w:color="auto" w:sz="4" w:space="0"/>
              <w:bottom w:val="single" w:color="auto" w:sz="12" w:space="0"/>
              <w:right w:val="dotted" w:color="auto" w:sz="4" w:space="0"/>
            </w:tcBorders>
            <w:tcMar>
              <w:top w:w="0" w:type="dxa"/>
              <w:left w:w="0" w:type="dxa"/>
              <w:bottom w:w="0" w:type="dxa"/>
              <w:right w:w="0" w:type="dxa"/>
            </w:tcMar>
            <w:vAlign w:val="center"/>
          </w:tcPr>
          <w:p>
            <w:pPr>
              <w:spacing w:line="240" w:lineRule="atLeast"/>
              <w:ind w:firstLine="0" w:firstLineChars="0"/>
              <w:jc w:val="center"/>
              <w:rPr>
                <w:rFonts w:cs="Times New Roman"/>
                <w:sz w:val="21"/>
              </w:rPr>
            </w:pPr>
            <w:r>
              <w:rPr>
                <w:rFonts w:hint="eastAsia"/>
                <w:sz w:val="21"/>
              </w:rPr>
              <w:t>焚毁去除率</w:t>
            </w:r>
          </w:p>
          <w:p>
            <w:pPr>
              <w:spacing w:line="240" w:lineRule="atLeast"/>
              <w:ind w:firstLine="0" w:firstLineChars="0"/>
              <w:jc w:val="center"/>
              <w:rPr>
                <w:sz w:val="21"/>
              </w:rPr>
            </w:pPr>
            <w:r>
              <w:rPr>
                <w:sz w:val="21"/>
              </w:rPr>
              <w:t>(%)</w:t>
            </w:r>
          </w:p>
        </w:tc>
        <w:tc>
          <w:tcPr>
            <w:tcW w:w="2030" w:type="dxa"/>
            <w:tcBorders>
              <w:top w:val="single" w:color="auto" w:sz="12" w:space="0"/>
              <w:left w:val="dotted" w:color="auto" w:sz="4" w:space="0"/>
              <w:bottom w:val="single" w:color="auto" w:sz="12" w:space="0"/>
              <w:right w:val="nil"/>
            </w:tcBorders>
            <w:tcMar>
              <w:top w:w="0" w:type="dxa"/>
              <w:left w:w="0" w:type="dxa"/>
              <w:bottom w:w="0" w:type="dxa"/>
              <w:right w:w="0" w:type="dxa"/>
            </w:tcMar>
            <w:vAlign w:val="center"/>
          </w:tcPr>
          <w:p>
            <w:pPr>
              <w:spacing w:line="240" w:lineRule="atLeast"/>
              <w:ind w:firstLine="0" w:firstLineChars="0"/>
              <w:jc w:val="center"/>
              <w:rPr>
                <w:rFonts w:cs="Times New Roman"/>
                <w:sz w:val="21"/>
              </w:rPr>
            </w:pPr>
            <w:r>
              <w:rPr>
                <w:rFonts w:hint="eastAsia"/>
                <w:sz w:val="21"/>
              </w:rPr>
              <w:t>焚烧残渣的热灼减率</w:t>
            </w:r>
          </w:p>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336"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b/>
                <w:sz w:val="21"/>
              </w:rPr>
            </w:pPr>
            <w:r>
              <w:rPr>
                <w:rFonts w:hint="eastAsia"/>
                <w:b/>
                <w:sz w:val="21"/>
              </w:rPr>
              <w:t>危险废物</w:t>
            </w:r>
          </w:p>
        </w:tc>
        <w:tc>
          <w:tcPr>
            <w:tcW w:w="1129"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b/>
                <w:sz w:val="21"/>
              </w:rPr>
              <w:t>≥</w:t>
            </w:r>
            <w:r>
              <w:rPr>
                <w:b/>
                <w:sz w:val="21"/>
              </w:rPr>
              <w:t>1100</w:t>
            </w:r>
          </w:p>
        </w:tc>
        <w:tc>
          <w:tcPr>
            <w:tcW w:w="1431"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b/>
                <w:sz w:val="21"/>
              </w:rPr>
              <w:t>≥</w:t>
            </w:r>
            <w:r>
              <w:rPr>
                <w:b/>
                <w:sz w:val="21"/>
              </w:rPr>
              <w:t>2.0</w:t>
            </w:r>
          </w:p>
        </w:tc>
        <w:tc>
          <w:tcPr>
            <w:tcW w:w="945"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b/>
                <w:sz w:val="21"/>
              </w:rPr>
              <w:t>≥</w:t>
            </w:r>
            <w:r>
              <w:rPr>
                <w:b/>
                <w:sz w:val="21"/>
              </w:rPr>
              <w:t>99.9</w:t>
            </w:r>
          </w:p>
        </w:tc>
        <w:tc>
          <w:tcPr>
            <w:tcW w:w="1307"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b/>
                <w:sz w:val="21"/>
              </w:rPr>
              <w:t>≥</w:t>
            </w:r>
            <w:r>
              <w:rPr>
                <w:b/>
                <w:sz w:val="21"/>
              </w:rPr>
              <w:t>99.99</w:t>
            </w:r>
          </w:p>
        </w:tc>
        <w:tc>
          <w:tcPr>
            <w:tcW w:w="2030" w:type="dxa"/>
            <w:tcBorders>
              <w:top w:val="dotted" w:color="auto" w:sz="4" w:space="0"/>
              <w:left w:val="dotted" w:color="auto" w:sz="4" w:space="0"/>
              <w:bottom w:val="dotted" w:color="auto" w:sz="4" w:space="0"/>
              <w:right w:val="nil"/>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b/>
                <w:sz w:val="21"/>
              </w:rPr>
              <w:t>＜</w:t>
            </w:r>
            <w:r>
              <w:rPr>
                <w:b/>
                <w:sz w:val="21"/>
              </w:rPr>
              <w:t>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336"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多氯联苯</w:t>
            </w:r>
          </w:p>
        </w:tc>
        <w:tc>
          <w:tcPr>
            <w:tcW w:w="1129"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sz w:val="21"/>
              </w:rPr>
              <w:t>≥</w:t>
            </w:r>
            <w:r>
              <w:rPr>
                <w:sz w:val="21"/>
              </w:rPr>
              <w:t>1200</w:t>
            </w:r>
          </w:p>
        </w:tc>
        <w:tc>
          <w:tcPr>
            <w:tcW w:w="1431"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sz w:val="21"/>
              </w:rPr>
              <w:t>≥</w:t>
            </w:r>
            <w:r>
              <w:rPr>
                <w:sz w:val="21"/>
              </w:rPr>
              <w:t>2.0</w:t>
            </w:r>
          </w:p>
        </w:tc>
        <w:tc>
          <w:tcPr>
            <w:tcW w:w="945"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sz w:val="21"/>
              </w:rPr>
              <w:t>≥</w:t>
            </w:r>
            <w:r>
              <w:rPr>
                <w:sz w:val="21"/>
              </w:rPr>
              <w:t>99.9</w:t>
            </w:r>
          </w:p>
        </w:tc>
        <w:tc>
          <w:tcPr>
            <w:tcW w:w="1307"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sz w:val="21"/>
              </w:rPr>
              <w:t>≥</w:t>
            </w:r>
            <w:r>
              <w:rPr>
                <w:sz w:val="21"/>
              </w:rPr>
              <w:t>99.9999</w:t>
            </w:r>
          </w:p>
        </w:tc>
        <w:tc>
          <w:tcPr>
            <w:tcW w:w="2030" w:type="dxa"/>
            <w:tcBorders>
              <w:top w:val="dotted" w:color="auto" w:sz="4" w:space="0"/>
              <w:left w:val="dotted" w:color="auto" w:sz="4" w:space="0"/>
              <w:bottom w:val="dotted" w:color="auto" w:sz="4" w:space="0"/>
              <w:right w:val="nil"/>
            </w:tcBorders>
            <w:tcMar>
              <w:top w:w="0" w:type="dxa"/>
              <w:left w:w="0" w:type="dxa"/>
              <w:bottom w:w="0" w:type="dxa"/>
              <w:right w:w="0" w:type="dxa"/>
            </w:tcMar>
            <w:vAlign w:val="center"/>
          </w:tcPr>
          <w:p>
            <w:pPr>
              <w:spacing w:line="240" w:lineRule="atLeast"/>
              <w:ind w:firstLine="0" w:firstLineChars="0"/>
              <w:jc w:val="center"/>
              <w:rPr>
                <w:b/>
                <w:sz w:val="21"/>
              </w:rPr>
            </w:pPr>
            <w:r>
              <w:rPr>
                <w:rFonts w:hint="eastAsia"/>
                <w:sz w:val="21"/>
              </w:rPr>
              <w:t>＜</w:t>
            </w:r>
            <w:r>
              <w:rPr>
                <w:sz w:val="21"/>
              </w:rPr>
              <w:t>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336"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医院临床废物</w:t>
            </w:r>
          </w:p>
        </w:tc>
        <w:tc>
          <w:tcPr>
            <w:tcW w:w="1129" w:type="dxa"/>
            <w:tcBorders>
              <w:top w:val="dotted" w:color="auto" w:sz="4" w:space="0"/>
              <w:left w:val="dotted" w:color="auto" w:sz="4" w:space="0"/>
              <w:bottom w:val="single" w:color="auto" w:sz="12" w:space="0"/>
              <w:right w:val="dotted" w:color="auto" w:sz="4" w:space="0"/>
            </w:tcBorders>
            <w:tcMar>
              <w:top w:w="0" w:type="dxa"/>
              <w:left w:w="0" w:type="dxa"/>
              <w:bottom w:w="0" w:type="dxa"/>
              <w:right w:w="0" w:type="dxa"/>
            </w:tcMar>
            <w:vAlign w:val="center"/>
          </w:tcPr>
          <w:p>
            <w:pPr>
              <w:spacing w:line="240" w:lineRule="atLeast"/>
              <w:ind w:firstLine="0" w:firstLineChars="0"/>
              <w:jc w:val="center"/>
              <w:rPr>
                <w:sz w:val="21"/>
              </w:rPr>
            </w:pPr>
            <w:r>
              <w:rPr>
                <w:rFonts w:hint="eastAsia"/>
                <w:sz w:val="21"/>
              </w:rPr>
              <w:t>≥</w:t>
            </w:r>
            <w:r>
              <w:rPr>
                <w:sz w:val="21"/>
              </w:rPr>
              <w:t>850</w:t>
            </w:r>
          </w:p>
        </w:tc>
        <w:tc>
          <w:tcPr>
            <w:tcW w:w="1431" w:type="dxa"/>
            <w:tcBorders>
              <w:top w:val="dotted" w:color="auto" w:sz="4" w:space="0"/>
              <w:left w:val="dotted" w:color="auto" w:sz="4" w:space="0"/>
              <w:bottom w:val="single" w:color="auto" w:sz="12" w:space="0"/>
              <w:right w:val="dotted" w:color="auto" w:sz="4" w:space="0"/>
            </w:tcBorders>
            <w:tcMar>
              <w:top w:w="0" w:type="dxa"/>
              <w:left w:w="0" w:type="dxa"/>
              <w:bottom w:w="0" w:type="dxa"/>
              <w:right w:w="0" w:type="dxa"/>
            </w:tcMar>
            <w:vAlign w:val="center"/>
          </w:tcPr>
          <w:p>
            <w:pPr>
              <w:spacing w:line="240" w:lineRule="atLeast"/>
              <w:ind w:firstLine="0" w:firstLineChars="0"/>
              <w:jc w:val="center"/>
              <w:rPr>
                <w:sz w:val="21"/>
              </w:rPr>
            </w:pPr>
            <w:r>
              <w:rPr>
                <w:rFonts w:hint="eastAsia"/>
                <w:sz w:val="21"/>
              </w:rPr>
              <w:t>≥</w:t>
            </w:r>
            <w:r>
              <w:rPr>
                <w:sz w:val="21"/>
              </w:rPr>
              <w:t>1.0</w:t>
            </w:r>
          </w:p>
        </w:tc>
        <w:tc>
          <w:tcPr>
            <w:tcW w:w="945" w:type="dxa"/>
            <w:tcBorders>
              <w:top w:val="dotted" w:color="auto" w:sz="4" w:space="0"/>
              <w:left w:val="dotted" w:color="auto" w:sz="4" w:space="0"/>
              <w:bottom w:val="single" w:color="auto" w:sz="12" w:space="0"/>
              <w:right w:val="dotted" w:color="auto" w:sz="4" w:space="0"/>
            </w:tcBorders>
            <w:tcMar>
              <w:top w:w="0" w:type="dxa"/>
              <w:left w:w="0" w:type="dxa"/>
              <w:bottom w:w="0" w:type="dxa"/>
              <w:right w:w="0" w:type="dxa"/>
            </w:tcMar>
            <w:vAlign w:val="center"/>
          </w:tcPr>
          <w:p>
            <w:pPr>
              <w:spacing w:line="240" w:lineRule="atLeast"/>
              <w:ind w:firstLine="0" w:firstLineChars="0"/>
              <w:jc w:val="center"/>
              <w:rPr>
                <w:sz w:val="21"/>
              </w:rPr>
            </w:pPr>
            <w:r>
              <w:rPr>
                <w:rFonts w:hint="eastAsia"/>
                <w:sz w:val="21"/>
              </w:rPr>
              <w:t>≥</w:t>
            </w:r>
            <w:r>
              <w:rPr>
                <w:sz w:val="21"/>
              </w:rPr>
              <w:t>99.9</w:t>
            </w:r>
          </w:p>
        </w:tc>
        <w:tc>
          <w:tcPr>
            <w:tcW w:w="1307" w:type="dxa"/>
            <w:tcBorders>
              <w:top w:val="dotted" w:color="auto" w:sz="4" w:space="0"/>
              <w:left w:val="dotted" w:color="auto" w:sz="4" w:space="0"/>
              <w:bottom w:val="single" w:color="auto" w:sz="12" w:space="0"/>
              <w:right w:val="dotted" w:color="auto" w:sz="4" w:space="0"/>
            </w:tcBorders>
            <w:tcMar>
              <w:top w:w="0" w:type="dxa"/>
              <w:left w:w="0" w:type="dxa"/>
              <w:bottom w:w="0" w:type="dxa"/>
              <w:right w:w="0" w:type="dxa"/>
            </w:tcMar>
            <w:vAlign w:val="center"/>
          </w:tcPr>
          <w:p>
            <w:pPr>
              <w:spacing w:line="240" w:lineRule="atLeast"/>
              <w:ind w:firstLine="0" w:firstLineChars="0"/>
              <w:jc w:val="center"/>
              <w:rPr>
                <w:sz w:val="21"/>
              </w:rPr>
            </w:pPr>
            <w:r>
              <w:rPr>
                <w:rFonts w:hint="eastAsia"/>
                <w:sz w:val="21"/>
              </w:rPr>
              <w:t>≥</w:t>
            </w:r>
            <w:r>
              <w:rPr>
                <w:sz w:val="21"/>
              </w:rPr>
              <w:t>99.99</w:t>
            </w:r>
          </w:p>
        </w:tc>
        <w:tc>
          <w:tcPr>
            <w:tcW w:w="2030" w:type="dxa"/>
            <w:tcBorders>
              <w:top w:val="dotted" w:color="auto" w:sz="4" w:space="0"/>
              <w:left w:val="dotted" w:color="auto" w:sz="4" w:space="0"/>
              <w:bottom w:val="single" w:color="auto" w:sz="12" w:space="0"/>
              <w:right w:val="nil"/>
            </w:tcBorders>
            <w:tcMar>
              <w:top w:w="0" w:type="dxa"/>
              <w:left w:w="0" w:type="dxa"/>
              <w:bottom w:w="0" w:type="dxa"/>
              <w:right w:w="0" w:type="dxa"/>
            </w:tcMar>
            <w:vAlign w:val="center"/>
          </w:tcPr>
          <w:p>
            <w:pPr>
              <w:spacing w:line="240" w:lineRule="atLeast"/>
              <w:ind w:firstLine="0" w:firstLineChars="0"/>
              <w:jc w:val="center"/>
              <w:rPr>
                <w:sz w:val="21"/>
              </w:rPr>
            </w:pPr>
            <w:r>
              <w:rPr>
                <w:rFonts w:hint="eastAsia"/>
                <w:sz w:val="21"/>
              </w:rPr>
              <w:t>＜</w:t>
            </w:r>
            <w:r>
              <w:rPr>
                <w:sz w:val="21"/>
              </w:rPr>
              <w:t>5</w:t>
            </w:r>
          </w:p>
        </w:tc>
      </w:tr>
    </w:tbl>
    <w:p>
      <w:pPr>
        <w:ind w:firstLine="480"/>
        <w:rPr>
          <w:rFonts w:cs="Times New Roman"/>
        </w:rPr>
      </w:pPr>
      <w:r>
        <w:rPr>
          <w:rFonts w:hint="eastAsia"/>
        </w:rPr>
        <w:t>表</w:t>
      </w:r>
      <w:r>
        <w:t>2.4</w:t>
      </w:r>
      <w:r>
        <w:rPr>
          <w:rFonts w:hint="eastAsia"/>
        </w:rPr>
        <w:t>—8             危险废物焚烧炉大气污染物排放限值</w:t>
      </w:r>
    </w:p>
    <w:tbl>
      <w:tblPr>
        <w:tblStyle w:val="88"/>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84"/>
        <w:gridCol w:w="3465"/>
        <w:gridCol w:w="1729"/>
        <w:gridCol w:w="1636"/>
        <w:gridCol w:w="1672"/>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vMerge w:val="restart"/>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序号</w:t>
            </w:r>
          </w:p>
        </w:tc>
        <w:tc>
          <w:tcPr>
            <w:tcW w:w="3465" w:type="dxa"/>
            <w:vMerge w:val="restart"/>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污染物</w:t>
            </w:r>
          </w:p>
        </w:tc>
        <w:tc>
          <w:tcPr>
            <w:tcW w:w="5037" w:type="dxa"/>
            <w:gridSpan w:val="3"/>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rFonts w:cs="Times New Roman"/>
                <w:sz w:val="21"/>
              </w:rPr>
            </w:pPr>
            <w:r>
              <w:rPr>
                <w:rFonts w:hint="eastAsia"/>
                <w:sz w:val="21"/>
              </w:rPr>
              <w:t>不同焚烧容量时的最高允许排放浓度限值</w:t>
            </w:r>
          </w:p>
          <w:p>
            <w:pPr>
              <w:spacing w:line="240" w:lineRule="atLeast"/>
              <w:ind w:firstLine="0" w:firstLineChars="0"/>
              <w:jc w:val="center"/>
              <w:rPr>
                <w:sz w:val="21"/>
              </w:rPr>
            </w:pPr>
            <w:r>
              <w:rPr>
                <w:sz w:val="21"/>
              </w:rPr>
              <w:t>(mg/m</w:t>
            </w:r>
            <w:r>
              <w:rPr>
                <w:sz w:val="21"/>
                <w:vertAlign w:val="superscript"/>
              </w:rPr>
              <w:t>3</w:t>
            </w: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vMerge w:val="continue"/>
            <w:tcBorders>
              <w:top w:val="single" w:color="auto" w:sz="12" w:space="0"/>
              <w:left w:val="nil"/>
              <w:bottom w:val="single" w:color="auto" w:sz="12" w:space="0"/>
              <w:right w:val="dotted" w:color="auto" w:sz="4" w:space="0"/>
            </w:tcBorders>
            <w:vAlign w:val="center"/>
          </w:tcPr>
          <w:p>
            <w:pPr>
              <w:widowControl/>
              <w:spacing w:line="240" w:lineRule="atLeast"/>
              <w:ind w:firstLine="0" w:firstLineChars="0"/>
              <w:jc w:val="left"/>
              <w:rPr>
                <w:sz w:val="21"/>
              </w:rPr>
            </w:pPr>
          </w:p>
        </w:tc>
        <w:tc>
          <w:tcPr>
            <w:tcW w:w="3465"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sz w:val="21"/>
              </w:rPr>
            </w:pPr>
          </w:p>
        </w:tc>
        <w:tc>
          <w:tcPr>
            <w:tcW w:w="1729"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w:t>
            </w:r>
            <w:r>
              <w:rPr>
                <w:sz w:val="21"/>
              </w:rPr>
              <w:t>300(kg/h)</w:t>
            </w:r>
          </w:p>
        </w:tc>
        <w:tc>
          <w:tcPr>
            <w:tcW w:w="1636"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300-2500(kg/h)</w:t>
            </w:r>
          </w:p>
        </w:tc>
        <w:tc>
          <w:tcPr>
            <w:tcW w:w="1672"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w:t>
            </w:r>
            <w:r>
              <w:rPr>
                <w:sz w:val="21"/>
              </w:rPr>
              <w:t>2500(kg/h)</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3465"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烟气黑度</w:t>
            </w:r>
          </w:p>
        </w:tc>
        <w:tc>
          <w:tcPr>
            <w:tcW w:w="5037" w:type="dxa"/>
            <w:gridSpan w:val="3"/>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b/>
                <w:sz w:val="21"/>
              </w:rPr>
            </w:pPr>
            <w:r>
              <w:rPr>
                <w:rFonts w:hint="eastAsia"/>
                <w:b/>
                <w:sz w:val="21"/>
              </w:rPr>
              <w:t>林格曼</w:t>
            </w:r>
            <w:r>
              <w:rPr>
                <w:b/>
                <w:sz w:val="21"/>
              </w:rPr>
              <w:t>1</w:t>
            </w:r>
            <w:r>
              <w:rPr>
                <w:rFonts w:hint="eastAsia"/>
                <w:b/>
                <w:sz w:val="21"/>
              </w:rPr>
              <w:t>级</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烟尘</w:t>
            </w:r>
          </w:p>
        </w:tc>
        <w:tc>
          <w:tcPr>
            <w:tcW w:w="172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100</w:t>
            </w:r>
          </w:p>
        </w:tc>
        <w:tc>
          <w:tcPr>
            <w:tcW w:w="163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67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65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一氧化碳</w:t>
            </w:r>
          </w:p>
        </w:tc>
        <w:tc>
          <w:tcPr>
            <w:tcW w:w="172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100</w:t>
            </w:r>
          </w:p>
        </w:tc>
        <w:tc>
          <w:tcPr>
            <w:tcW w:w="163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67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80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二氧化硫</w:t>
            </w:r>
          </w:p>
        </w:tc>
        <w:tc>
          <w:tcPr>
            <w:tcW w:w="172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400</w:t>
            </w:r>
          </w:p>
        </w:tc>
        <w:tc>
          <w:tcPr>
            <w:tcW w:w="163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300</w:t>
            </w:r>
          </w:p>
        </w:tc>
        <w:tc>
          <w:tcPr>
            <w:tcW w:w="167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200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氟化氢</w:t>
            </w:r>
          </w:p>
        </w:tc>
        <w:tc>
          <w:tcPr>
            <w:tcW w:w="172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9.0</w:t>
            </w:r>
          </w:p>
        </w:tc>
        <w:tc>
          <w:tcPr>
            <w:tcW w:w="163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7.0</w:t>
            </w:r>
          </w:p>
        </w:tc>
        <w:tc>
          <w:tcPr>
            <w:tcW w:w="167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5.0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氯化氢</w:t>
            </w:r>
          </w:p>
        </w:tc>
        <w:tc>
          <w:tcPr>
            <w:tcW w:w="172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100</w:t>
            </w:r>
          </w:p>
        </w:tc>
        <w:tc>
          <w:tcPr>
            <w:tcW w:w="163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70</w:t>
            </w:r>
          </w:p>
        </w:tc>
        <w:tc>
          <w:tcPr>
            <w:tcW w:w="167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氮氧化物</w:t>
            </w:r>
          </w:p>
        </w:tc>
        <w:tc>
          <w:tcPr>
            <w:tcW w:w="5037" w:type="dxa"/>
            <w:gridSpan w:val="3"/>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500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8</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汞及其化合物</w:t>
            </w:r>
          </w:p>
        </w:tc>
        <w:tc>
          <w:tcPr>
            <w:tcW w:w="5037" w:type="dxa"/>
            <w:gridSpan w:val="3"/>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0.1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9</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镉及其化合物</w:t>
            </w:r>
            <w:r>
              <w:rPr>
                <w:sz w:val="21"/>
              </w:rPr>
              <w:t>(</w:t>
            </w:r>
            <w:r>
              <w:rPr>
                <w:rFonts w:hint="eastAsia"/>
                <w:sz w:val="21"/>
              </w:rPr>
              <w:t>以</w:t>
            </w:r>
            <w:r>
              <w:rPr>
                <w:sz w:val="21"/>
              </w:rPr>
              <w:t>Cd</w:t>
            </w:r>
            <w:r>
              <w:rPr>
                <w:rFonts w:hint="eastAsia"/>
                <w:sz w:val="21"/>
              </w:rPr>
              <w:t>计</w:t>
            </w:r>
            <w:r>
              <w:rPr>
                <w:sz w:val="21"/>
              </w:rPr>
              <w:t>)</w:t>
            </w:r>
          </w:p>
        </w:tc>
        <w:tc>
          <w:tcPr>
            <w:tcW w:w="5037" w:type="dxa"/>
            <w:gridSpan w:val="3"/>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0.1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hint="eastAsia"/>
                <w:sz w:val="21"/>
              </w:rPr>
              <w:t>砷、镍及其化合物</w:t>
            </w:r>
          </w:p>
          <w:p>
            <w:pPr>
              <w:spacing w:line="240" w:lineRule="atLeast"/>
              <w:ind w:firstLine="0" w:firstLineChars="0"/>
              <w:jc w:val="center"/>
              <w:rPr>
                <w:sz w:val="21"/>
              </w:rPr>
            </w:pPr>
            <w:r>
              <w:rPr>
                <w:sz w:val="21"/>
              </w:rPr>
              <w:t>(</w:t>
            </w:r>
            <w:r>
              <w:rPr>
                <w:rFonts w:hint="eastAsia"/>
                <w:sz w:val="21"/>
              </w:rPr>
              <w:t>以</w:t>
            </w:r>
            <w:r>
              <w:rPr>
                <w:sz w:val="21"/>
              </w:rPr>
              <w:t>As+Ni</w:t>
            </w:r>
            <w:r>
              <w:rPr>
                <w:rFonts w:hint="eastAsia"/>
                <w:sz w:val="21"/>
              </w:rPr>
              <w:t>计</w:t>
            </w:r>
            <w:r>
              <w:rPr>
                <w:sz w:val="21"/>
              </w:rPr>
              <w:t>)</w:t>
            </w:r>
          </w:p>
        </w:tc>
        <w:tc>
          <w:tcPr>
            <w:tcW w:w="5037" w:type="dxa"/>
            <w:gridSpan w:val="3"/>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11</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铅及其化合物</w:t>
            </w:r>
            <w:r>
              <w:rPr>
                <w:sz w:val="21"/>
              </w:rPr>
              <w:t>(</w:t>
            </w:r>
            <w:r>
              <w:rPr>
                <w:rFonts w:hint="eastAsia"/>
                <w:sz w:val="21"/>
              </w:rPr>
              <w:t>以</w:t>
            </w:r>
            <w:r>
              <w:rPr>
                <w:sz w:val="21"/>
              </w:rPr>
              <w:t>Pb</w:t>
            </w:r>
            <w:r>
              <w:rPr>
                <w:rFonts w:hint="eastAsia"/>
                <w:sz w:val="21"/>
              </w:rPr>
              <w:t>计</w:t>
            </w:r>
            <w:r>
              <w:rPr>
                <w:sz w:val="21"/>
              </w:rPr>
              <w:t>)</w:t>
            </w:r>
          </w:p>
        </w:tc>
        <w:tc>
          <w:tcPr>
            <w:tcW w:w="5037" w:type="dxa"/>
            <w:gridSpan w:val="3"/>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12</w:t>
            </w:r>
          </w:p>
        </w:tc>
        <w:tc>
          <w:tcPr>
            <w:tcW w:w="346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hint="eastAsia"/>
                <w:sz w:val="21"/>
              </w:rPr>
              <w:t>铬、锡、锑、铜、锰及其化合物</w:t>
            </w:r>
          </w:p>
          <w:p>
            <w:pPr>
              <w:spacing w:line="240" w:lineRule="atLeast"/>
              <w:ind w:firstLine="0" w:firstLineChars="0"/>
              <w:jc w:val="center"/>
              <w:rPr>
                <w:sz w:val="21"/>
              </w:rPr>
            </w:pPr>
            <w:r>
              <w:rPr>
                <w:sz w:val="21"/>
              </w:rPr>
              <w:t>(</w:t>
            </w:r>
            <w:r>
              <w:rPr>
                <w:rFonts w:hint="eastAsia"/>
                <w:sz w:val="21"/>
              </w:rPr>
              <w:t>以</w:t>
            </w:r>
            <w:r>
              <w:rPr>
                <w:sz w:val="21"/>
              </w:rPr>
              <w:t>Cr+Sn+Sb+Cu+Mn</w:t>
            </w:r>
            <w:r>
              <w:rPr>
                <w:rFonts w:hint="eastAsia"/>
                <w:sz w:val="21"/>
              </w:rPr>
              <w:t>计</w:t>
            </w:r>
            <w:r>
              <w:rPr>
                <w:sz w:val="21"/>
              </w:rPr>
              <w:t>)</w:t>
            </w:r>
          </w:p>
        </w:tc>
        <w:tc>
          <w:tcPr>
            <w:tcW w:w="5037" w:type="dxa"/>
            <w:gridSpan w:val="3"/>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b/>
                <w:sz w:val="21"/>
              </w:rPr>
            </w:pPr>
            <w:r>
              <w:rPr>
                <w:b/>
                <w:sz w:val="21"/>
              </w:rPr>
              <w:t>4.0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84"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sz w:val="21"/>
              </w:rPr>
              <w:t>13</w:t>
            </w:r>
          </w:p>
        </w:tc>
        <w:tc>
          <w:tcPr>
            <w:tcW w:w="3465"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二噁英类</w:t>
            </w:r>
          </w:p>
        </w:tc>
        <w:tc>
          <w:tcPr>
            <w:tcW w:w="5037" w:type="dxa"/>
            <w:gridSpan w:val="3"/>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b/>
                <w:sz w:val="21"/>
              </w:rPr>
            </w:pPr>
            <w:r>
              <w:rPr>
                <w:b/>
                <w:sz w:val="21"/>
              </w:rPr>
              <w:t>0.5TEQ ng/m</w:t>
            </w:r>
            <w:r>
              <w:rPr>
                <w:b/>
                <w:sz w:val="21"/>
                <w:vertAlign w:val="superscript"/>
              </w:rPr>
              <w:t>3</w:t>
            </w:r>
          </w:p>
        </w:tc>
      </w:tr>
    </w:tbl>
    <w:p>
      <w:pPr>
        <w:pStyle w:val="178"/>
        <w:snapToGrid w:val="0"/>
        <w:ind w:firstLine="480"/>
        <w:jc w:val="both"/>
        <w:rPr>
          <w:rFonts w:hAnsi="宋体" w:cs="宋体"/>
          <w:szCs w:val="24"/>
        </w:rPr>
      </w:pPr>
    </w:p>
    <w:p>
      <w:pPr>
        <w:ind w:firstLine="480"/>
        <w:rPr>
          <w:rFonts w:cs="Times New Roman"/>
          <w:kern w:val="0"/>
          <w:szCs w:val="20"/>
          <w:lang w:val="zh-CN"/>
        </w:rPr>
      </w:pPr>
      <w:r>
        <w:rPr>
          <w:rFonts w:hint="eastAsia" w:ascii="宋体" w:hAnsi="宋体" w:cs="宋体"/>
        </w:rPr>
        <w:t>②</w:t>
      </w:r>
      <w:r>
        <w:rPr>
          <w:rFonts w:hint="eastAsia"/>
        </w:rPr>
        <w:t>除焚烧车间产生的废气外，项目其他工段及车间产生的粉尘、</w:t>
      </w:r>
      <w:r>
        <w:t>HCl</w:t>
      </w:r>
      <w:r>
        <w:rPr>
          <w:rFonts w:hint="eastAsia"/>
        </w:rPr>
        <w:t>、硫酸雾、氟化物和</w:t>
      </w:r>
      <w:r>
        <w:t>NO</w:t>
      </w:r>
      <w:r>
        <w:rPr>
          <w:vertAlign w:val="subscript"/>
        </w:rPr>
        <w:t>X</w:t>
      </w:r>
      <w:r>
        <w:rPr>
          <w:rFonts w:hint="eastAsia"/>
        </w:rPr>
        <w:t>执行《大气污染物综合排放标准》</w:t>
      </w:r>
      <w:r>
        <w:t>(GB16297-1996)</w:t>
      </w:r>
      <w:r>
        <w:rPr>
          <w:rFonts w:hint="eastAsia"/>
        </w:rPr>
        <w:t>中新污染源二级标准；硫化氢、氨气和臭气执行</w:t>
      </w:r>
      <w:r>
        <w:rPr>
          <w:rFonts w:hint="eastAsia" w:hAnsi="宋体"/>
        </w:rPr>
        <w:t>《恶臭污染物排放标准》</w:t>
      </w:r>
      <w:r>
        <w:t>(GB14554-93)</w:t>
      </w:r>
      <w:r>
        <w:rPr>
          <w:rFonts w:hint="eastAsia" w:hAnsi="宋体"/>
        </w:rPr>
        <w:t>表</w:t>
      </w:r>
      <w:r>
        <w:t>2</w:t>
      </w:r>
      <w:r>
        <w:rPr>
          <w:rFonts w:hint="eastAsia"/>
        </w:rPr>
        <w:t>排放标准值；</w:t>
      </w:r>
      <w:r>
        <w:t>VOC</w:t>
      </w:r>
      <w:r>
        <w:rPr>
          <w:rFonts w:hint="eastAsia"/>
        </w:rPr>
        <w:t>参照执行《工业企业挥发性有机物排放控制标准》</w:t>
      </w:r>
      <w:r>
        <w:t>(DB13/2322-2016)</w:t>
      </w:r>
      <w:r>
        <w:rPr>
          <w:rFonts w:hint="eastAsia"/>
        </w:rPr>
        <w:t>表</w:t>
      </w:r>
      <w:r>
        <w:t>1</w:t>
      </w:r>
      <w:r>
        <w:rPr>
          <w:rFonts w:hint="eastAsia"/>
        </w:rPr>
        <w:t>中其他行业非甲烷总烃排放限值。</w:t>
      </w:r>
    </w:p>
    <w:p>
      <w:pPr>
        <w:ind w:firstLine="480"/>
      </w:pPr>
      <w:r>
        <w:rPr>
          <w:rFonts w:hint="eastAsia" w:hAnsi="宋体"/>
          <w:bCs/>
          <w:lang w:val="zh-CN"/>
        </w:rPr>
        <w:t>表</w:t>
      </w:r>
      <w:r>
        <w:rPr>
          <w:bCs/>
          <w:lang w:val="zh-CN"/>
        </w:rPr>
        <w:t>2.4</w:t>
      </w:r>
      <w:r>
        <w:rPr>
          <w:rFonts w:hint="eastAsia"/>
        </w:rPr>
        <w:t>—</w:t>
      </w:r>
      <w:r>
        <w:rPr>
          <w:rFonts w:hint="eastAsia"/>
          <w:bCs/>
          <w:lang w:val="zh-CN"/>
        </w:rPr>
        <w:t>9              项目</w:t>
      </w:r>
      <w:r>
        <w:rPr>
          <w:rFonts w:hint="eastAsia" w:hAnsi="宋体"/>
          <w:bCs/>
          <w:lang w:val="zh-CN"/>
        </w:rPr>
        <w:t>大气污染物排放标准</w:t>
      </w:r>
    </w:p>
    <w:tbl>
      <w:tblPr>
        <w:tblStyle w:val="88"/>
        <w:tblpPr w:leftFromText="180" w:rightFromText="180" w:vertAnchor="text" w:tblpY="1"/>
        <w:tblW w:w="9070"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1079"/>
        <w:gridCol w:w="1256"/>
        <w:gridCol w:w="1046"/>
        <w:gridCol w:w="1375"/>
        <w:gridCol w:w="2458"/>
        <w:gridCol w:w="1856"/>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79" w:type="dxa"/>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污染物</w:t>
            </w:r>
          </w:p>
        </w:tc>
        <w:tc>
          <w:tcPr>
            <w:tcW w:w="1256" w:type="dxa"/>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排气筒高度</w:t>
            </w:r>
          </w:p>
        </w:tc>
        <w:tc>
          <w:tcPr>
            <w:tcW w:w="1046" w:type="dxa"/>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速率</w:t>
            </w:r>
            <w:r>
              <w:rPr>
                <w:kern w:val="0"/>
                <w:sz w:val="21"/>
              </w:rPr>
              <w:t>kg/h</w:t>
            </w:r>
          </w:p>
        </w:tc>
        <w:tc>
          <w:tcPr>
            <w:tcW w:w="1375" w:type="dxa"/>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浓度</w:t>
            </w:r>
            <w:r>
              <w:rPr>
                <w:kern w:val="0"/>
                <w:sz w:val="21"/>
              </w:rPr>
              <w:t>mg/m</w:t>
            </w:r>
            <w:r>
              <w:rPr>
                <w:kern w:val="0"/>
                <w:sz w:val="21"/>
                <w:vertAlign w:val="superscript"/>
              </w:rPr>
              <w:t>3</w:t>
            </w:r>
          </w:p>
        </w:tc>
        <w:tc>
          <w:tcPr>
            <w:tcW w:w="2458" w:type="dxa"/>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厂界</w:t>
            </w:r>
          </w:p>
        </w:tc>
        <w:tc>
          <w:tcPr>
            <w:tcW w:w="1856" w:type="dxa"/>
            <w:tcBorders>
              <w:top w:val="single" w:color="000000" w:sz="12" w:space="0"/>
              <w:left w:val="dotted" w:color="auto" w:sz="4" w:space="0"/>
              <w:bottom w:val="single" w:color="auto" w:sz="12" w:space="0"/>
              <w:right w:val="nil"/>
            </w:tcBorders>
            <w:vAlign w:val="center"/>
          </w:tcPr>
          <w:p>
            <w:pPr>
              <w:widowControl/>
              <w:spacing w:line="240" w:lineRule="atLeast"/>
              <w:ind w:firstLine="0" w:firstLineChars="0"/>
              <w:jc w:val="center"/>
              <w:rPr>
                <w:kern w:val="0"/>
                <w:sz w:val="21"/>
              </w:rPr>
            </w:pPr>
            <w:r>
              <w:rPr>
                <w:rFonts w:hint="eastAsia" w:hAnsi="宋体"/>
                <w:kern w:val="0"/>
                <w:sz w:val="21"/>
              </w:rPr>
              <w:t>标准名称</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79" w:type="dxa"/>
            <w:vMerge w:val="restart"/>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粉尘</w:t>
            </w:r>
          </w:p>
        </w:tc>
        <w:tc>
          <w:tcPr>
            <w:tcW w:w="1256" w:type="dxa"/>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w:t>
            </w:r>
          </w:p>
        </w:tc>
        <w:tc>
          <w:tcPr>
            <w:tcW w:w="1046" w:type="dxa"/>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3.5</w:t>
            </w:r>
          </w:p>
        </w:tc>
        <w:tc>
          <w:tcPr>
            <w:tcW w:w="1375" w:type="dxa"/>
            <w:vMerge w:val="restart"/>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120</w:t>
            </w:r>
          </w:p>
        </w:tc>
        <w:tc>
          <w:tcPr>
            <w:tcW w:w="2458" w:type="dxa"/>
            <w:vMerge w:val="restart"/>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无组织周界外</w:t>
            </w:r>
            <w:r>
              <w:rPr>
                <w:kern w:val="0"/>
                <w:sz w:val="21"/>
              </w:rPr>
              <w:t>1.0mg/m</w:t>
            </w:r>
            <w:r>
              <w:rPr>
                <w:kern w:val="0"/>
                <w:sz w:val="21"/>
                <w:vertAlign w:val="superscript"/>
              </w:rPr>
              <w:t>3</w:t>
            </w:r>
          </w:p>
        </w:tc>
        <w:tc>
          <w:tcPr>
            <w:tcW w:w="1856" w:type="dxa"/>
            <w:vMerge w:val="restart"/>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rPr>
                <w:sz w:val="21"/>
              </w:rPr>
            </w:pPr>
            <w:r>
              <w:rPr>
                <w:sz w:val="21"/>
              </w:rPr>
              <w:t>GB16297-1996</w:t>
            </w:r>
            <w:r>
              <w:rPr>
                <w:rFonts w:hint="eastAsia" w:hAnsi="宋体"/>
                <w:sz w:val="21"/>
              </w:rPr>
              <w:t>《大气污染物综合排放标准》，执行表</w:t>
            </w:r>
            <w:r>
              <w:rPr>
                <w:sz w:val="21"/>
              </w:rPr>
              <w:t>2</w:t>
            </w:r>
            <w:r>
              <w:rPr>
                <w:rFonts w:hint="eastAsia" w:hAnsi="宋体"/>
                <w:sz w:val="21"/>
              </w:rPr>
              <w:t>二级</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5.9</w:t>
            </w:r>
          </w:p>
        </w:tc>
        <w:tc>
          <w:tcPr>
            <w:tcW w:w="1375"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23</w:t>
            </w:r>
          </w:p>
        </w:tc>
        <w:tc>
          <w:tcPr>
            <w:tcW w:w="1375"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40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39</w:t>
            </w:r>
          </w:p>
        </w:tc>
        <w:tc>
          <w:tcPr>
            <w:tcW w:w="1375"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restart"/>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Ansi="宋体"/>
                <w:kern w:val="0"/>
                <w:sz w:val="21"/>
              </w:rPr>
              <w:t>HCl</w:t>
            </w: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0.26</w:t>
            </w:r>
          </w:p>
        </w:tc>
        <w:tc>
          <w:tcPr>
            <w:tcW w:w="1375" w:type="dxa"/>
            <w:vMerge w:val="restart"/>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100</w:t>
            </w:r>
          </w:p>
        </w:tc>
        <w:tc>
          <w:tcPr>
            <w:tcW w:w="2458" w:type="dxa"/>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kern w:val="0"/>
                <w:sz w:val="21"/>
              </w:rPr>
            </w:pPr>
            <w:r>
              <w:rPr>
                <w:rFonts w:hint="eastAsia" w:hAnsi="宋体"/>
                <w:kern w:val="0"/>
                <w:sz w:val="21"/>
              </w:rPr>
              <w:t>无组织周界外</w:t>
            </w:r>
            <w:r>
              <w:rPr>
                <w:kern w:val="0"/>
                <w:sz w:val="21"/>
              </w:rPr>
              <w:t>0.20mg/m</w:t>
            </w:r>
            <w:r>
              <w:rPr>
                <w:kern w:val="0"/>
                <w:sz w:val="21"/>
                <w:vertAlign w:val="superscript"/>
              </w:rPr>
              <w:t>3</w:t>
            </w: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0.43</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1.4</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40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2.6</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restart"/>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H</w:t>
            </w:r>
            <w:r>
              <w:rPr>
                <w:kern w:val="0"/>
                <w:sz w:val="21"/>
                <w:vertAlign w:val="subscript"/>
              </w:rPr>
              <w:t>2</w:t>
            </w:r>
            <w:r>
              <w:rPr>
                <w:kern w:val="0"/>
                <w:sz w:val="21"/>
              </w:rPr>
              <w:t>SO</w:t>
            </w:r>
            <w:r>
              <w:rPr>
                <w:kern w:val="0"/>
                <w:sz w:val="21"/>
                <w:vertAlign w:val="subscript"/>
              </w:rPr>
              <w:t>4</w:t>
            </w: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w:t>
            </w:r>
          </w:p>
        </w:tc>
        <w:tc>
          <w:tcPr>
            <w:tcW w:w="1375" w:type="dxa"/>
            <w:vMerge w:val="restart"/>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45</w:t>
            </w:r>
          </w:p>
        </w:tc>
        <w:tc>
          <w:tcPr>
            <w:tcW w:w="2458" w:type="dxa"/>
            <w:vMerge w:val="restart"/>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无组织周界外</w:t>
            </w:r>
            <w:r>
              <w:rPr>
                <w:kern w:val="0"/>
                <w:sz w:val="21"/>
              </w:rPr>
              <w:t>1.2mg/m</w:t>
            </w:r>
            <w:r>
              <w:rPr>
                <w:kern w:val="0"/>
                <w:sz w:val="21"/>
                <w:vertAlign w:val="superscript"/>
              </w:rPr>
              <w:t>3</w:t>
            </w: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2.6</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8.8</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40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restart"/>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氟化物</w:t>
            </w: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0.10</w:t>
            </w:r>
          </w:p>
        </w:tc>
        <w:tc>
          <w:tcPr>
            <w:tcW w:w="1375" w:type="dxa"/>
            <w:vMerge w:val="restart"/>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9</w:t>
            </w:r>
          </w:p>
        </w:tc>
        <w:tc>
          <w:tcPr>
            <w:tcW w:w="2458" w:type="dxa"/>
            <w:vMerge w:val="restart"/>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无组织周界外</w:t>
            </w:r>
            <w:r>
              <w:rPr>
                <w:kern w:val="0"/>
                <w:sz w:val="21"/>
              </w:rPr>
              <w:t>20μg/m</w:t>
            </w:r>
            <w:r>
              <w:rPr>
                <w:kern w:val="0"/>
                <w:sz w:val="21"/>
                <w:vertAlign w:val="superscript"/>
              </w:rPr>
              <w:t>3</w:t>
            </w: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0.17</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0.59</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40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1.0</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NO</w:t>
            </w:r>
            <w:r>
              <w:rPr>
                <w:kern w:val="0"/>
                <w:sz w:val="21"/>
                <w:vertAlign w:val="subscript"/>
              </w:rPr>
              <w:t>X</w:t>
            </w: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w:t>
            </w:r>
          </w:p>
        </w:tc>
        <w:tc>
          <w:tcPr>
            <w:tcW w:w="1375"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240</w:t>
            </w:r>
          </w:p>
        </w:tc>
        <w:tc>
          <w:tcPr>
            <w:tcW w:w="2458"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无组织周界外</w:t>
            </w:r>
            <w:r>
              <w:rPr>
                <w:kern w:val="0"/>
                <w:sz w:val="21"/>
              </w:rPr>
              <w:t>0.12mg/m</w:t>
            </w:r>
            <w:r>
              <w:rPr>
                <w:kern w:val="0"/>
                <w:sz w:val="21"/>
                <w:vertAlign w:val="superscript"/>
              </w:rPr>
              <w:t>3</w:t>
            </w:r>
          </w:p>
        </w:tc>
        <w:tc>
          <w:tcPr>
            <w:tcW w:w="1856"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restart"/>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硫化氢</w:t>
            </w: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0.33</w:t>
            </w:r>
          </w:p>
        </w:tc>
        <w:tc>
          <w:tcPr>
            <w:tcW w:w="1375" w:type="dxa"/>
            <w:vMerge w:val="restart"/>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w:t>
            </w:r>
          </w:p>
        </w:tc>
        <w:tc>
          <w:tcPr>
            <w:tcW w:w="2458" w:type="dxa"/>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kern w:val="0"/>
                <w:sz w:val="21"/>
              </w:rPr>
            </w:pPr>
            <w:r>
              <w:rPr>
                <w:rFonts w:hint="eastAsia" w:hAnsi="宋体"/>
                <w:kern w:val="0"/>
                <w:sz w:val="21"/>
              </w:rPr>
              <w:t>厂界</w:t>
            </w:r>
            <w:r>
              <w:rPr>
                <w:kern w:val="0"/>
                <w:sz w:val="21"/>
              </w:rPr>
              <w:t>0.06mg/m</w:t>
            </w:r>
            <w:r>
              <w:rPr>
                <w:kern w:val="0"/>
                <w:sz w:val="21"/>
                <w:vertAlign w:val="superscript"/>
              </w:rPr>
              <w:t>3</w:t>
            </w:r>
          </w:p>
        </w:tc>
        <w:tc>
          <w:tcPr>
            <w:tcW w:w="1856"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rPr>
                <w:kern w:val="0"/>
                <w:sz w:val="21"/>
              </w:rPr>
            </w:pPr>
            <w:r>
              <w:rPr>
                <w:sz w:val="21"/>
              </w:rPr>
              <w:t>GB14554-93</w:t>
            </w:r>
            <w:r>
              <w:rPr>
                <w:rFonts w:hint="eastAsia" w:hAnsi="宋体"/>
                <w:sz w:val="21"/>
              </w:rPr>
              <w:t>《恶臭污染物排放标准》，执行表</w:t>
            </w:r>
            <w:r>
              <w:rPr>
                <w:sz w:val="21"/>
              </w:rPr>
              <w:t>2</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0.58</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1.3</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1.8</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restart"/>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氨气</w:t>
            </w: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4.9</w:t>
            </w:r>
          </w:p>
        </w:tc>
        <w:tc>
          <w:tcPr>
            <w:tcW w:w="1375" w:type="dxa"/>
            <w:vMerge w:val="restart"/>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w:t>
            </w:r>
          </w:p>
        </w:tc>
        <w:tc>
          <w:tcPr>
            <w:tcW w:w="2458" w:type="dxa"/>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kern w:val="0"/>
                <w:sz w:val="21"/>
              </w:rPr>
            </w:pPr>
            <w:r>
              <w:rPr>
                <w:rFonts w:hint="eastAsia" w:hAnsi="宋体"/>
                <w:kern w:val="0"/>
                <w:sz w:val="21"/>
              </w:rPr>
              <w:t>厂界</w:t>
            </w:r>
            <w:r>
              <w:rPr>
                <w:kern w:val="0"/>
                <w:sz w:val="21"/>
              </w:rPr>
              <w:t>1.5mg/m</w:t>
            </w:r>
            <w:r>
              <w:rPr>
                <w:kern w:val="0"/>
                <w:sz w:val="21"/>
                <w:vertAlign w:val="superscript"/>
              </w:rPr>
              <w:t>3</w:t>
            </w: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8.7</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20</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27</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restart"/>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臭气</w:t>
            </w: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2000</w:t>
            </w:r>
          </w:p>
        </w:tc>
        <w:tc>
          <w:tcPr>
            <w:tcW w:w="1375" w:type="dxa"/>
            <w:vMerge w:val="restart"/>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w:t>
            </w:r>
          </w:p>
        </w:tc>
        <w:tc>
          <w:tcPr>
            <w:tcW w:w="2458" w:type="dxa"/>
            <w:vMerge w:val="restart"/>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hAnsi="宋体"/>
                <w:kern w:val="0"/>
                <w:sz w:val="21"/>
              </w:rPr>
              <w:t>厂界</w:t>
            </w:r>
            <w:r>
              <w:rPr>
                <w:kern w:val="0"/>
                <w:sz w:val="21"/>
              </w:rPr>
              <w:t>20</w:t>
            </w: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6000</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35</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15000</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25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40</w:t>
            </w:r>
          </w:p>
        </w:tc>
        <w:tc>
          <w:tcPr>
            <w:tcW w:w="1046"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kern w:val="0"/>
                <w:sz w:val="21"/>
              </w:rPr>
            </w:pPr>
            <w:r>
              <w:rPr>
                <w:kern w:val="0"/>
                <w:sz w:val="21"/>
              </w:rPr>
              <w:t>20000</w:t>
            </w:r>
          </w:p>
        </w:tc>
        <w:tc>
          <w:tcPr>
            <w:tcW w:w="137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245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kern w:val="0"/>
                <w:sz w:val="21"/>
              </w:rPr>
            </w:pPr>
          </w:p>
        </w:tc>
        <w:tc>
          <w:tcPr>
            <w:tcW w:w="1856"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kern w:val="0"/>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284" w:hRule="atLeast"/>
        </w:trPr>
        <w:tc>
          <w:tcPr>
            <w:tcW w:w="1079" w:type="dxa"/>
            <w:tcBorders>
              <w:top w:val="dotted" w:color="auto" w:sz="4" w:space="0"/>
              <w:left w:val="nil"/>
              <w:bottom w:val="single" w:color="auto" w:sz="12" w:space="0"/>
              <w:right w:val="dotted" w:color="auto" w:sz="4" w:space="0"/>
            </w:tcBorders>
            <w:vAlign w:val="center"/>
          </w:tcPr>
          <w:p>
            <w:pPr>
              <w:widowControl/>
              <w:spacing w:line="240" w:lineRule="atLeast"/>
              <w:ind w:firstLine="0" w:firstLineChars="0"/>
              <w:jc w:val="center"/>
              <w:rPr>
                <w:kern w:val="0"/>
                <w:sz w:val="21"/>
              </w:rPr>
            </w:pPr>
            <w:r>
              <w:rPr>
                <w:kern w:val="0"/>
                <w:sz w:val="21"/>
              </w:rPr>
              <w:t>VOC</w:t>
            </w:r>
          </w:p>
        </w:tc>
        <w:tc>
          <w:tcPr>
            <w:tcW w:w="1256" w:type="dxa"/>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w:t>
            </w:r>
          </w:p>
        </w:tc>
        <w:tc>
          <w:tcPr>
            <w:tcW w:w="1046" w:type="dxa"/>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w:t>
            </w:r>
          </w:p>
        </w:tc>
        <w:tc>
          <w:tcPr>
            <w:tcW w:w="1375" w:type="dxa"/>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kern w:val="0"/>
                <w:sz w:val="21"/>
              </w:rPr>
            </w:pPr>
            <w:r>
              <w:rPr>
                <w:kern w:val="0"/>
                <w:sz w:val="21"/>
              </w:rPr>
              <w:t>80</w:t>
            </w:r>
          </w:p>
        </w:tc>
        <w:tc>
          <w:tcPr>
            <w:tcW w:w="2458" w:type="dxa"/>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w:t>
            </w:r>
          </w:p>
        </w:tc>
        <w:tc>
          <w:tcPr>
            <w:tcW w:w="1856" w:type="dxa"/>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rPr>
                <w:kern w:val="0"/>
                <w:sz w:val="21"/>
              </w:rPr>
            </w:pPr>
            <w:r>
              <w:rPr>
                <w:kern w:val="0"/>
                <w:sz w:val="21"/>
              </w:rPr>
              <w:t>DB13/2322-2016</w:t>
            </w:r>
            <w:r>
              <w:rPr>
                <w:rFonts w:hint="eastAsia"/>
                <w:kern w:val="0"/>
                <w:sz w:val="21"/>
              </w:rPr>
              <w:t>《工业企业挥发性有机物排放控制标准》表</w:t>
            </w:r>
            <w:r>
              <w:rPr>
                <w:kern w:val="0"/>
                <w:sz w:val="21"/>
              </w:rPr>
              <w:t>1</w:t>
            </w:r>
            <w:r>
              <w:rPr>
                <w:rFonts w:hint="eastAsia"/>
                <w:kern w:val="0"/>
                <w:sz w:val="21"/>
              </w:rPr>
              <w:t>中其他行业非甲烷总烃排放限值</w:t>
            </w:r>
          </w:p>
        </w:tc>
      </w:tr>
    </w:tbl>
    <w:p>
      <w:pPr>
        <w:autoSpaceDE w:val="0"/>
        <w:autoSpaceDN w:val="0"/>
        <w:adjustRightInd w:val="0"/>
        <w:snapToGrid w:val="0"/>
        <w:ind w:firstLine="480"/>
        <w:rPr>
          <w:lang w:val="zh-CN"/>
        </w:rPr>
      </w:pPr>
    </w:p>
    <w:p>
      <w:pPr>
        <w:pStyle w:val="161"/>
        <w:ind w:firstLine="480"/>
        <w:outlineLvl w:val="0"/>
        <w:rPr>
          <w:rFonts w:cs="Times New Roman"/>
          <w:szCs w:val="20"/>
        </w:rPr>
      </w:pPr>
      <w:r>
        <w:fldChar w:fldCharType="begin"/>
      </w:r>
      <w:r>
        <w:rPr>
          <w:rFonts w:hint="eastAsia"/>
        </w:rPr>
        <w:instrText xml:space="preserve">= 2 \* GB2</w:instrText>
      </w:r>
      <w:r>
        <w:fldChar w:fldCharType="separate"/>
      </w:r>
      <w:bookmarkStart w:id="110" w:name="_Toc13760092"/>
      <w:bookmarkStart w:id="111" w:name="_Toc13582044"/>
      <w:r>
        <w:rPr>
          <w:rFonts w:hint="eastAsia"/>
        </w:rPr>
        <w:t>⑵</w:t>
      </w:r>
      <w:r>
        <w:fldChar w:fldCharType="end"/>
      </w:r>
      <w:r>
        <w:rPr>
          <w:rFonts w:hint="eastAsia"/>
        </w:rPr>
        <w:t>废水</w:t>
      </w:r>
      <w:bookmarkEnd w:id="110"/>
      <w:bookmarkEnd w:id="111"/>
    </w:p>
    <w:p>
      <w:pPr>
        <w:pStyle w:val="161"/>
        <w:ind w:firstLine="480"/>
      </w:pPr>
      <w:r>
        <w:rPr>
          <w:rFonts w:hint="eastAsia"/>
        </w:rPr>
        <w:t>本项目全厂产生的废水全部回用，无外排。</w:t>
      </w:r>
    </w:p>
    <w:p>
      <w:pPr>
        <w:pStyle w:val="161"/>
        <w:ind w:firstLine="480"/>
      </w:pPr>
      <w:r>
        <w:fldChar w:fldCharType="begin"/>
      </w:r>
      <w:r>
        <w:rPr>
          <w:rFonts w:hint="eastAsia"/>
        </w:rPr>
        <w:instrText xml:space="preserve">= 3 \* GB2</w:instrText>
      </w:r>
      <w:r>
        <w:fldChar w:fldCharType="separate"/>
      </w:r>
      <w:r>
        <w:rPr>
          <w:rFonts w:hint="eastAsia"/>
        </w:rPr>
        <w:t>⑶</w:t>
      </w:r>
      <w:r>
        <w:fldChar w:fldCharType="end"/>
      </w:r>
      <w:r>
        <w:rPr>
          <w:rFonts w:hint="eastAsia" w:hAnsi="宋体"/>
        </w:rPr>
        <w:t>噪声标准</w:t>
      </w:r>
    </w:p>
    <w:p>
      <w:pPr>
        <w:ind w:firstLine="480"/>
        <w:rPr>
          <w:lang w:val="zh-CN"/>
        </w:rPr>
      </w:pPr>
      <w:r>
        <w:rPr>
          <w:rFonts w:hint="eastAsia" w:hAnsi="宋体"/>
          <w:lang w:val="zh-CN"/>
        </w:rPr>
        <w:t>厂界噪声评价标准采用《工业企业厂界环境噪声排放标准》</w:t>
      </w:r>
      <w:r>
        <w:rPr>
          <w:rFonts w:hAnsi="宋体"/>
          <w:lang w:val="zh-CN"/>
        </w:rPr>
        <w:t>(</w:t>
      </w:r>
      <w:r>
        <w:rPr>
          <w:lang w:val="zh-CN"/>
        </w:rPr>
        <w:t>GB12348-2008</w:t>
      </w:r>
      <w:r>
        <w:rPr>
          <w:rFonts w:hAnsi="宋体"/>
          <w:lang w:val="zh-CN"/>
        </w:rPr>
        <w:t>)</w:t>
      </w:r>
      <w:r>
        <w:rPr>
          <w:rFonts w:hint="eastAsia" w:hAnsi="宋体"/>
          <w:lang w:val="zh-CN"/>
        </w:rPr>
        <w:t>中</w:t>
      </w:r>
      <w:r>
        <w:rPr>
          <w:rFonts w:hint="eastAsia"/>
          <w:lang w:val="zh-CN"/>
        </w:rPr>
        <w:t>“</w:t>
      </w:r>
      <w:r>
        <w:rPr>
          <w:lang w:val="zh-CN"/>
        </w:rPr>
        <w:t>3</w:t>
      </w:r>
      <w:r>
        <w:rPr>
          <w:rFonts w:hint="eastAsia" w:hAnsi="宋体"/>
          <w:lang w:val="zh-CN"/>
        </w:rPr>
        <w:t>类</w:t>
      </w:r>
      <w:r>
        <w:rPr>
          <w:rFonts w:hint="eastAsia"/>
          <w:lang w:val="zh-CN"/>
        </w:rPr>
        <w:t>”</w:t>
      </w:r>
      <w:r>
        <w:rPr>
          <w:rFonts w:hint="eastAsia" w:hAnsi="宋体"/>
          <w:lang w:val="zh-CN"/>
        </w:rPr>
        <w:t>标准，施工噪声执行《建筑施工场界环境噪声排放标准》</w:t>
      </w:r>
      <w:r>
        <w:rPr>
          <w:rFonts w:hAnsi="宋体"/>
          <w:lang w:val="zh-CN"/>
        </w:rPr>
        <w:t>(</w:t>
      </w:r>
      <w:r>
        <w:rPr>
          <w:lang w:val="zh-CN"/>
        </w:rPr>
        <w:t>GB12523-2011</w:t>
      </w:r>
      <w:r>
        <w:rPr>
          <w:rFonts w:hAnsi="宋体"/>
          <w:lang w:val="zh-CN"/>
        </w:rPr>
        <w:t>)</w:t>
      </w:r>
      <w:r>
        <w:rPr>
          <w:rFonts w:hint="eastAsia" w:hAnsi="宋体"/>
          <w:lang w:val="zh-CN"/>
        </w:rPr>
        <w:t>。</w:t>
      </w:r>
    </w:p>
    <w:p>
      <w:pPr>
        <w:ind w:firstLine="480"/>
        <w:rPr>
          <w:lang w:val="zh-CN"/>
        </w:rPr>
      </w:pPr>
      <w:r>
        <w:rPr>
          <w:rFonts w:hint="eastAsia" w:hAnsi="宋体"/>
          <w:lang w:val="zh-CN"/>
        </w:rPr>
        <w:t>表</w:t>
      </w:r>
      <w:r>
        <w:rPr>
          <w:lang w:val="zh-CN"/>
        </w:rPr>
        <w:t>2.4</w:t>
      </w:r>
      <w:r>
        <w:rPr>
          <w:rFonts w:hint="eastAsia"/>
        </w:rPr>
        <w:t>—</w:t>
      </w:r>
      <w:r>
        <w:rPr>
          <w:rFonts w:hint="eastAsia"/>
          <w:lang w:val="zh-CN"/>
        </w:rPr>
        <w:t xml:space="preserve">10            </w:t>
      </w:r>
      <w:r>
        <w:rPr>
          <w:rFonts w:hint="eastAsia" w:hAnsi="宋体"/>
          <w:lang w:val="zh-CN"/>
        </w:rPr>
        <w:t>工业企业厂界环境噪声排放标准</w:t>
      </w:r>
    </w:p>
    <w:tbl>
      <w:tblPr>
        <w:tblStyle w:val="88"/>
        <w:tblW w:w="9286" w:type="dxa"/>
        <w:tblInd w:w="0" w:type="dxa"/>
        <w:tblBorders>
          <w:top w:val="single" w:color="auto" w:sz="12" w:space="0"/>
          <w:left w:val="none" w:color="auto" w:sz="0" w:space="0"/>
          <w:bottom w:val="single" w:color="000000" w:sz="12" w:space="0"/>
          <w:right w:val="none" w:color="auto" w:sz="0" w:space="0"/>
          <w:insideH w:val="single" w:color="auto" w:sz="12" w:space="0"/>
          <w:insideV w:val="dotted" w:color="auto" w:sz="4" w:space="0"/>
        </w:tblBorders>
        <w:tblLayout w:type="fixed"/>
        <w:tblCellMar>
          <w:top w:w="0" w:type="dxa"/>
          <w:left w:w="108" w:type="dxa"/>
          <w:bottom w:w="0" w:type="dxa"/>
          <w:right w:w="108" w:type="dxa"/>
        </w:tblCellMar>
      </w:tblPr>
      <w:tblGrid>
        <w:gridCol w:w="2422"/>
        <w:gridCol w:w="3193"/>
        <w:gridCol w:w="3671"/>
      </w:tblGrid>
      <w:tr>
        <w:tblPrEx>
          <w:tblBorders>
            <w:top w:val="single" w:color="auto" w:sz="12" w:space="0"/>
            <w:left w:val="none" w:color="auto" w:sz="0" w:space="0"/>
            <w:bottom w:val="single" w:color="000000" w:sz="12" w:space="0"/>
            <w:right w:val="none" w:color="auto" w:sz="0" w:space="0"/>
            <w:insideH w:val="single" w:color="auto" w:sz="12" w:space="0"/>
            <w:insideV w:val="dotted" w:color="auto" w:sz="4" w:space="0"/>
          </w:tblBorders>
          <w:tblCellMar>
            <w:top w:w="0" w:type="dxa"/>
            <w:left w:w="108" w:type="dxa"/>
            <w:bottom w:w="0" w:type="dxa"/>
            <w:right w:w="108" w:type="dxa"/>
          </w:tblCellMar>
        </w:tblPrEx>
        <w:tc>
          <w:tcPr>
            <w:tcW w:w="2422" w:type="dxa"/>
          </w:tcPr>
          <w:p>
            <w:pPr>
              <w:snapToGrid w:val="0"/>
              <w:spacing w:line="240" w:lineRule="atLeast"/>
              <w:ind w:firstLine="0" w:firstLineChars="0"/>
              <w:jc w:val="center"/>
              <w:rPr>
                <w:sz w:val="21"/>
              </w:rPr>
            </w:pPr>
            <w:r>
              <w:rPr>
                <w:rFonts w:hint="eastAsia" w:hAnsi="宋体"/>
                <w:sz w:val="21"/>
              </w:rPr>
              <w:t>类别</w:t>
            </w:r>
          </w:p>
        </w:tc>
        <w:tc>
          <w:tcPr>
            <w:tcW w:w="3193" w:type="dxa"/>
          </w:tcPr>
          <w:p>
            <w:pPr>
              <w:snapToGrid w:val="0"/>
              <w:spacing w:line="240" w:lineRule="atLeast"/>
              <w:ind w:firstLine="0" w:firstLineChars="0"/>
              <w:jc w:val="center"/>
              <w:rPr>
                <w:sz w:val="21"/>
              </w:rPr>
            </w:pPr>
            <w:r>
              <w:rPr>
                <w:rFonts w:hint="eastAsia" w:hAnsi="宋体"/>
                <w:sz w:val="21"/>
              </w:rPr>
              <w:t>昼间</w:t>
            </w:r>
            <w:r>
              <w:rPr>
                <w:sz w:val="21"/>
              </w:rPr>
              <w:t>[dB(A)]</w:t>
            </w:r>
          </w:p>
        </w:tc>
        <w:tc>
          <w:tcPr>
            <w:tcW w:w="3671" w:type="dxa"/>
          </w:tcPr>
          <w:p>
            <w:pPr>
              <w:snapToGrid w:val="0"/>
              <w:spacing w:line="240" w:lineRule="atLeast"/>
              <w:ind w:firstLine="0" w:firstLineChars="0"/>
              <w:jc w:val="center"/>
              <w:rPr>
                <w:sz w:val="21"/>
              </w:rPr>
            </w:pPr>
            <w:r>
              <w:rPr>
                <w:rFonts w:hint="eastAsia" w:hAnsi="宋体"/>
                <w:sz w:val="21"/>
              </w:rPr>
              <w:t>夜间</w:t>
            </w:r>
            <w:r>
              <w:rPr>
                <w:sz w:val="21"/>
              </w:rPr>
              <w:t>[dB(A)]</w:t>
            </w:r>
          </w:p>
        </w:tc>
      </w:tr>
      <w:tr>
        <w:tblPrEx>
          <w:tblBorders>
            <w:top w:val="single" w:color="auto" w:sz="12" w:space="0"/>
            <w:left w:val="none" w:color="auto" w:sz="0" w:space="0"/>
            <w:bottom w:val="single" w:color="000000" w:sz="12" w:space="0"/>
            <w:right w:val="none" w:color="auto" w:sz="0" w:space="0"/>
            <w:insideH w:val="single" w:color="auto" w:sz="12" w:space="0"/>
            <w:insideV w:val="dotted" w:color="auto" w:sz="4" w:space="0"/>
          </w:tblBorders>
          <w:tblCellMar>
            <w:top w:w="0" w:type="dxa"/>
            <w:left w:w="108" w:type="dxa"/>
            <w:bottom w:w="0" w:type="dxa"/>
            <w:right w:w="108" w:type="dxa"/>
          </w:tblCellMar>
        </w:tblPrEx>
        <w:tc>
          <w:tcPr>
            <w:tcW w:w="2422" w:type="dxa"/>
          </w:tcPr>
          <w:p>
            <w:pPr>
              <w:snapToGrid w:val="0"/>
              <w:spacing w:line="240" w:lineRule="atLeast"/>
              <w:ind w:firstLine="0" w:firstLineChars="0"/>
              <w:jc w:val="center"/>
              <w:rPr>
                <w:sz w:val="21"/>
              </w:rPr>
            </w:pPr>
            <w:r>
              <w:rPr>
                <w:sz w:val="21"/>
              </w:rPr>
              <w:t>3</w:t>
            </w:r>
          </w:p>
        </w:tc>
        <w:tc>
          <w:tcPr>
            <w:tcW w:w="3193" w:type="dxa"/>
          </w:tcPr>
          <w:p>
            <w:pPr>
              <w:snapToGrid w:val="0"/>
              <w:spacing w:line="240" w:lineRule="atLeast"/>
              <w:ind w:firstLine="0" w:firstLineChars="0"/>
              <w:jc w:val="center"/>
              <w:rPr>
                <w:sz w:val="21"/>
              </w:rPr>
            </w:pPr>
            <w:r>
              <w:rPr>
                <w:sz w:val="21"/>
              </w:rPr>
              <w:t>65</w:t>
            </w:r>
          </w:p>
        </w:tc>
        <w:tc>
          <w:tcPr>
            <w:tcW w:w="3671" w:type="dxa"/>
          </w:tcPr>
          <w:p>
            <w:pPr>
              <w:snapToGrid w:val="0"/>
              <w:spacing w:line="240" w:lineRule="atLeast"/>
              <w:ind w:firstLine="0" w:firstLineChars="0"/>
              <w:jc w:val="center"/>
              <w:rPr>
                <w:sz w:val="21"/>
              </w:rPr>
            </w:pPr>
            <w:r>
              <w:rPr>
                <w:sz w:val="21"/>
              </w:rPr>
              <w:t>55</w:t>
            </w:r>
          </w:p>
        </w:tc>
      </w:tr>
    </w:tbl>
    <w:p>
      <w:pPr>
        <w:autoSpaceDE w:val="0"/>
        <w:autoSpaceDN w:val="0"/>
        <w:adjustRightInd w:val="0"/>
        <w:snapToGrid w:val="0"/>
        <w:ind w:firstLine="480"/>
        <w:rPr>
          <w:rFonts w:hAnsi="宋体"/>
          <w:lang w:val="zh-CN"/>
        </w:rPr>
      </w:pPr>
    </w:p>
    <w:p>
      <w:pPr>
        <w:ind w:firstLine="480"/>
        <w:rPr>
          <w:rFonts w:cs="Times New Roman"/>
          <w:bCs/>
          <w:szCs w:val="20"/>
        </w:rPr>
      </w:pPr>
      <w:r>
        <w:rPr>
          <w:rFonts w:hint="eastAsia" w:hAnsi="宋体"/>
          <w:lang w:val="zh-CN"/>
        </w:rPr>
        <w:t>表</w:t>
      </w:r>
      <w:r>
        <w:rPr>
          <w:lang w:val="zh-CN"/>
        </w:rPr>
        <w:t>2.4</w:t>
      </w:r>
      <w:r>
        <w:rPr>
          <w:rFonts w:hint="eastAsia"/>
        </w:rPr>
        <w:t>—</w:t>
      </w:r>
      <w:r>
        <w:rPr>
          <w:lang w:val="zh-CN"/>
        </w:rPr>
        <w:t>1</w:t>
      </w:r>
      <w:r>
        <w:rPr>
          <w:rFonts w:hint="eastAsia"/>
          <w:lang w:val="zh-CN"/>
        </w:rPr>
        <w:t xml:space="preserve">1          </w:t>
      </w:r>
      <w:r>
        <w:rPr>
          <w:rFonts w:hint="eastAsia" w:hAnsi="宋体"/>
          <w:lang w:val="zh-CN"/>
        </w:rPr>
        <w:t>建筑施工场界环境噪声排放标准</w:t>
      </w:r>
    </w:p>
    <w:tbl>
      <w:tblPr>
        <w:tblStyle w:val="88"/>
        <w:tblW w:w="9286" w:type="dxa"/>
        <w:tblInd w:w="0" w:type="dxa"/>
        <w:tblLayout w:type="fixed"/>
        <w:tblCellMar>
          <w:top w:w="0" w:type="dxa"/>
          <w:left w:w="108" w:type="dxa"/>
          <w:bottom w:w="0" w:type="dxa"/>
          <w:right w:w="108" w:type="dxa"/>
        </w:tblCellMar>
      </w:tblPr>
      <w:tblGrid>
        <w:gridCol w:w="2013"/>
        <w:gridCol w:w="2012"/>
        <w:gridCol w:w="5261"/>
      </w:tblGrid>
      <w:tr>
        <w:tblPrEx>
          <w:tblCellMar>
            <w:top w:w="0" w:type="dxa"/>
            <w:left w:w="108" w:type="dxa"/>
            <w:bottom w:w="0" w:type="dxa"/>
            <w:right w:w="108" w:type="dxa"/>
          </w:tblCellMar>
        </w:tblPrEx>
        <w:tc>
          <w:tcPr>
            <w:tcW w:w="4025" w:type="dxa"/>
            <w:gridSpan w:val="2"/>
            <w:tcBorders>
              <w:top w:val="single" w:color="000000" w:sz="12" w:space="0"/>
              <w:bottom w:val="dotted" w:color="auto" w:sz="4" w:space="0"/>
              <w:right w:val="dotted" w:color="auto" w:sz="4" w:space="0"/>
            </w:tcBorders>
          </w:tcPr>
          <w:p>
            <w:pPr>
              <w:snapToGrid w:val="0"/>
              <w:spacing w:line="240" w:lineRule="atLeast"/>
              <w:ind w:firstLine="0" w:firstLineChars="0"/>
              <w:jc w:val="center"/>
              <w:rPr>
                <w:sz w:val="21"/>
              </w:rPr>
            </w:pPr>
            <w:r>
              <w:rPr>
                <w:rFonts w:hint="eastAsia"/>
                <w:sz w:val="21"/>
              </w:rPr>
              <w:t>噪声排放限值</w:t>
            </w:r>
          </w:p>
        </w:tc>
        <w:tc>
          <w:tcPr>
            <w:tcW w:w="5261" w:type="dxa"/>
            <w:vMerge w:val="restart"/>
            <w:tcBorders>
              <w:top w:val="single" w:color="000000" w:sz="12" w:space="0"/>
              <w:left w:val="dotted" w:color="auto" w:sz="4" w:space="0"/>
              <w:bottom w:val="single" w:color="auto" w:sz="12" w:space="0"/>
            </w:tcBorders>
          </w:tcPr>
          <w:p>
            <w:pPr>
              <w:snapToGrid w:val="0"/>
              <w:spacing w:line="240" w:lineRule="atLeast"/>
              <w:ind w:firstLine="0" w:firstLineChars="0"/>
              <w:jc w:val="center"/>
              <w:rPr>
                <w:sz w:val="21"/>
              </w:rPr>
            </w:pPr>
            <w:r>
              <w:rPr>
                <w:rFonts w:hint="eastAsia"/>
                <w:sz w:val="21"/>
              </w:rPr>
              <w:t>标注来源</w:t>
            </w:r>
          </w:p>
        </w:tc>
      </w:tr>
      <w:tr>
        <w:tblPrEx>
          <w:tblCellMar>
            <w:top w:w="0" w:type="dxa"/>
            <w:left w:w="108" w:type="dxa"/>
            <w:bottom w:w="0" w:type="dxa"/>
            <w:right w:w="108" w:type="dxa"/>
          </w:tblCellMar>
        </w:tblPrEx>
        <w:tc>
          <w:tcPr>
            <w:tcW w:w="2013" w:type="dxa"/>
            <w:tcBorders>
              <w:top w:val="dotted" w:color="auto" w:sz="4" w:space="0"/>
              <w:left w:val="nil"/>
              <w:bottom w:val="single" w:color="auto" w:sz="12" w:space="0"/>
              <w:right w:val="dotted" w:color="auto" w:sz="4" w:space="0"/>
            </w:tcBorders>
          </w:tcPr>
          <w:p>
            <w:pPr>
              <w:snapToGrid w:val="0"/>
              <w:spacing w:line="240" w:lineRule="atLeast"/>
              <w:ind w:firstLine="0" w:firstLineChars="0"/>
              <w:jc w:val="center"/>
              <w:rPr>
                <w:rFonts w:hAnsi="宋体"/>
                <w:sz w:val="21"/>
              </w:rPr>
            </w:pPr>
            <w:r>
              <w:rPr>
                <w:rFonts w:hint="eastAsia" w:hAnsi="宋体"/>
                <w:sz w:val="21"/>
              </w:rPr>
              <w:t>昼间</w:t>
            </w:r>
          </w:p>
        </w:tc>
        <w:tc>
          <w:tcPr>
            <w:tcW w:w="2012" w:type="dxa"/>
            <w:tcBorders>
              <w:top w:val="dotted" w:color="auto" w:sz="4" w:space="0"/>
              <w:left w:val="dotted" w:color="auto" w:sz="4" w:space="0"/>
              <w:bottom w:val="single" w:color="auto" w:sz="12" w:space="0"/>
              <w:right w:val="dotted" w:color="auto" w:sz="4" w:space="0"/>
            </w:tcBorders>
          </w:tcPr>
          <w:p>
            <w:pPr>
              <w:snapToGrid w:val="0"/>
              <w:spacing w:line="240" w:lineRule="atLeast"/>
              <w:ind w:firstLine="0" w:firstLineChars="0"/>
              <w:jc w:val="center"/>
              <w:rPr>
                <w:rFonts w:hAnsi="宋体"/>
                <w:sz w:val="21"/>
              </w:rPr>
            </w:pPr>
            <w:r>
              <w:rPr>
                <w:rFonts w:hint="eastAsia" w:hAnsi="宋体"/>
                <w:sz w:val="21"/>
              </w:rPr>
              <w:t>夜间</w:t>
            </w:r>
          </w:p>
        </w:tc>
        <w:tc>
          <w:tcPr>
            <w:tcW w:w="5261" w:type="dxa"/>
            <w:vMerge w:val="continue"/>
            <w:tcBorders>
              <w:top w:val="single" w:color="000000" w:sz="12" w:space="0"/>
              <w:left w:val="dotted" w:color="auto" w:sz="4" w:space="0"/>
              <w:bottom w:val="single" w:color="auto" w:sz="12" w:space="0"/>
              <w:right w:val="nil"/>
            </w:tcBorders>
          </w:tcPr>
          <w:p>
            <w:pPr>
              <w:widowControl/>
              <w:spacing w:line="240" w:lineRule="atLeast"/>
              <w:ind w:firstLine="0" w:firstLineChars="0"/>
              <w:jc w:val="center"/>
              <w:rPr>
                <w:sz w:val="21"/>
              </w:rPr>
            </w:pPr>
          </w:p>
        </w:tc>
      </w:tr>
      <w:tr>
        <w:tblPrEx>
          <w:tblCellMar>
            <w:top w:w="0" w:type="dxa"/>
            <w:left w:w="108" w:type="dxa"/>
            <w:bottom w:w="0" w:type="dxa"/>
            <w:right w:w="108" w:type="dxa"/>
          </w:tblCellMar>
        </w:tblPrEx>
        <w:tc>
          <w:tcPr>
            <w:tcW w:w="2013" w:type="dxa"/>
            <w:tcBorders>
              <w:top w:val="single" w:color="auto" w:sz="12" w:space="0"/>
              <w:left w:val="nil"/>
              <w:bottom w:val="single" w:color="000000" w:sz="12" w:space="0"/>
              <w:right w:val="dotted" w:color="auto" w:sz="4" w:space="0"/>
            </w:tcBorders>
          </w:tcPr>
          <w:p>
            <w:pPr>
              <w:snapToGrid w:val="0"/>
              <w:spacing w:line="240" w:lineRule="atLeast"/>
              <w:ind w:firstLine="0" w:firstLineChars="0"/>
              <w:jc w:val="center"/>
              <w:rPr>
                <w:sz w:val="21"/>
              </w:rPr>
            </w:pPr>
            <w:r>
              <w:rPr>
                <w:sz w:val="21"/>
              </w:rPr>
              <w:t>70</w:t>
            </w:r>
          </w:p>
        </w:tc>
        <w:tc>
          <w:tcPr>
            <w:tcW w:w="2012" w:type="dxa"/>
            <w:tcBorders>
              <w:top w:val="single" w:color="auto" w:sz="12" w:space="0"/>
              <w:left w:val="dotted" w:color="auto" w:sz="4" w:space="0"/>
              <w:bottom w:val="single" w:color="000000" w:sz="12" w:space="0"/>
              <w:right w:val="dotted" w:color="auto" w:sz="4" w:space="0"/>
            </w:tcBorders>
          </w:tcPr>
          <w:p>
            <w:pPr>
              <w:snapToGrid w:val="0"/>
              <w:spacing w:line="240" w:lineRule="atLeast"/>
              <w:ind w:firstLine="0" w:firstLineChars="0"/>
              <w:jc w:val="center"/>
              <w:rPr>
                <w:sz w:val="21"/>
              </w:rPr>
            </w:pPr>
            <w:r>
              <w:rPr>
                <w:sz w:val="21"/>
              </w:rPr>
              <w:t>55</w:t>
            </w:r>
          </w:p>
        </w:tc>
        <w:tc>
          <w:tcPr>
            <w:tcW w:w="5261" w:type="dxa"/>
            <w:tcBorders>
              <w:top w:val="single" w:color="auto" w:sz="12" w:space="0"/>
              <w:left w:val="dotted" w:color="auto" w:sz="4" w:space="0"/>
              <w:bottom w:val="single" w:color="000000" w:sz="12" w:space="0"/>
              <w:right w:val="nil"/>
            </w:tcBorders>
          </w:tcPr>
          <w:p>
            <w:pPr>
              <w:snapToGrid w:val="0"/>
              <w:spacing w:line="240" w:lineRule="atLeast"/>
              <w:ind w:firstLine="0" w:firstLineChars="0"/>
              <w:jc w:val="center"/>
              <w:rPr>
                <w:sz w:val="21"/>
              </w:rPr>
            </w:pPr>
            <w:r>
              <w:rPr>
                <w:rFonts w:hint="eastAsia"/>
                <w:sz w:val="21"/>
              </w:rPr>
              <w:t>《</w:t>
            </w:r>
            <w:r>
              <w:rPr>
                <w:rFonts w:hint="eastAsia" w:hAnsi="宋体"/>
                <w:sz w:val="21"/>
                <w:lang w:val="zh-CN"/>
              </w:rPr>
              <w:t>建筑施工场界环境噪声排放标准</w:t>
            </w:r>
            <w:r>
              <w:rPr>
                <w:rFonts w:hint="eastAsia"/>
                <w:sz w:val="21"/>
              </w:rPr>
              <w:t>》</w:t>
            </w:r>
            <w:r>
              <w:rPr>
                <w:sz w:val="21"/>
              </w:rPr>
              <w:t>(GB12523-2011)</w:t>
            </w:r>
          </w:p>
        </w:tc>
      </w:tr>
    </w:tbl>
    <w:p>
      <w:pPr>
        <w:autoSpaceDE w:val="0"/>
        <w:autoSpaceDN w:val="0"/>
        <w:adjustRightInd w:val="0"/>
        <w:snapToGrid w:val="0"/>
        <w:ind w:firstLine="480"/>
        <w:rPr>
          <w:lang w:val="zh-CN"/>
        </w:rPr>
      </w:pPr>
    </w:p>
    <w:p>
      <w:pPr>
        <w:pStyle w:val="161"/>
        <w:ind w:firstLine="480"/>
        <w:outlineLvl w:val="0"/>
        <w:rPr>
          <w:rFonts w:cs="Times New Roman"/>
          <w:szCs w:val="20"/>
        </w:rPr>
      </w:pPr>
      <w:r>
        <w:fldChar w:fldCharType="begin"/>
      </w:r>
      <w:r>
        <w:rPr>
          <w:rFonts w:hint="eastAsia"/>
        </w:rPr>
        <w:instrText xml:space="preserve">= 4 \* GB2</w:instrText>
      </w:r>
      <w:r>
        <w:fldChar w:fldCharType="separate"/>
      </w:r>
      <w:bookmarkStart w:id="112" w:name="_Toc13760093"/>
      <w:bookmarkStart w:id="113" w:name="_Toc13582045"/>
      <w:r>
        <w:rPr>
          <w:rFonts w:hint="eastAsia"/>
        </w:rPr>
        <w:t>⑷</w:t>
      </w:r>
      <w:r>
        <w:fldChar w:fldCharType="end"/>
      </w:r>
      <w:r>
        <w:rPr>
          <w:rFonts w:hint="eastAsia" w:hAnsi="宋体"/>
        </w:rPr>
        <w:t>固体废弃物</w:t>
      </w:r>
      <w:bookmarkEnd w:id="112"/>
      <w:bookmarkEnd w:id="113"/>
    </w:p>
    <w:p>
      <w:pPr>
        <w:pStyle w:val="161"/>
        <w:ind w:firstLine="480"/>
      </w:pPr>
      <w:bookmarkStart w:id="114" w:name="OLE_LINK18"/>
      <w:r>
        <w:rPr>
          <w:rFonts w:hint="eastAsia"/>
        </w:rPr>
        <w:t>危险废物分类执行《国家危险废物名录</w:t>
      </w:r>
      <w:r>
        <w:t>(2016</w:t>
      </w:r>
      <w:r>
        <w:rPr>
          <w:rFonts w:hint="eastAsia"/>
        </w:rPr>
        <w:t>本</w:t>
      </w:r>
      <w:r>
        <w:t>)</w:t>
      </w:r>
      <w:r>
        <w:rPr>
          <w:rFonts w:hint="eastAsia"/>
        </w:rPr>
        <w:t>》、《危险废物鉴别标准》；</w:t>
      </w:r>
    </w:p>
    <w:p>
      <w:pPr>
        <w:pStyle w:val="161"/>
        <w:ind w:firstLine="480"/>
      </w:pPr>
      <w:r>
        <w:rPr>
          <w:rFonts w:hint="eastAsia"/>
        </w:rPr>
        <w:t>《危险废物贮存污染控制标准》</w:t>
      </w:r>
      <w:r>
        <w:t>(GB18597-2001)</w:t>
      </w:r>
      <w:r>
        <w:rPr>
          <w:rFonts w:hint="eastAsia"/>
        </w:rPr>
        <w:t>及修改单</w:t>
      </w:r>
      <w:r>
        <w:t>(2013</w:t>
      </w:r>
      <w:r>
        <w:rPr>
          <w:rFonts w:hint="eastAsia"/>
        </w:rPr>
        <w:t>年修改</w:t>
      </w:r>
      <w:r>
        <w:t>)</w:t>
      </w:r>
      <w:r>
        <w:rPr>
          <w:rFonts w:hint="eastAsia"/>
        </w:rPr>
        <w:t>；</w:t>
      </w:r>
    </w:p>
    <w:p>
      <w:pPr>
        <w:pStyle w:val="161"/>
        <w:ind w:firstLine="480"/>
      </w:pPr>
      <w:r>
        <w:rPr>
          <w:rFonts w:hint="eastAsia"/>
        </w:rPr>
        <w:t>《危险废物填埋污染控制标准》</w:t>
      </w:r>
      <w:r>
        <w:t>(GB18598-2001)</w:t>
      </w:r>
      <w:r>
        <w:rPr>
          <w:rFonts w:hint="eastAsia"/>
        </w:rPr>
        <w:t>及修改单</w:t>
      </w:r>
      <w:r>
        <w:t>(2013</w:t>
      </w:r>
      <w:r>
        <w:rPr>
          <w:rFonts w:hint="eastAsia"/>
        </w:rPr>
        <w:t>年修改</w:t>
      </w:r>
      <w:r>
        <w:t>)</w:t>
      </w:r>
      <w:r>
        <w:rPr>
          <w:rFonts w:hint="eastAsia"/>
        </w:rPr>
        <w:t>；</w:t>
      </w:r>
    </w:p>
    <w:p>
      <w:pPr>
        <w:pStyle w:val="161"/>
        <w:ind w:firstLine="480"/>
      </w:pPr>
      <w:r>
        <w:rPr>
          <w:rFonts w:hint="eastAsia"/>
        </w:rPr>
        <w:t>《一般工业固体废物贮存、处置场污染控制标准》</w:t>
      </w:r>
      <w:r>
        <w:t>(GB18599-2001)</w:t>
      </w:r>
      <w:r>
        <w:rPr>
          <w:rFonts w:hint="eastAsia"/>
        </w:rPr>
        <w:t>及修改单</w:t>
      </w:r>
      <w:r>
        <w:t>(2013</w:t>
      </w:r>
      <w:r>
        <w:rPr>
          <w:rFonts w:hint="eastAsia"/>
        </w:rPr>
        <w:t>年</w:t>
      </w:r>
      <w:bookmarkStart w:id="115" w:name="OLE_LINK11"/>
      <w:bookmarkStart w:id="116" w:name="OLE_LINK12"/>
      <w:r>
        <w:rPr>
          <w:rFonts w:hint="eastAsia"/>
        </w:rPr>
        <w:t>修改</w:t>
      </w:r>
      <w:bookmarkEnd w:id="115"/>
      <w:bookmarkEnd w:id="116"/>
      <w:r>
        <w:t>)</w:t>
      </w:r>
      <w:r>
        <w:rPr>
          <w:rFonts w:hint="eastAsia"/>
        </w:rPr>
        <w:t>。</w:t>
      </w:r>
      <w:bookmarkEnd w:id="114"/>
    </w:p>
    <w:p>
      <w:pPr>
        <w:pStyle w:val="4"/>
      </w:pPr>
      <w:bookmarkStart w:id="117" w:name="_Toc13760094"/>
      <w:r>
        <w:rPr>
          <w:rFonts w:hint="eastAsia"/>
        </w:rPr>
        <w:t>2.5评价等级</w:t>
      </w:r>
      <w:bookmarkEnd w:id="117"/>
    </w:p>
    <w:p>
      <w:pPr>
        <w:pStyle w:val="5"/>
      </w:pPr>
      <w:bookmarkStart w:id="118" w:name="_Toc13760095"/>
      <w:r>
        <w:rPr>
          <w:rFonts w:hint="eastAsia"/>
        </w:rPr>
        <w:t>2.5.1环境空气</w:t>
      </w:r>
      <w:bookmarkEnd w:id="118"/>
    </w:p>
    <w:p>
      <w:pPr>
        <w:pStyle w:val="739"/>
        <w:ind w:firstLine="480"/>
      </w:pPr>
      <w:r>
        <w:rPr>
          <w:rFonts w:hint="eastAsia"/>
        </w:rPr>
        <w:t>根据《环境影响评价技术导则大气环境》</w:t>
      </w:r>
      <w:r>
        <w:t>(HJ2.2-2018)</w:t>
      </w:r>
      <w:r>
        <w:rPr>
          <w:rFonts w:hint="eastAsia"/>
        </w:rPr>
        <w:t>中提供的确定评价工作的分级方法：选择推荐模式中的估算模式对项目的大气环境影响评价工作进行分级。结合项目的初步工程分析结果，选择项目生产环节正常排放的主要污染物及排放参数，分别计算每一种污染物的最大地面浓度占标率</w:t>
      </w:r>
      <w:r>
        <w:t>P</w:t>
      </w:r>
      <w:r>
        <w:rPr>
          <w:vertAlign w:val="subscript"/>
        </w:rPr>
        <w:t>i</w:t>
      </w:r>
      <w:r>
        <w:rPr>
          <w:rFonts w:hint="eastAsia"/>
        </w:rPr>
        <w:t>及第</w:t>
      </w:r>
      <w:r>
        <w:t>i</w:t>
      </w:r>
      <w:r>
        <w:rPr>
          <w:rFonts w:hint="eastAsia"/>
        </w:rPr>
        <w:t>个污染物的地面浓度达标准限值</w:t>
      </w:r>
      <w:r>
        <w:t>10%</w:t>
      </w:r>
      <w:r>
        <w:rPr>
          <w:rFonts w:hint="eastAsia"/>
        </w:rPr>
        <w:t>时所对应的最远距离</w:t>
      </w:r>
      <w:r>
        <w:t>D</w:t>
      </w:r>
      <w:r>
        <w:rPr>
          <w:vertAlign w:val="subscript"/>
        </w:rPr>
        <w:t>10%</w:t>
      </w:r>
      <w:r>
        <w:rPr>
          <w:rFonts w:hint="eastAsia"/>
        </w:rPr>
        <w:t>，其中</w:t>
      </w:r>
      <w:r>
        <w:t>P</w:t>
      </w:r>
      <w:r>
        <w:rPr>
          <w:vertAlign w:val="subscript"/>
        </w:rPr>
        <w:t>i</w:t>
      </w:r>
      <w:r>
        <w:rPr>
          <w:rFonts w:hint="eastAsia"/>
        </w:rPr>
        <w:t>定义为：</w:t>
      </w:r>
    </w:p>
    <w:p>
      <w:pPr>
        <w:pStyle w:val="739"/>
        <w:ind w:firstLine="480"/>
      </w:pPr>
      <w:r>
        <w:rPr>
          <w:rFonts w:eastAsiaTheme="minorEastAsia"/>
          <w:szCs w:val="22"/>
        </w:rPr>
        <w:object>
          <v:shape id="_x0000_i1025" o:spt="75" type="#_x0000_t75" style="height:29.5pt;width:87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p>
    <w:p>
      <w:pPr>
        <w:pStyle w:val="739"/>
        <w:ind w:firstLine="480"/>
      </w:pPr>
      <w:r>
        <w:rPr>
          <w:rFonts w:hint="eastAsia"/>
        </w:rPr>
        <w:t>式中：</w:t>
      </w:r>
      <w:r>
        <w:t>P</w:t>
      </w:r>
      <w:r>
        <w:rPr>
          <w:vertAlign w:val="subscript"/>
        </w:rPr>
        <w:t>i</w:t>
      </w:r>
      <w:r>
        <w:t>—</w:t>
      </w:r>
      <w:r>
        <w:rPr>
          <w:rFonts w:hint="eastAsia"/>
        </w:rPr>
        <w:t>第</w:t>
      </w:r>
      <w:r>
        <w:t>i</w:t>
      </w:r>
      <w:r>
        <w:rPr>
          <w:rFonts w:hint="eastAsia"/>
        </w:rPr>
        <w:t>个污染物的最大地面浓度占标率，</w:t>
      </w:r>
      <w:r>
        <w:t>%</w:t>
      </w:r>
      <w:r>
        <w:rPr>
          <w:rFonts w:hint="eastAsia"/>
        </w:rPr>
        <w:t>；</w:t>
      </w:r>
    </w:p>
    <w:p>
      <w:pPr>
        <w:pStyle w:val="739"/>
        <w:ind w:firstLine="480"/>
      </w:pPr>
      <w:bookmarkStart w:id="119" w:name="_Toc514742953"/>
      <w:bookmarkStart w:id="120" w:name="_Toc528746716"/>
      <w:bookmarkStart w:id="121" w:name="_Toc9402963"/>
      <w:bookmarkStart w:id="122" w:name="_Toc527990679"/>
      <w:bookmarkStart w:id="123" w:name="_Toc5286229"/>
      <w:r>
        <w:t>C</w:t>
      </w:r>
      <w:r>
        <w:rPr>
          <w:vertAlign w:val="subscript"/>
        </w:rPr>
        <w:t>i</w:t>
      </w:r>
      <w:r>
        <w:t>—</w:t>
      </w:r>
      <w:r>
        <w:rPr>
          <w:rFonts w:hint="eastAsia"/>
        </w:rPr>
        <w:t>采用估算模式计算出的第</w:t>
      </w:r>
      <w:r>
        <w:t>i</w:t>
      </w:r>
      <w:r>
        <w:rPr>
          <w:rFonts w:hint="eastAsia"/>
        </w:rPr>
        <w:t>个污染物的最大地面浓度，</w:t>
      </w:r>
      <w:r>
        <w:t>mg/m</w:t>
      </w:r>
      <w:r>
        <w:rPr>
          <w:vertAlign w:val="superscript"/>
        </w:rPr>
        <w:t>3</w:t>
      </w:r>
      <w:r>
        <w:rPr>
          <w:rFonts w:hint="eastAsia"/>
        </w:rPr>
        <w:t>；</w:t>
      </w:r>
      <w:bookmarkEnd w:id="119"/>
      <w:bookmarkEnd w:id="120"/>
      <w:bookmarkEnd w:id="121"/>
      <w:bookmarkEnd w:id="122"/>
      <w:bookmarkEnd w:id="123"/>
    </w:p>
    <w:p>
      <w:pPr>
        <w:pStyle w:val="739"/>
        <w:ind w:firstLine="480"/>
      </w:pPr>
      <w:r>
        <w:t>C</w:t>
      </w:r>
      <w:r>
        <w:rPr>
          <w:vertAlign w:val="subscript"/>
        </w:rPr>
        <w:t>oi</w:t>
      </w:r>
      <w:r>
        <w:t>—</w:t>
      </w:r>
      <w:r>
        <w:rPr>
          <w:rFonts w:hint="eastAsia"/>
        </w:rPr>
        <w:t>第</w:t>
      </w:r>
      <w:r>
        <w:t>i</w:t>
      </w:r>
      <w:r>
        <w:rPr>
          <w:rFonts w:hint="eastAsia"/>
        </w:rPr>
        <w:t>个污染物的环境空气质量标准，</w:t>
      </w:r>
      <w:r>
        <w:t>mg/m</w:t>
      </w:r>
      <w:r>
        <w:rPr>
          <w:vertAlign w:val="superscript"/>
        </w:rPr>
        <w:t>3</w:t>
      </w:r>
      <w:r>
        <w:rPr>
          <w:rFonts w:hint="eastAsia"/>
        </w:rPr>
        <w:t>。</w:t>
      </w:r>
    </w:p>
    <w:p>
      <w:pPr>
        <w:pStyle w:val="739"/>
        <w:ind w:firstLine="480"/>
        <w:rPr>
          <w:bCs/>
        </w:rPr>
      </w:pPr>
      <w:r>
        <w:t>C</w:t>
      </w:r>
      <w:r>
        <w:rPr>
          <w:vertAlign w:val="subscript"/>
        </w:rPr>
        <w:t>oi</w:t>
      </w:r>
      <w:r>
        <w:t>—</w:t>
      </w:r>
      <w:r>
        <w:rPr>
          <w:rFonts w:hint="eastAsia"/>
        </w:rPr>
        <w:t>一般选用</w:t>
      </w:r>
      <w:r>
        <w:t>GB3095</w:t>
      </w:r>
      <w:r>
        <w:rPr>
          <w:rFonts w:hint="eastAsia"/>
        </w:rPr>
        <w:t>中</w:t>
      </w:r>
      <w:r>
        <w:t>1</w:t>
      </w:r>
      <w:r>
        <w:rPr>
          <w:rFonts w:hint="eastAsia"/>
        </w:rPr>
        <w:t>小时平均取样时间的二级标准的浓度限值</w:t>
      </w:r>
      <w:r>
        <w:t>(</w:t>
      </w:r>
      <w:r>
        <w:rPr>
          <w:rFonts w:hint="eastAsia"/>
        </w:rPr>
        <w:t>单位：</w:t>
      </w:r>
      <w:r>
        <w:t>mg/m</w:t>
      </w:r>
      <w:r>
        <w:rPr>
          <w:vertAlign w:val="superscript"/>
        </w:rPr>
        <w:t>3</w:t>
      </w:r>
      <w:r>
        <w:t>)</w:t>
      </w:r>
      <w:r>
        <w:rPr>
          <w:rFonts w:hint="eastAsia"/>
        </w:rPr>
        <w:t>；对于没有小时浓度限值的污染物，可取日平均浓度限值的三倍值</w:t>
      </w:r>
      <w:r>
        <w:rPr>
          <w:rFonts w:hint="eastAsia"/>
          <w:bCs/>
        </w:rPr>
        <w:t>。</w:t>
      </w:r>
    </w:p>
    <w:p>
      <w:pPr>
        <w:pStyle w:val="739"/>
        <w:ind w:firstLine="480"/>
      </w:pPr>
      <w:r>
        <w:rPr>
          <w:rFonts w:hint="eastAsia"/>
        </w:rPr>
        <w:t>根据《环境影响评价技术导则大气环境》</w:t>
      </w:r>
      <w:r>
        <w:t>(HJ2.2-2018)</w:t>
      </w:r>
      <w:r>
        <w:rPr>
          <w:rFonts w:hint="eastAsia"/>
        </w:rPr>
        <w:t>中环境影响评价工作等级判据</w:t>
      </w:r>
      <w:r>
        <w:t>(</w:t>
      </w:r>
      <w:r>
        <w:rPr>
          <w:rFonts w:hint="eastAsia"/>
        </w:rPr>
        <w:t>见表</w:t>
      </w:r>
      <w:r>
        <w:t>2.</w:t>
      </w:r>
      <w:r>
        <w:rPr>
          <w:rFonts w:hint="eastAsia"/>
        </w:rPr>
        <w:t>5</w:t>
      </w:r>
      <w:r>
        <w:t>-1)</w:t>
      </w:r>
      <w:r>
        <w:rPr>
          <w:rFonts w:hint="eastAsia"/>
        </w:rPr>
        <w:t>及推荐模式清单中估算模式，分别计算不同污染源的下风向轴线浓度，并计算相应占标率。</w:t>
      </w:r>
    </w:p>
    <w:p>
      <w:pPr>
        <w:spacing w:line="500" w:lineRule="exact"/>
        <w:ind w:firstLine="480"/>
        <w:rPr>
          <w:rFonts w:cs="Times New Roman"/>
        </w:rPr>
      </w:pPr>
      <w:r>
        <w:rPr>
          <w:rFonts w:hint="eastAsia" w:cs="Times New Roman"/>
        </w:rPr>
        <w:t>表</w:t>
      </w:r>
      <w:r>
        <w:rPr>
          <w:rFonts w:cs="Times New Roman"/>
        </w:rPr>
        <w:t>2.</w:t>
      </w:r>
      <w:r>
        <w:rPr>
          <w:rFonts w:hint="eastAsia" w:cs="Times New Roman"/>
        </w:rPr>
        <w:t>5—</w:t>
      </w:r>
      <w:r>
        <w:rPr>
          <w:rFonts w:cs="Times New Roman"/>
        </w:rPr>
        <w:t xml:space="preserve">1  </w:t>
      </w:r>
      <w:r>
        <w:rPr>
          <w:rFonts w:hint="eastAsia" w:cs="Times New Roman"/>
        </w:rPr>
        <w:t>大气环境影响评价工作等级判据一览表</w:t>
      </w:r>
    </w:p>
    <w:tbl>
      <w:tblPr>
        <w:tblStyle w:val="88"/>
        <w:tblW w:w="9286" w:type="dxa"/>
        <w:jc w:val="center"/>
        <w:tblBorders>
          <w:top w:val="single" w:color="000000" w:sz="12" w:space="0"/>
          <w:left w:val="none" w:color="auto" w:sz="0" w:space="0"/>
          <w:bottom w:val="single" w:color="000000" w:sz="12" w:space="0"/>
          <w:right w:val="none" w:color="auto" w:sz="0" w:space="0"/>
          <w:insideH w:val="dotted" w:color="auto" w:sz="8" w:space="0"/>
          <w:insideV w:val="dotted" w:color="auto" w:sz="8" w:space="0"/>
        </w:tblBorders>
        <w:tblLayout w:type="fixed"/>
        <w:tblCellMar>
          <w:top w:w="0" w:type="dxa"/>
          <w:left w:w="108" w:type="dxa"/>
          <w:bottom w:w="0" w:type="dxa"/>
          <w:right w:w="108" w:type="dxa"/>
        </w:tblCellMar>
      </w:tblPr>
      <w:tblGrid>
        <w:gridCol w:w="3096"/>
        <w:gridCol w:w="6190"/>
      </w:tblGrid>
      <w:tr>
        <w:tblPrEx>
          <w:tblBorders>
            <w:top w:val="single" w:color="000000" w:sz="12" w:space="0"/>
            <w:left w:val="none" w:color="auto" w:sz="0" w:space="0"/>
            <w:bottom w:val="single" w:color="000000" w:sz="12" w:space="0"/>
            <w:right w:val="none" w:color="auto" w:sz="0" w:space="0"/>
            <w:insideH w:val="dotted" w:color="auto" w:sz="8" w:space="0"/>
            <w:insideV w:val="dotted" w:color="auto" w:sz="8" w:space="0"/>
          </w:tblBorders>
          <w:tblCellMar>
            <w:top w:w="0" w:type="dxa"/>
            <w:left w:w="108" w:type="dxa"/>
            <w:bottom w:w="0" w:type="dxa"/>
            <w:right w:w="108" w:type="dxa"/>
          </w:tblCellMar>
        </w:tblPrEx>
        <w:trPr>
          <w:trHeight w:val="340" w:hRule="exact"/>
          <w:jc w:val="center"/>
        </w:trPr>
        <w:tc>
          <w:tcPr>
            <w:tcW w:w="3096" w:type="dxa"/>
            <w:tcBorders>
              <w:top w:val="single" w:color="000000" w:sz="12" w:space="0"/>
              <w:left w:val="nil"/>
              <w:bottom w:val="single" w:color="000000" w:sz="12"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评价工作等级</w:t>
            </w:r>
          </w:p>
        </w:tc>
        <w:tc>
          <w:tcPr>
            <w:tcW w:w="6190" w:type="dxa"/>
            <w:tcBorders>
              <w:top w:val="single" w:color="000000" w:sz="12" w:space="0"/>
              <w:left w:val="dotted" w:color="auto" w:sz="8" w:space="0"/>
              <w:bottom w:val="single" w:color="000000" w:sz="12"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评价工作等级判据</w:t>
            </w:r>
          </w:p>
        </w:tc>
      </w:tr>
      <w:tr>
        <w:tblPrEx>
          <w:tblBorders>
            <w:top w:val="single" w:color="000000" w:sz="12" w:space="0"/>
            <w:left w:val="none" w:color="auto" w:sz="0" w:space="0"/>
            <w:bottom w:val="single" w:color="000000" w:sz="12" w:space="0"/>
            <w:right w:val="none" w:color="auto" w:sz="0" w:space="0"/>
            <w:insideH w:val="dotted" w:color="auto" w:sz="8" w:space="0"/>
            <w:insideV w:val="dotted" w:color="auto" w:sz="8" w:space="0"/>
          </w:tblBorders>
          <w:tblCellMar>
            <w:top w:w="0" w:type="dxa"/>
            <w:left w:w="108" w:type="dxa"/>
            <w:bottom w:w="0" w:type="dxa"/>
            <w:right w:w="108" w:type="dxa"/>
          </w:tblCellMar>
        </w:tblPrEx>
        <w:trPr>
          <w:trHeight w:val="340" w:hRule="exact"/>
          <w:jc w:val="center"/>
        </w:trPr>
        <w:tc>
          <w:tcPr>
            <w:tcW w:w="3096" w:type="dxa"/>
            <w:tcBorders>
              <w:top w:val="single" w:color="000000" w:sz="12"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一级</w:t>
            </w:r>
          </w:p>
        </w:tc>
        <w:tc>
          <w:tcPr>
            <w:tcW w:w="6190" w:type="dxa"/>
            <w:tcBorders>
              <w:top w:val="single" w:color="000000"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P</w:t>
            </w:r>
            <w:r>
              <w:rPr>
                <w:rFonts w:cs="Times New Roman"/>
                <w:sz w:val="21"/>
                <w:vertAlign w:val="subscript"/>
              </w:rPr>
              <w:t>max</w:t>
            </w:r>
            <w:r>
              <w:rPr>
                <w:rFonts w:cs="Times New Roman"/>
                <w:sz w:val="21"/>
              </w:rPr>
              <w:t>≥10%</w:t>
            </w:r>
          </w:p>
        </w:tc>
      </w:tr>
      <w:tr>
        <w:tblPrEx>
          <w:tblBorders>
            <w:top w:val="single" w:color="000000" w:sz="12" w:space="0"/>
            <w:left w:val="none" w:color="auto" w:sz="0" w:space="0"/>
            <w:bottom w:val="single" w:color="000000" w:sz="12" w:space="0"/>
            <w:right w:val="none" w:color="auto" w:sz="0" w:space="0"/>
            <w:insideH w:val="dotted" w:color="auto" w:sz="8" w:space="0"/>
            <w:insideV w:val="dotted" w:color="auto" w:sz="8" w:space="0"/>
          </w:tblBorders>
          <w:tblCellMar>
            <w:top w:w="0" w:type="dxa"/>
            <w:left w:w="108" w:type="dxa"/>
            <w:bottom w:w="0" w:type="dxa"/>
            <w:right w:w="108" w:type="dxa"/>
          </w:tblCellMar>
        </w:tblPrEx>
        <w:trPr>
          <w:trHeight w:val="340" w:hRule="exact"/>
          <w:jc w:val="center"/>
        </w:trPr>
        <w:tc>
          <w:tcPr>
            <w:tcW w:w="309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二级</w:t>
            </w:r>
          </w:p>
        </w:tc>
        <w:tc>
          <w:tcPr>
            <w:tcW w:w="6190"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1%≤P</w:t>
            </w:r>
            <w:r>
              <w:rPr>
                <w:rFonts w:cs="Times New Roman"/>
                <w:sz w:val="21"/>
                <w:vertAlign w:val="subscript"/>
              </w:rPr>
              <w:t>max</w:t>
            </w:r>
            <w:r>
              <w:rPr>
                <w:rFonts w:hint="eastAsia" w:cs="Times New Roman"/>
                <w:sz w:val="21"/>
              </w:rPr>
              <w:t>＜</w:t>
            </w:r>
            <w:r>
              <w:rPr>
                <w:rFonts w:cs="Times New Roman"/>
                <w:sz w:val="21"/>
              </w:rPr>
              <w:t>10%</w:t>
            </w:r>
          </w:p>
        </w:tc>
      </w:tr>
      <w:tr>
        <w:tblPrEx>
          <w:tblBorders>
            <w:top w:val="single" w:color="000000" w:sz="12" w:space="0"/>
            <w:left w:val="none" w:color="auto" w:sz="0" w:space="0"/>
            <w:bottom w:val="single" w:color="000000" w:sz="12" w:space="0"/>
            <w:right w:val="none" w:color="auto" w:sz="0" w:space="0"/>
            <w:insideH w:val="dotted" w:color="auto" w:sz="8" w:space="0"/>
            <w:insideV w:val="dotted" w:color="auto" w:sz="8" w:space="0"/>
          </w:tblBorders>
          <w:tblCellMar>
            <w:top w:w="0" w:type="dxa"/>
            <w:left w:w="108" w:type="dxa"/>
            <w:bottom w:w="0" w:type="dxa"/>
            <w:right w:w="108" w:type="dxa"/>
          </w:tblCellMar>
        </w:tblPrEx>
        <w:trPr>
          <w:trHeight w:val="340" w:hRule="exact"/>
          <w:jc w:val="center"/>
        </w:trPr>
        <w:tc>
          <w:tcPr>
            <w:tcW w:w="3096" w:type="dxa"/>
            <w:tcBorders>
              <w:top w:val="dotted" w:color="auto" w:sz="8" w:space="0"/>
              <w:left w:val="nil"/>
              <w:bottom w:val="single" w:color="000000" w:sz="12"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三级</w:t>
            </w:r>
          </w:p>
        </w:tc>
        <w:tc>
          <w:tcPr>
            <w:tcW w:w="6190" w:type="dxa"/>
            <w:tcBorders>
              <w:top w:val="dotted" w:color="auto" w:sz="8" w:space="0"/>
              <w:left w:val="dotted" w:color="auto" w:sz="8" w:space="0"/>
              <w:bottom w:val="single" w:color="000000" w:sz="12"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P</w:t>
            </w:r>
            <w:r>
              <w:rPr>
                <w:rFonts w:cs="Times New Roman"/>
                <w:sz w:val="21"/>
                <w:vertAlign w:val="subscript"/>
              </w:rPr>
              <w:t>max</w:t>
            </w:r>
            <w:r>
              <w:rPr>
                <w:rFonts w:hint="eastAsia" w:cs="Times New Roman"/>
                <w:sz w:val="21"/>
              </w:rPr>
              <w:t>＜</w:t>
            </w:r>
            <w:r>
              <w:rPr>
                <w:rFonts w:cs="Times New Roman"/>
                <w:sz w:val="21"/>
              </w:rPr>
              <w:t>1%</w:t>
            </w:r>
          </w:p>
        </w:tc>
      </w:tr>
    </w:tbl>
    <w:p>
      <w:pPr>
        <w:adjustRightInd w:val="0"/>
        <w:snapToGrid w:val="0"/>
        <w:ind w:firstLine="480"/>
        <w:rPr>
          <w:rFonts w:cs="Times New Roman"/>
        </w:rPr>
      </w:pPr>
    </w:p>
    <w:p>
      <w:pPr>
        <w:pStyle w:val="161"/>
        <w:ind w:firstLine="480"/>
      </w:pPr>
      <w:r>
        <w:rPr>
          <w:rFonts w:hint="eastAsia"/>
        </w:rPr>
        <w:t>按照《环境影响评价技术导则大气环境》</w:t>
      </w:r>
      <w:r>
        <w:t>(HJ2.2-2018)</w:t>
      </w:r>
      <w:r>
        <w:rPr>
          <w:rFonts w:hint="eastAsia"/>
        </w:rPr>
        <w:t>附录</w:t>
      </w:r>
      <w:r>
        <w:t>C</w:t>
      </w:r>
      <w:r>
        <w:rPr>
          <w:rFonts w:hint="eastAsia"/>
        </w:rPr>
        <w:t>大气评级工作等级判定用相关参数见表</w:t>
      </w:r>
      <w:r>
        <w:t>2.</w:t>
      </w:r>
      <w:r>
        <w:rPr>
          <w:rFonts w:hint="eastAsia"/>
        </w:rPr>
        <w:t>5—</w:t>
      </w:r>
      <w:r>
        <w:t>2</w:t>
      </w:r>
      <w:r>
        <w:rPr>
          <w:rFonts w:hint="eastAsia"/>
        </w:rPr>
        <w:t>和表</w:t>
      </w:r>
      <w:r>
        <w:t>2.</w:t>
      </w:r>
      <w:r>
        <w:rPr>
          <w:rFonts w:hint="eastAsia"/>
        </w:rPr>
        <w:t>5—</w:t>
      </w:r>
      <w:r>
        <w:t>3</w:t>
      </w:r>
      <w:r>
        <w:rPr>
          <w:rFonts w:hint="eastAsia"/>
        </w:rPr>
        <w:t>，估算模型计算结果见表</w:t>
      </w:r>
      <w:r>
        <w:t>2.</w:t>
      </w:r>
      <w:r>
        <w:rPr>
          <w:rFonts w:hint="eastAsia"/>
        </w:rPr>
        <w:t>5—</w:t>
      </w:r>
      <w:r>
        <w:t>4</w:t>
      </w:r>
      <w:r>
        <w:rPr>
          <w:rFonts w:hint="eastAsia"/>
        </w:rPr>
        <w:t>。</w:t>
      </w:r>
    </w:p>
    <w:p>
      <w:pPr>
        <w:adjustRightInd w:val="0"/>
        <w:snapToGrid w:val="0"/>
        <w:spacing w:line="500" w:lineRule="exact"/>
        <w:ind w:firstLine="480"/>
        <w:rPr>
          <w:rFonts w:cs="Times New Roman"/>
        </w:rPr>
      </w:pPr>
      <w:r>
        <w:rPr>
          <w:rFonts w:hint="eastAsia" w:cs="Times New Roman"/>
        </w:rPr>
        <w:t>表</w:t>
      </w:r>
      <w:r>
        <w:rPr>
          <w:rFonts w:cs="Times New Roman"/>
        </w:rPr>
        <w:t>2.</w:t>
      </w:r>
      <w:r>
        <w:rPr>
          <w:rFonts w:hint="eastAsia" w:cs="Times New Roman"/>
        </w:rPr>
        <w:t>5—</w:t>
      </w:r>
      <w:r>
        <w:rPr>
          <w:rFonts w:cs="Times New Roman"/>
        </w:rPr>
        <w:t xml:space="preserve">2      </w:t>
      </w:r>
      <w:r>
        <w:rPr>
          <w:rFonts w:hint="eastAsia" w:cs="Times New Roman"/>
        </w:rPr>
        <w:t>本项目大气环境评价因子和评价标准一览表</w:t>
      </w:r>
    </w:p>
    <w:tbl>
      <w:tblPr>
        <w:tblStyle w:val="88"/>
        <w:tblW w:w="9286" w:type="dxa"/>
        <w:tblInd w:w="0" w:type="dxa"/>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Layout w:type="fixed"/>
        <w:tblCellMar>
          <w:top w:w="0" w:type="dxa"/>
          <w:left w:w="108" w:type="dxa"/>
          <w:bottom w:w="0" w:type="dxa"/>
          <w:right w:w="108" w:type="dxa"/>
        </w:tblCellMar>
      </w:tblPr>
      <w:tblGrid>
        <w:gridCol w:w="1479"/>
        <w:gridCol w:w="1646"/>
        <w:gridCol w:w="1823"/>
        <w:gridCol w:w="4338"/>
      </w:tblGrid>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single" w:color="auto" w:sz="12" w:space="0"/>
              <w:left w:val="nil"/>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评价因子</w:t>
            </w:r>
          </w:p>
        </w:tc>
        <w:tc>
          <w:tcPr>
            <w:tcW w:w="1646" w:type="dxa"/>
            <w:tcBorders>
              <w:top w:val="single" w:color="auto" w:sz="12"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平均时段</w:t>
            </w:r>
          </w:p>
        </w:tc>
        <w:tc>
          <w:tcPr>
            <w:tcW w:w="1823" w:type="dxa"/>
            <w:tcBorders>
              <w:top w:val="single" w:color="auto" w:sz="12"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标准值</w:t>
            </w:r>
            <w:r>
              <w:rPr>
                <w:rFonts w:cs="Times New Roman"/>
                <w:sz w:val="21"/>
              </w:rPr>
              <w:t>(μg/m</w:t>
            </w:r>
            <w:r>
              <w:rPr>
                <w:rFonts w:cs="Times New Roman"/>
                <w:sz w:val="21"/>
                <w:vertAlign w:val="superscript"/>
              </w:rPr>
              <w:t>3</w:t>
            </w:r>
            <w:r>
              <w:rPr>
                <w:rFonts w:cs="Times New Roman"/>
                <w:sz w:val="21"/>
              </w:rPr>
              <w:t>)</w:t>
            </w:r>
          </w:p>
        </w:tc>
        <w:tc>
          <w:tcPr>
            <w:tcW w:w="4338" w:type="dxa"/>
            <w:tcBorders>
              <w:top w:val="single" w:color="auto" w:sz="12"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标准来源</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restart"/>
            <w:tcBorders>
              <w:top w:val="single" w:color="auto" w:sz="12"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SO</w:t>
            </w:r>
            <w:r>
              <w:rPr>
                <w:rFonts w:cs="Times New Roman"/>
                <w:sz w:val="21"/>
                <w:vertAlign w:val="subscript"/>
              </w:rPr>
              <w:t>2</w:t>
            </w:r>
          </w:p>
        </w:tc>
        <w:tc>
          <w:tcPr>
            <w:tcW w:w="1646"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年平均</w:t>
            </w:r>
          </w:p>
        </w:tc>
        <w:tc>
          <w:tcPr>
            <w:tcW w:w="1823"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60</w:t>
            </w:r>
          </w:p>
        </w:tc>
        <w:tc>
          <w:tcPr>
            <w:tcW w:w="4338" w:type="dxa"/>
            <w:vMerge w:val="restart"/>
            <w:tcBorders>
              <w:top w:val="single" w:color="auto" w:sz="12" w:space="0"/>
              <w:left w:val="dotted" w:color="auto" w:sz="8"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《环境空气质量标准》</w:t>
            </w:r>
          </w:p>
          <w:p>
            <w:pPr>
              <w:adjustRightInd w:val="0"/>
              <w:snapToGrid w:val="0"/>
              <w:spacing w:line="240" w:lineRule="atLeast"/>
              <w:ind w:firstLine="0" w:firstLineChars="0"/>
              <w:jc w:val="center"/>
              <w:rPr>
                <w:rFonts w:cs="Times New Roman" w:eastAsiaTheme="minorEastAsia"/>
                <w:sz w:val="21"/>
              </w:rPr>
            </w:pPr>
            <w:r>
              <w:rPr>
                <w:rFonts w:cs="Times New Roman"/>
                <w:sz w:val="21"/>
              </w:rPr>
              <w:t>(GB3095-2012)</w:t>
            </w:r>
            <w:r>
              <w:rPr>
                <w:rFonts w:hint="eastAsia" w:cs="Times New Roman"/>
                <w:sz w:val="21"/>
              </w:rPr>
              <w:t>二级标准</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continue"/>
            <w:tcBorders>
              <w:top w:val="single" w:color="auto" w:sz="12"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eastAsiaTheme="minorEastAsia"/>
                <w:sz w:val="21"/>
              </w:rPr>
            </w:pP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24</w:t>
            </w:r>
            <w:r>
              <w:rPr>
                <w:rFonts w:hint="eastAsia" w:cs="Times New Roman"/>
                <w:sz w:val="21"/>
              </w:rPr>
              <w:t>小时平均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150</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continue"/>
            <w:tcBorders>
              <w:top w:val="single" w:color="auto" w:sz="12"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eastAsiaTheme="minorEastAsia"/>
                <w:sz w:val="21"/>
              </w:rPr>
            </w:pP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1</w:t>
            </w:r>
            <w:r>
              <w:rPr>
                <w:rFonts w:hint="eastAsia" w:cs="Times New Roman"/>
                <w:sz w:val="21"/>
              </w:rPr>
              <w:t>小时平均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500</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restart"/>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NO</w:t>
            </w:r>
            <w:r>
              <w:rPr>
                <w:rFonts w:cs="Times New Roman"/>
                <w:sz w:val="21"/>
                <w:vertAlign w:val="subscript"/>
              </w:rPr>
              <w:t>x</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年平均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40</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eastAsiaTheme="minorEastAsia"/>
                <w:sz w:val="21"/>
              </w:rPr>
            </w:pP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24</w:t>
            </w:r>
            <w:r>
              <w:rPr>
                <w:rFonts w:hint="eastAsia" w:cs="Times New Roman"/>
                <w:sz w:val="21"/>
              </w:rPr>
              <w:t>小时平均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80</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eastAsiaTheme="minorEastAsia"/>
                <w:sz w:val="21"/>
              </w:rPr>
            </w:pP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1</w:t>
            </w:r>
            <w:r>
              <w:rPr>
                <w:rFonts w:hint="eastAsia" w:cs="Times New Roman"/>
                <w:sz w:val="21"/>
              </w:rPr>
              <w:t>小时平均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200</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restart"/>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vertAlign w:val="subscript"/>
              </w:rPr>
            </w:pPr>
            <w:r>
              <w:rPr>
                <w:rFonts w:cs="Times New Roman"/>
                <w:sz w:val="21"/>
              </w:rPr>
              <w:t>PM</w:t>
            </w:r>
            <w:r>
              <w:rPr>
                <w:rFonts w:cs="Times New Roman"/>
                <w:sz w:val="21"/>
                <w:vertAlign w:val="subscript"/>
              </w:rPr>
              <w:t>10</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年平均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70</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eastAsiaTheme="minorEastAsia"/>
                <w:sz w:val="21"/>
                <w:vertAlign w:val="subscript"/>
              </w:rPr>
            </w:pP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24</w:t>
            </w:r>
            <w:r>
              <w:rPr>
                <w:rFonts w:hint="eastAsia" w:cs="Times New Roman"/>
                <w:sz w:val="21"/>
              </w:rPr>
              <w:t>小时平均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150</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restart"/>
            <w:tcBorders>
              <w:top w:val="dotted" w:color="auto" w:sz="8" w:space="0"/>
              <w:left w:val="nil"/>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vertAlign w:val="subscript"/>
              </w:rPr>
            </w:pPr>
            <w:r>
              <w:rPr>
                <w:rFonts w:hint="eastAsia" w:cs="Times New Roman"/>
                <w:sz w:val="21"/>
              </w:rPr>
              <w:t>CO</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24</w:t>
            </w:r>
            <w:r>
              <w:rPr>
                <w:rFonts w:hint="eastAsia" w:cs="Times New Roman"/>
                <w:sz w:val="21"/>
              </w:rPr>
              <w:t>小时平均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4m</w:t>
            </w:r>
            <w:r>
              <w:rPr>
                <w:rFonts w:cs="Times New Roman"/>
                <w:sz w:val="21"/>
              </w:rPr>
              <w:t>g/m</w:t>
            </w:r>
            <w:r>
              <w:rPr>
                <w:rFonts w:cs="Times New Roman"/>
                <w:sz w:val="21"/>
                <w:vertAlign w:val="superscript"/>
              </w:rPr>
              <w:t>3</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vMerge w:val="continue"/>
            <w:tcBorders>
              <w:left w:val="nil"/>
              <w:bottom w:val="dotted" w:color="auto" w:sz="8" w:space="0"/>
              <w:right w:val="dotted" w:color="auto" w:sz="8" w:space="0"/>
            </w:tcBorders>
            <w:vAlign w:val="center"/>
          </w:tcPr>
          <w:p>
            <w:pPr>
              <w:widowControl/>
              <w:spacing w:line="240" w:lineRule="atLeast"/>
              <w:ind w:firstLine="0" w:firstLineChars="0"/>
              <w:jc w:val="left"/>
              <w:rPr>
                <w:rFonts w:cs="Times New Roman" w:eastAsiaTheme="minorEastAsia"/>
                <w:sz w:val="21"/>
                <w:vertAlign w:val="subscript"/>
              </w:rPr>
            </w:pP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1</w:t>
            </w:r>
            <w:r>
              <w:rPr>
                <w:rFonts w:hint="eastAsia" w:cs="Times New Roman"/>
                <w:sz w:val="21"/>
              </w:rPr>
              <w:t>小时平均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 m</w:t>
            </w:r>
            <w:r>
              <w:rPr>
                <w:rFonts w:cs="Times New Roman"/>
                <w:sz w:val="21"/>
              </w:rPr>
              <w:t>g/m</w:t>
            </w:r>
            <w:r>
              <w:rPr>
                <w:rFonts w:cs="Times New Roman"/>
                <w:sz w:val="21"/>
                <w:vertAlign w:val="superscript"/>
              </w:rPr>
              <w:t>3</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Pb</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年平均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0.5</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Cd</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年平均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0.005</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Hg</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年平均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0.05</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As</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年平均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0.006</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Cr</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年平均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0.000025</w:t>
            </w:r>
          </w:p>
        </w:tc>
        <w:tc>
          <w:tcPr>
            <w:tcW w:w="4338" w:type="dxa"/>
            <w:vMerge w:val="continue"/>
            <w:tcBorders>
              <w:left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氟化物</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1h</w:t>
            </w:r>
            <w:r>
              <w:rPr>
                <w:rFonts w:hint="eastAsia" w:cs="Times New Roman" w:hAnsiTheme="minorEastAsia"/>
                <w:sz w:val="21"/>
              </w:rPr>
              <w:t>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20</w:t>
            </w:r>
          </w:p>
        </w:tc>
        <w:tc>
          <w:tcPr>
            <w:tcW w:w="4338" w:type="dxa"/>
            <w:vMerge w:val="continue"/>
            <w:tcBorders>
              <w:left w:val="dotted" w:color="auto" w:sz="8" w:space="0"/>
              <w:bottom w:val="dotted" w:color="auto" w:sz="8"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trHeight w:val="92" w:hRule="atLeast"/>
        </w:trPr>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eastAsiaTheme="minorEastAsia"/>
                <w:sz w:val="21"/>
              </w:rPr>
              <w:t>氨</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1h</w:t>
            </w:r>
            <w:r>
              <w:rPr>
                <w:rFonts w:hint="eastAsia" w:cs="Times New Roman" w:hAnsiTheme="minorEastAsia"/>
                <w:sz w:val="21"/>
              </w:rPr>
              <w:t>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eastAsiaTheme="minorEastAsia"/>
                <w:sz w:val="21"/>
              </w:rPr>
              <w:t>200</w:t>
            </w:r>
          </w:p>
        </w:tc>
        <w:tc>
          <w:tcPr>
            <w:tcW w:w="4338" w:type="dxa"/>
            <w:vMerge w:val="restart"/>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left"/>
              <w:rPr>
                <w:rFonts w:cs="Times New Roman" w:eastAsiaTheme="minorEastAsia"/>
                <w:sz w:val="21"/>
              </w:rPr>
            </w:pPr>
            <w:r>
              <w:rPr>
                <w:rFonts w:hint="eastAsia" w:cs="Times New Roman"/>
                <w:sz w:val="21"/>
              </w:rPr>
              <w:t>《环境影响评价技术导则大气环境》</w:t>
            </w:r>
            <w:r>
              <w:rPr>
                <w:rFonts w:cs="Times New Roman"/>
                <w:sz w:val="21"/>
              </w:rPr>
              <w:t>(HJ2.2-2018)</w:t>
            </w:r>
            <w:r>
              <w:rPr>
                <w:rFonts w:hint="eastAsia" w:cs="Times New Roman"/>
                <w:sz w:val="21"/>
              </w:rPr>
              <w:t>附录</w:t>
            </w:r>
            <w:r>
              <w:rPr>
                <w:rFonts w:cs="Times New Roman"/>
                <w:sz w:val="21"/>
              </w:rPr>
              <w:t>D</w:t>
            </w:r>
            <w:r>
              <w:rPr>
                <w:rFonts w:hint="eastAsia" w:cs="Times New Roman"/>
                <w:sz w:val="21"/>
              </w:rPr>
              <w:t>其他污染物空气质量浓度参考限值</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trHeight w:val="92" w:hRule="atLeast"/>
        </w:trPr>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hAnsiTheme="minorEastAsia"/>
                <w:sz w:val="21"/>
              </w:rPr>
              <w:t>硫化氢</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1h</w:t>
            </w:r>
            <w:r>
              <w:rPr>
                <w:rFonts w:hint="eastAsia" w:cs="Times New Roman" w:hAnsiTheme="minorEastAsia"/>
                <w:sz w:val="21"/>
              </w:rPr>
              <w:t>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w:t>
            </w:r>
          </w:p>
        </w:tc>
        <w:tc>
          <w:tcPr>
            <w:tcW w:w="4338" w:type="dxa"/>
            <w:vMerge w:val="continue"/>
            <w:tcBorders>
              <w:top w:val="dotted" w:color="auto" w:sz="8" w:space="0"/>
              <w:left w:val="dotted" w:color="auto" w:sz="8" w:space="0"/>
              <w:bottom w:val="single" w:color="auto" w:sz="12"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hAnsiTheme="minorEastAsia"/>
                <w:sz w:val="21"/>
              </w:rPr>
            </w:pPr>
            <w:r>
              <w:rPr>
                <w:rFonts w:hint="eastAsia" w:cs="Times New Roman" w:hAnsiTheme="minorEastAsia"/>
                <w:sz w:val="21"/>
              </w:rPr>
              <w:t>硫酸</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1h</w:t>
            </w:r>
            <w:r>
              <w:rPr>
                <w:rFonts w:hint="eastAsia" w:cs="Times New Roman" w:hAnsiTheme="minorEastAsia"/>
                <w:sz w:val="21"/>
              </w:rPr>
              <w:t>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300</w:t>
            </w:r>
          </w:p>
        </w:tc>
        <w:tc>
          <w:tcPr>
            <w:tcW w:w="4338" w:type="dxa"/>
            <w:vMerge w:val="continue"/>
            <w:tcBorders>
              <w:top w:val="dotted" w:color="auto" w:sz="8" w:space="0"/>
              <w:left w:val="dotted" w:color="auto" w:sz="8" w:space="0"/>
              <w:bottom w:val="single" w:color="auto" w:sz="12"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hAnsiTheme="minorEastAsia"/>
                <w:sz w:val="21"/>
              </w:rPr>
            </w:pPr>
            <w:r>
              <w:rPr>
                <w:rFonts w:hint="eastAsia" w:cs="Times New Roman" w:hAnsiTheme="minorEastAsia"/>
                <w:sz w:val="21"/>
              </w:rPr>
              <w:t>氯化氢</w:t>
            </w:r>
          </w:p>
        </w:tc>
        <w:tc>
          <w:tcPr>
            <w:tcW w:w="1646"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1h</w:t>
            </w:r>
            <w:r>
              <w:rPr>
                <w:rFonts w:hint="eastAsia" w:cs="Times New Roman" w:hAnsiTheme="minorEastAsia"/>
                <w:sz w:val="21"/>
              </w:rPr>
              <w:t>平均</w:t>
            </w:r>
          </w:p>
        </w:tc>
        <w:tc>
          <w:tcPr>
            <w:tcW w:w="1823"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50</w:t>
            </w:r>
          </w:p>
        </w:tc>
        <w:tc>
          <w:tcPr>
            <w:tcW w:w="4338" w:type="dxa"/>
            <w:vMerge w:val="continue"/>
            <w:tcBorders>
              <w:top w:val="dotted" w:color="auto" w:sz="8" w:space="0"/>
              <w:left w:val="dotted" w:color="auto" w:sz="8" w:space="0"/>
              <w:bottom w:val="single" w:color="auto" w:sz="12" w:space="0"/>
              <w:right w:val="nil"/>
            </w:tcBorders>
            <w:vAlign w:val="center"/>
          </w:tcPr>
          <w:p>
            <w:pPr>
              <w:widowControl/>
              <w:spacing w:line="240" w:lineRule="atLeast"/>
              <w:ind w:firstLine="0" w:firstLineChars="0"/>
              <w:jc w:val="left"/>
              <w:rPr>
                <w:rFonts w:cs="Times New Roman" w:eastAsiaTheme="minorEastAsia"/>
                <w:sz w:val="21"/>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c>
          <w:tcPr>
            <w:tcW w:w="1479" w:type="dxa"/>
            <w:tcBorders>
              <w:top w:val="dotted" w:color="auto" w:sz="8" w:space="0"/>
              <w:left w:val="nil"/>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TVOC</w:t>
            </w:r>
          </w:p>
        </w:tc>
        <w:tc>
          <w:tcPr>
            <w:tcW w:w="1646"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8h</w:t>
            </w:r>
            <w:r>
              <w:rPr>
                <w:rFonts w:hint="eastAsia" w:cs="Times New Roman" w:hAnsiTheme="minorEastAsia"/>
                <w:sz w:val="21"/>
              </w:rPr>
              <w:t>平均</w:t>
            </w:r>
          </w:p>
        </w:tc>
        <w:tc>
          <w:tcPr>
            <w:tcW w:w="1823"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600</w:t>
            </w:r>
          </w:p>
        </w:tc>
        <w:tc>
          <w:tcPr>
            <w:tcW w:w="4338" w:type="dxa"/>
            <w:vMerge w:val="continue"/>
            <w:tcBorders>
              <w:top w:val="dotted" w:color="auto" w:sz="8" w:space="0"/>
              <w:left w:val="dotted" w:color="auto" w:sz="8" w:space="0"/>
              <w:bottom w:val="single" w:color="auto" w:sz="12" w:space="0"/>
              <w:right w:val="nil"/>
            </w:tcBorders>
            <w:vAlign w:val="center"/>
          </w:tcPr>
          <w:p>
            <w:pPr>
              <w:widowControl/>
              <w:spacing w:line="240" w:lineRule="atLeast"/>
              <w:ind w:firstLine="0" w:firstLineChars="0"/>
              <w:jc w:val="left"/>
              <w:rPr>
                <w:rFonts w:cs="Times New Roman" w:eastAsiaTheme="minorEastAsia"/>
                <w:sz w:val="21"/>
              </w:rPr>
            </w:pPr>
          </w:p>
        </w:tc>
      </w:tr>
    </w:tbl>
    <w:p>
      <w:pPr>
        <w:adjustRightInd w:val="0"/>
        <w:snapToGrid w:val="0"/>
        <w:spacing w:line="500" w:lineRule="exact"/>
        <w:ind w:firstLine="480"/>
        <w:rPr>
          <w:rFonts w:cs="Times New Roman"/>
        </w:rPr>
      </w:pPr>
    </w:p>
    <w:p>
      <w:pPr>
        <w:adjustRightInd w:val="0"/>
        <w:snapToGrid w:val="0"/>
        <w:spacing w:line="500" w:lineRule="exact"/>
        <w:ind w:firstLine="480"/>
        <w:rPr>
          <w:rFonts w:cs="Times New Roman"/>
        </w:rPr>
      </w:pPr>
    </w:p>
    <w:p>
      <w:pPr>
        <w:adjustRightInd w:val="0"/>
        <w:snapToGrid w:val="0"/>
        <w:spacing w:line="500" w:lineRule="exact"/>
        <w:ind w:firstLine="480"/>
        <w:rPr>
          <w:rFonts w:cs="Times New Roman"/>
        </w:rPr>
        <w:sectPr>
          <w:type w:val="continuous"/>
          <w:pgSz w:w="11906" w:h="16838"/>
          <w:pgMar w:top="1134" w:right="1418" w:bottom="1134" w:left="1418" w:header="851" w:footer="851" w:gutter="0"/>
          <w:cols w:space="425" w:num="1"/>
          <w:docGrid w:type="lines" w:linePitch="326" w:charSpace="0"/>
        </w:sectPr>
      </w:pPr>
    </w:p>
    <w:p>
      <w:pPr>
        <w:pStyle w:val="739"/>
        <w:ind w:firstLine="480"/>
      </w:pPr>
      <w:r>
        <w:rPr>
          <w:rFonts w:hint="eastAsia"/>
        </w:rPr>
        <w:t>表</w:t>
      </w:r>
      <w:r>
        <w:t>2.4</w:t>
      </w:r>
      <w:r>
        <w:rPr>
          <w:rFonts w:hint="eastAsia" w:cs="Times New Roman"/>
        </w:rPr>
        <w:t>—</w:t>
      </w:r>
      <w:r>
        <w:t xml:space="preserve">4        </w:t>
      </w:r>
      <w:r>
        <w:rPr>
          <w:rFonts w:hint="eastAsia"/>
        </w:rPr>
        <w:t xml:space="preserve">                                   大气评价工作等级预测结果一览表</w:t>
      </w:r>
    </w:p>
    <w:tbl>
      <w:tblPr>
        <w:tblStyle w:val="88"/>
        <w:tblW w:w="15147" w:type="dxa"/>
        <w:tblInd w:w="0" w:type="dxa"/>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Layout w:type="fixed"/>
        <w:tblCellMar>
          <w:top w:w="0" w:type="dxa"/>
          <w:left w:w="0" w:type="dxa"/>
          <w:bottom w:w="0" w:type="dxa"/>
          <w:right w:w="0" w:type="dxa"/>
        </w:tblCellMar>
      </w:tblPr>
      <w:tblGrid>
        <w:gridCol w:w="400"/>
        <w:gridCol w:w="1443"/>
        <w:gridCol w:w="709"/>
        <w:gridCol w:w="567"/>
        <w:gridCol w:w="567"/>
        <w:gridCol w:w="709"/>
        <w:gridCol w:w="567"/>
        <w:gridCol w:w="567"/>
        <w:gridCol w:w="708"/>
        <w:gridCol w:w="567"/>
        <w:gridCol w:w="567"/>
        <w:gridCol w:w="709"/>
        <w:gridCol w:w="567"/>
        <w:gridCol w:w="567"/>
        <w:gridCol w:w="709"/>
        <w:gridCol w:w="567"/>
        <w:gridCol w:w="567"/>
        <w:gridCol w:w="709"/>
        <w:gridCol w:w="708"/>
        <w:gridCol w:w="709"/>
        <w:gridCol w:w="709"/>
        <w:gridCol w:w="679"/>
        <w:gridCol w:w="576"/>
      </w:tblGrid>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vMerge w:val="restart"/>
            <w:tcBorders>
              <w:top w:val="single" w:color="auto" w:sz="12" w:space="0"/>
              <w:left w:val="nil"/>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序号</w:t>
            </w:r>
          </w:p>
        </w:tc>
        <w:tc>
          <w:tcPr>
            <w:tcW w:w="1443" w:type="dxa"/>
            <w:vMerge w:val="restart"/>
            <w:tcBorders>
              <w:top w:val="single" w:color="auto" w:sz="12"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污染源名称</w:t>
            </w:r>
          </w:p>
        </w:tc>
        <w:tc>
          <w:tcPr>
            <w:tcW w:w="1843"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SO</w:t>
            </w:r>
            <w:r>
              <w:rPr>
                <w:rFonts w:cs="Times New Roman"/>
                <w:sz w:val="21"/>
                <w:vertAlign w:val="subscript"/>
              </w:rPr>
              <w:t>2</w:t>
            </w:r>
          </w:p>
        </w:tc>
        <w:tc>
          <w:tcPr>
            <w:tcW w:w="1843"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hint="eastAsia" w:cs="Times New Roman"/>
                <w:sz w:val="21"/>
              </w:rPr>
              <w:t>CO</w:t>
            </w:r>
          </w:p>
        </w:tc>
        <w:tc>
          <w:tcPr>
            <w:tcW w:w="1842"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PM</w:t>
            </w:r>
            <w:r>
              <w:rPr>
                <w:rFonts w:hint="eastAsia" w:cs="Times New Roman"/>
                <w:sz w:val="21"/>
                <w:vertAlign w:val="subscript"/>
              </w:rPr>
              <w:t>10</w:t>
            </w:r>
          </w:p>
        </w:tc>
        <w:tc>
          <w:tcPr>
            <w:tcW w:w="1843"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NO</w:t>
            </w:r>
            <w:r>
              <w:rPr>
                <w:rFonts w:cs="Times New Roman"/>
                <w:sz w:val="21"/>
                <w:vertAlign w:val="subscript"/>
              </w:rPr>
              <w:t>x</w:t>
            </w:r>
          </w:p>
        </w:tc>
        <w:tc>
          <w:tcPr>
            <w:tcW w:w="1843"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Pb</w:t>
            </w:r>
          </w:p>
        </w:tc>
        <w:tc>
          <w:tcPr>
            <w:tcW w:w="2126" w:type="dxa"/>
            <w:gridSpan w:val="3"/>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VOC</w:t>
            </w:r>
          </w:p>
        </w:tc>
        <w:tc>
          <w:tcPr>
            <w:tcW w:w="1964" w:type="dxa"/>
            <w:gridSpan w:val="3"/>
            <w:tcBorders>
              <w:top w:val="single" w:color="auto" w:sz="12" w:space="0"/>
              <w:left w:val="dotted" w:color="auto" w:sz="8" w:space="0"/>
              <w:bottom w:val="dotted" w:color="auto" w:sz="8" w:space="0"/>
              <w:right w:val="nil"/>
            </w:tcBorders>
          </w:tcPr>
          <w:p>
            <w:pPr>
              <w:adjustRightInd w:val="0"/>
              <w:snapToGrid w:val="0"/>
              <w:spacing w:line="240" w:lineRule="atLeast"/>
              <w:ind w:firstLine="0" w:firstLineChars="0"/>
              <w:jc w:val="center"/>
              <w:rPr>
                <w:rFonts w:cs="Times New Roman"/>
                <w:sz w:val="21"/>
              </w:rPr>
            </w:pPr>
            <w:r>
              <w:rPr>
                <w:rFonts w:cs="Times New Roman"/>
                <w:sz w:val="21"/>
              </w:rPr>
              <w:t>H</w:t>
            </w:r>
            <w:r>
              <w:rPr>
                <w:rFonts w:hint="eastAsia" w:cs="Times New Roman"/>
                <w:sz w:val="21"/>
                <w:vertAlign w:val="subscript"/>
              </w:rPr>
              <w:t>2</w:t>
            </w:r>
            <w:r>
              <w:rPr>
                <w:rFonts w:hint="eastAsia" w:cs="Times New Roman"/>
                <w:sz w:val="21"/>
              </w:rPr>
              <w:t>S</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vMerge w:val="continue"/>
            <w:tcBorders>
              <w:top w:val="single" w:color="auto" w:sz="12" w:space="0"/>
              <w:left w:val="nil"/>
              <w:bottom w:val="single" w:color="auto" w:sz="12" w:space="0"/>
              <w:right w:val="dotted" w:color="auto" w:sz="8" w:space="0"/>
            </w:tcBorders>
            <w:vAlign w:val="center"/>
          </w:tcPr>
          <w:p>
            <w:pPr>
              <w:widowControl/>
              <w:spacing w:line="240" w:lineRule="atLeast"/>
              <w:ind w:firstLine="0" w:firstLineChars="0"/>
              <w:jc w:val="left"/>
              <w:rPr>
                <w:rFonts w:cs="Times New Roman"/>
                <w:sz w:val="21"/>
              </w:rPr>
            </w:pPr>
          </w:p>
        </w:tc>
        <w:tc>
          <w:tcPr>
            <w:tcW w:w="1443" w:type="dxa"/>
            <w:vMerge w:val="continue"/>
            <w:tcBorders>
              <w:top w:val="single" w:color="auto" w:sz="12" w:space="0"/>
              <w:left w:val="dotted" w:color="auto" w:sz="8" w:space="0"/>
              <w:bottom w:val="single" w:color="auto" w:sz="12" w:space="0"/>
              <w:right w:val="dotted" w:color="auto" w:sz="8" w:space="0"/>
            </w:tcBorders>
            <w:vAlign w:val="center"/>
          </w:tcPr>
          <w:p>
            <w:pPr>
              <w:widowControl/>
              <w:spacing w:line="240" w:lineRule="atLeast"/>
              <w:ind w:firstLine="0" w:firstLineChars="0"/>
              <w:jc w:val="left"/>
              <w:rPr>
                <w:rFonts w:cs="Times New Roman"/>
                <w:sz w:val="21"/>
              </w:rPr>
            </w:pP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708"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w:t>
            </w:r>
          </w:p>
          <w:p>
            <w:pPr>
              <w:adjustRightInd w:val="0"/>
              <w:snapToGrid w:val="0"/>
              <w:spacing w:line="240" w:lineRule="atLeast"/>
              <w:ind w:firstLine="0" w:firstLineChars="0"/>
              <w:jc w:val="center"/>
              <w:rPr>
                <w:rFonts w:cs="Times New Roman"/>
                <w:sz w:val="21"/>
              </w:rPr>
            </w:pPr>
            <w:r>
              <w:rPr>
                <w:rFonts w:cs="Times New Roman"/>
                <w:sz w:val="21"/>
              </w:rPr>
              <w:t>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708"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709"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709"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679"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76"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single" w:color="auto" w:sz="12"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1</w:t>
            </w:r>
          </w:p>
        </w:tc>
        <w:tc>
          <w:tcPr>
            <w:tcW w:w="1443"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危废暂存库有组织废气(G1)</w:t>
            </w:r>
          </w:p>
        </w:tc>
        <w:tc>
          <w:tcPr>
            <w:tcW w:w="709"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0.0009</w:t>
            </w:r>
          </w:p>
        </w:tc>
        <w:tc>
          <w:tcPr>
            <w:tcW w:w="708"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0.07</w:t>
            </w:r>
          </w:p>
        </w:tc>
        <w:tc>
          <w:tcPr>
            <w:tcW w:w="709" w:type="dxa"/>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0.00005</w:t>
            </w:r>
          </w:p>
        </w:tc>
        <w:tc>
          <w:tcPr>
            <w:tcW w:w="679" w:type="dxa"/>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0.48</w:t>
            </w:r>
          </w:p>
        </w:tc>
        <w:tc>
          <w:tcPr>
            <w:tcW w:w="576" w:type="dxa"/>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2</w:t>
            </w:r>
          </w:p>
        </w:tc>
        <w:tc>
          <w:tcPr>
            <w:tcW w:w="144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中和反应池排气(G2)</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0.0171</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6.83</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0.00004</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1.19</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67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76"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3</w:t>
            </w:r>
          </w:p>
        </w:tc>
        <w:tc>
          <w:tcPr>
            <w:tcW w:w="144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焚烧废气(G3)</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0.0071</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1.42</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0.0036</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0.04</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0.0021</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0.47</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67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76"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trHeight w:val="424" w:hRule="atLeast"/>
        </w:trPr>
        <w:tc>
          <w:tcPr>
            <w:tcW w:w="400"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4</w:t>
            </w:r>
          </w:p>
        </w:tc>
        <w:tc>
          <w:tcPr>
            <w:tcW w:w="144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转运及上料系统排气(G4)</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0.0215</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4.78</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67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76"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5</w:t>
            </w:r>
          </w:p>
        </w:tc>
        <w:tc>
          <w:tcPr>
            <w:tcW w:w="144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危废暂存库</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0.3032</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25.27</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250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0.0033</w:t>
            </w:r>
          </w:p>
        </w:tc>
        <w:tc>
          <w:tcPr>
            <w:tcW w:w="67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33.28</w:t>
            </w:r>
          </w:p>
        </w:tc>
        <w:tc>
          <w:tcPr>
            <w:tcW w:w="576"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425</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6</w:t>
            </w:r>
          </w:p>
        </w:tc>
        <w:tc>
          <w:tcPr>
            <w:tcW w:w="144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危废暂存罐区</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0.1282</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10.68</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30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67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76"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7</w:t>
            </w:r>
          </w:p>
        </w:tc>
        <w:tc>
          <w:tcPr>
            <w:tcW w:w="144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焚烧车间</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0.0565</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4.70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0.0046</w:t>
            </w:r>
          </w:p>
        </w:tc>
        <w:tc>
          <w:tcPr>
            <w:tcW w:w="67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46.19</w:t>
            </w:r>
          </w:p>
        </w:tc>
        <w:tc>
          <w:tcPr>
            <w:tcW w:w="576"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925</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8</w:t>
            </w:r>
          </w:p>
        </w:tc>
        <w:tc>
          <w:tcPr>
            <w:tcW w:w="144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固化车间</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0.1359</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30.20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67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76"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9</w:t>
            </w:r>
          </w:p>
        </w:tc>
        <w:tc>
          <w:tcPr>
            <w:tcW w:w="144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填埋作业区</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0.1499</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1.50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0.0175</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3.88</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0.0296</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11.83</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75</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0.0482</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4.01</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67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76"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w:t>
            </w:r>
          </w:p>
        </w:tc>
        <w:tc>
          <w:tcPr>
            <w:tcW w:w="144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厂区污水处理站</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0.0004</w:t>
            </w:r>
          </w:p>
        </w:tc>
        <w:tc>
          <w:tcPr>
            <w:tcW w:w="679"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4.17</w:t>
            </w:r>
          </w:p>
        </w:tc>
        <w:tc>
          <w:tcPr>
            <w:tcW w:w="576"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00" w:type="dxa"/>
            <w:tcBorders>
              <w:top w:val="dotted" w:color="auto" w:sz="8" w:space="0"/>
              <w:left w:val="nil"/>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p>
        </w:tc>
        <w:tc>
          <w:tcPr>
            <w:tcW w:w="1443"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各源最大值</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0.0071</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1.42</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0.1499</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1.50</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0.1359</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30.20</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100</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0.296</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11.83</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75</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0.00004</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1.19</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0.3032</w:t>
            </w:r>
          </w:p>
        </w:tc>
        <w:tc>
          <w:tcPr>
            <w:tcW w:w="708"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25.27</w:t>
            </w:r>
          </w:p>
        </w:tc>
        <w:tc>
          <w:tcPr>
            <w:tcW w:w="709"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250</w:t>
            </w:r>
          </w:p>
        </w:tc>
        <w:tc>
          <w:tcPr>
            <w:tcW w:w="709"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0.0046</w:t>
            </w:r>
          </w:p>
        </w:tc>
        <w:tc>
          <w:tcPr>
            <w:tcW w:w="679"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46.19</w:t>
            </w:r>
          </w:p>
        </w:tc>
        <w:tc>
          <w:tcPr>
            <w:tcW w:w="576"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925</w:t>
            </w:r>
          </w:p>
        </w:tc>
      </w:tr>
    </w:tbl>
    <w:p>
      <w:pPr>
        <w:adjustRightInd w:val="0"/>
        <w:snapToGrid w:val="0"/>
        <w:spacing w:line="500" w:lineRule="exact"/>
        <w:ind w:firstLine="480"/>
        <w:rPr>
          <w:rFonts w:cs="Times New Roman"/>
        </w:rPr>
      </w:pPr>
    </w:p>
    <w:p>
      <w:pPr>
        <w:adjustRightInd w:val="0"/>
        <w:snapToGrid w:val="0"/>
        <w:spacing w:line="500" w:lineRule="exact"/>
        <w:ind w:firstLine="480"/>
        <w:rPr>
          <w:rFonts w:cs="Times New Roman"/>
        </w:rPr>
      </w:pPr>
    </w:p>
    <w:p>
      <w:pPr>
        <w:adjustRightInd w:val="0"/>
        <w:snapToGrid w:val="0"/>
        <w:spacing w:line="500" w:lineRule="exact"/>
        <w:ind w:firstLine="480"/>
        <w:rPr>
          <w:rFonts w:cs="Times New Roman"/>
        </w:rPr>
      </w:pPr>
    </w:p>
    <w:p>
      <w:pPr>
        <w:adjustRightInd w:val="0"/>
        <w:snapToGrid w:val="0"/>
        <w:spacing w:line="500" w:lineRule="exact"/>
        <w:ind w:firstLine="480"/>
        <w:rPr>
          <w:rFonts w:cs="Times New Roman"/>
        </w:rPr>
      </w:pPr>
    </w:p>
    <w:p>
      <w:pPr>
        <w:adjustRightInd w:val="0"/>
        <w:snapToGrid w:val="0"/>
        <w:spacing w:line="500" w:lineRule="exact"/>
        <w:ind w:firstLine="480"/>
        <w:rPr>
          <w:rFonts w:cs="Times New Roman"/>
        </w:rPr>
      </w:pPr>
    </w:p>
    <w:p>
      <w:pPr>
        <w:adjustRightInd w:val="0"/>
        <w:snapToGrid w:val="0"/>
        <w:spacing w:line="500" w:lineRule="exact"/>
        <w:ind w:firstLine="480"/>
        <w:rPr>
          <w:rFonts w:cs="Times New Roman"/>
        </w:rPr>
      </w:pPr>
      <w:r>
        <w:rPr>
          <w:rFonts w:hint="eastAsia"/>
        </w:rPr>
        <w:t>表</w:t>
      </w:r>
      <w:r>
        <w:t>2.4</w:t>
      </w:r>
      <w:r>
        <w:rPr>
          <w:rFonts w:hint="eastAsia" w:cs="Times New Roman"/>
        </w:rPr>
        <w:t>—</w:t>
      </w:r>
      <w:r>
        <w:t xml:space="preserve">4        </w:t>
      </w:r>
      <w:r>
        <w:rPr>
          <w:rFonts w:hint="eastAsia"/>
        </w:rPr>
        <w:t xml:space="preserve">                                   大气评价工作等级预测结果一览表</w:t>
      </w:r>
    </w:p>
    <w:tbl>
      <w:tblPr>
        <w:tblStyle w:val="88"/>
        <w:tblW w:w="15007" w:type="dxa"/>
        <w:tblInd w:w="0" w:type="dxa"/>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Layout w:type="fixed"/>
        <w:tblCellMar>
          <w:top w:w="0" w:type="dxa"/>
          <w:left w:w="0" w:type="dxa"/>
          <w:bottom w:w="0" w:type="dxa"/>
          <w:right w:w="0" w:type="dxa"/>
        </w:tblCellMar>
      </w:tblPr>
      <w:tblGrid>
        <w:gridCol w:w="416"/>
        <w:gridCol w:w="1285"/>
        <w:gridCol w:w="709"/>
        <w:gridCol w:w="567"/>
        <w:gridCol w:w="567"/>
        <w:gridCol w:w="709"/>
        <w:gridCol w:w="567"/>
        <w:gridCol w:w="567"/>
        <w:gridCol w:w="709"/>
        <w:gridCol w:w="567"/>
        <w:gridCol w:w="567"/>
        <w:gridCol w:w="708"/>
        <w:gridCol w:w="567"/>
        <w:gridCol w:w="567"/>
        <w:gridCol w:w="851"/>
        <w:gridCol w:w="567"/>
        <w:gridCol w:w="567"/>
        <w:gridCol w:w="850"/>
        <w:gridCol w:w="567"/>
        <w:gridCol w:w="567"/>
        <w:gridCol w:w="851"/>
        <w:gridCol w:w="567"/>
        <w:gridCol w:w="548"/>
      </w:tblGrid>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vMerge w:val="restart"/>
            <w:tcBorders>
              <w:top w:val="single" w:color="auto" w:sz="12" w:space="0"/>
              <w:left w:val="nil"/>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序号</w:t>
            </w:r>
          </w:p>
        </w:tc>
        <w:tc>
          <w:tcPr>
            <w:tcW w:w="1285" w:type="dxa"/>
            <w:vMerge w:val="restart"/>
            <w:tcBorders>
              <w:top w:val="single" w:color="auto" w:sz="12"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污染源名称</w:t>
            </w:r>
          </w:p>
        </w:tc>
        <w:tc>
          <w:tcPr>
            <w:tcW w:w="1843"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hint="eastAsia" w:cs="Times New Roman"/>
                <w:sz w:val="21"/>
              </w:rPr>
              <w:t>NH</w:t>
            </w:r>
            <w:r>
              <w:rPr>
                <w:rFonts w:hint="eastAsia" w:cs="Times New Roman"/>
                <w:sz w:val="21"/>
                <w:vertAlign w:val="subscript"/>
              </w:rPr>
              <w:t>3</w:t>
            </w:r>
          </w:p>
        </w:tc>
        <w:tc>
          <w:tcPr>
            <w:tcW w:w="1843"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硫酸</w:t>
            </w:r>
          </w:p>
        </w:tc>
        <w:tc>
          <w:tcPr>
            <w:tcW w:w="1843"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HCl</w:t>
            </w:r>
          </w:p>
        </w:tc>
        <w:tc>
          <w:tcPr>
            <w:tcW w:w="1842"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氟化物</w:t>
            </w:r>
          </w:p>
        </w:tc>
        <w:tc>
          <w:tcPr>
            <w:tcW w:w="1985" w:type="dxa"/>
            <w:gridSpan w:val="3"/>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Hg</w:t>
            </w:r>
          </w:p>
        </w:tc>
        <w:tc>
          <w:tcPr>
            <w:tcW w:w="1984" w:type="dxa"/>
            <w:gridSpan w:val="3"/>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Cd</w:t>
            </w:r>
          </w:p>
        </w:tc>
        <w:tc>
          <w:tcPr>
            <w:tcW w:w="1966" w:type="dxa"/>
            <w:gridSpan w:val="3"/>
            <w:tcBorders>
              <w:top w:val="single" w:color="auto" w:sz="12" w:space="0"/>
              <w:left w:val="dotted" w:color="auto" w:sz="8" w:space="0"/>
              <w:bottom w:val="dotted" w:color="auto" w:sz="8" w:space="0"/>
              <w:right w:val="nil"/>
            </w:tcBorders>
          </w:tcPr>
          <w:p>
            <w:pPr>
              <w:adjustRightInd w:val="0"/>
              <w:snapToGrid w:val="0"/>
              <w:spacing w:line="240" w:lineRule="atLeast"/>
              <w:ind w:firstLine="0" w:firstLineChars="0"/>
              <w:jc w:val="center"/>
              <w:rPr>
                <w:rFonts w:cs="Times New Roman"/>
                <w:sz w:val="21"/>
              </w:rPr>
            </w:pPr>
            <w:r>
              <w:rPr>
                <w:rFonts w:hint="eastAsia" w:cs="Times New Roman"/>
                <w:sz w:val="21"/>
              </w:rPr>
              <w:t>As</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vMerge w:val="continue"/>
            <w:tcBorders>
              <w:top w:val="single" w:color="auto" w:sz="12" w:space="0"/>
              <w:left w:val="nil"/>
              <w:bottom w:val="single" w:color="auto" w:sz="12" w:space="0"/>
              <w:right w:val="dotted" w:color="auto" w:sz="8" w:space="0"/>
            </w:tcBorders>
            <w:vAlign w:val="center"/>
          </w:tcPr>
          <w:p>
            <w:pPr>
              <w:widowControl/>
              <w:spacing w:line="240" w:lineRule="atLeast"/>
              <w:ind w:firstLine="0" w:firstLineChars="0"/>
              <w:jc w:val="left"/>
              <w:rPr>
                <w:rFonts w:cs="Times New Roman"/>
                <w:sz w:val="21"/>
              </w:rPr>
            </w:pPr>
          </w:p>
        </w:tc>
        <w:tc>
          <w:tcPr>
            <w:tcW w:w="1285" w:type="dxa"/>
            <w:vMerge w:val="continue"/>
            <w:tcBorders>
              <w:top w:val="single" w:color="auto" w:sz="12" w:space="0"/>
              <w:left w:val="dotted" w:color="auto" w:sz="8" w:space="0"/>
              <w:bottom w:val="single" w:color="auto" w:sz="12" w:space="0"/>
              <w:right w:val="dotted" w:color="auto" w:sz="8" w:space="0"/>
            </w:tcBorders>
            <w:vAlign w:val="center"/>
          </w:tcPr>
          <w:p>
            <w:pPr>
              <w:widowControl/>
              <w:spacing w:line="240" w:lineRule="atLeast"/>
              <w:ind w:firstLine="0" w:firstLineChars="0"/>
              <w:jc w:val="left"/>
              <w:rPr>
                <w:rFonts w:cs="Times New Roman"/>
                <w:sz w:val="21"/>
              </w:rPr>
            </w:pP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708"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851"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850"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67"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c>
          <w:tcPr>
            <w:tcW w:w="851"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cs="Times New Roman"/>
                <w:sz w:val="21"/>
              </w:rPr>
              <w:t>最大地面浓度</w:t>
            </w:r>
          </w:p>
        </w:tc>
        <w:tc>
          <w:tcPr>
            <w:tcW w:w="567"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cs="Times New Roman"/>
                <w:sz w:val="21"/>
              </w:rPr>
              <w:t>占标率(%)</w:t>
            </w:r>
          </w:p>
        </w:tc>
        <w:tc>
          <w:tcPr>
            <w:tcW w:w="548"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vertAlign w:val="subscript"/>
              </w:rPr>
            </w:pPr>
            <w:r>
              <w:rPr>
                <w:rFonts w:cs="Times New Roman"/>
                <w:sz w:val="21"/>
              </w:rPr>
              <w:t>D</w:t>
            </w:r>
            <w:r>
              <w:rPr>
                <w:rFonts w:cs="Times New Roman"/>
                <w:sz w:val="21"/>
                <w:vertAlign w:val="subscript"/>
              </w:rPr>
              <w:t>10%</w:t>
            </w:r>
          </w:p>
          <w:p>
            <w:pPr>
              <w:adjustRightInd w:val="0"/>
              <w:snapToGrid w:val="0"/>
              <w:spacing w:line="240" w:lineRule="atLeast"/>
              <w:ind w:firstLine="0" w:firstLineChars="0"/>
              <w:jc w:val="center"/>
              <w:rPr>
                <w:rFonts w:cs="Times New Roman"/>
                <w:sz w:val="21"/>
              </w:rPr>
            </w:pPr>
            <w:r>
              <w:rPr>
                <w:rFonts w:cs="Times New Roman"/>
                <w:sz w:val="21"/>
              </w:rPr>
              <w:t>(m)</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single" w:color="auto" w:sz="12"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1</w:t>
            </w:r>
          </w:p>
        </w:tc>
        <w:tc>
          <w:tcPr>
            <w:tcW w:w="1285"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危废暂存库有组织废气(G1)</w:t>
            </w:r>
          </w:p>
        </w:tc>
        <w:tc>
          <w:tcPr>
            <w:tcW w:w="709"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0.0014</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0.69</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48" w:type="dxa"/>
            <w:tcBorders>
              <w:top w:val="single" w:color="auto" w:sz="12"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2</w:t>
            </w:r>
          </w:p>
        </w:tc>
        <w:tc>
          <w:tcPr>
            <w:tcW w:w="1285"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中和反应池排气(G2)</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0.0264</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8.80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0.0031</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6.21</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0.0031</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0.02</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48"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3</w:t>
            </w:r>
          </w:p>
        </w:tc>
        <w:tc>
          <w:tcPr>
            <w:tcW w:w="1285"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焚烧废气(G3)</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0.0021</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4.27</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0.0004</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0.000004</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1.19</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0.000003</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10.17</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63</w:t>
            </w:r>
          </w:p>
        </w:tc>
        <w:tc>
          <w:tcPr>
            <w:tcW w:w="851"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0.000003</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10.17</w:t>
            </w:r>
          </w:p>
        </w:tc>
        <w:tc>
          <w:tcPr>
            <w:tcW w:w="548"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63</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trHeight w:val="424" w:hRule="atLeast"/>
        </w:trPr>
        <w:tc>
          <w:tcPr>
            <w:tcW w:w="41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4</w:t>
            </w:r>
          </w:p>
        </w:tc>
        <w:tc>
          <w:tcPr>
            <w:tcW w:w="1285"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转运及上料系统排气(G4)</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48"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5</w:t>
            </w:r>
          </w:p>
        </w:tc>
        <w:tc>
          <w:tcPr>
            <w:tcW w:w="1285"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危废暂存库</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0.0073</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3.66</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48"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6</w:t>
            </w:r>
          </w:p>
        </w:tc>
        <w:tc>
          <w:tcPr>
            <w:tcW w:w="1285"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危废暂存罐区</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0.0385</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12.82</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50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48"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7</w:t>
            </w:r>
          </w:p>
        </w:tc>
        <w:tc>
          <w:tcPr>
            <w:tcW w:w="1285"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焚烧车间</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0.0323</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16.17</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125</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48"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8</w:t>
            </w:r>
          </w:p>
        </w:tc>
        <w:tc>
          <w:tcPr>
            <w:tcW w:w="1285"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固化车间</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48"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9</w:t>
            </w:r>
          </w:p>
        </w:tc>
        <w:tc>
          <w:tcPr>
            <w:tcW w:w="1285"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填埋作业区</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48"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dotted" w:color="auto" w:sz="8" w:space="0"/>
              <w:left w:val="nil"/>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w:t>
            </w:r>
          </w:p>
        </w:tc>
        <w:tc>
          <w:tcPr>
            <w:tcW w:w="1285"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ascii="宋体" w:hAnsi="宋体" w:cs="宋体"/>
                <w:color w:val="000000"/>
                <w:sz w:val="21"/>
              </w:rPr>
            </w:pPr>
            <w:r>
              <w:rPr>
                <w:rFonts w:hint="eastAsia"/>
                <w:color w:val="000000"/>
                <w:sz w:val="21"/>
              </w:rPr>
              <w:t>厂区污水处理站</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0.0032</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1.57</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9"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67"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548" w:type="dxa"/>
            <w:tcBorders>
              <w:top w:val="dotted" w:color="auto" w:sz="8" w:space="0"/>
              <w:left w:val="dotted" w:color="auto" w:sz="8" w:space="0"/>
              <w:bottom w:val="dotted" w:color="auto" w:sz="8"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c>
          <w:tcPr>
            <w:tcW w:w="416" w:type="dxa"/>
            <w:tcBorders>
              <w:top w:val="dotted" w:color="auto" w:sz="8" w:space="0"/>
              <w:left w:val="nil"/>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p>
        </w:tc>
        <w:tc>
          <w:tcPr>
            <w:tcW w:w="1285"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cs="Times New Roman"/>
                <w:sz w:val="21"/>
              </w:rPr>
              <w:t>各源最大值</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0.0323</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16.17</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125</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0.0385</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12.82</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50</w:t>
            </w:r>
          </w:p>
        </w:tc>
        <w:tc>
          <w:tcPr>
            <w:tcW w:w="709"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0.0031</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6.21</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708"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0.0031</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0.02</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1"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0.000004</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1.19</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w:t>
            </w:r>
          </w:p>
        </w:tc>
        <w:tc>
          <w:tcPr>
            <w:tcW w:w="850"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0.000003</w:t>
            </w:r>
          </w:p>
        </w:tc>
        <w:tc>
          <w:tcPr>
            <w:tcW w:w="567" w:type="dxa"/>
            <w:tcBorders>
              <w:top w:val="dotted" w:color="auto" w:sz="8" w:space="0"/>
              <w:left w:val="dotted" w:color="auto" w:sz="8" w:space="0"/>
              <w:bottom w:val="single" w:color="auto" w:sz="12" w:space="0"/>
              <w:right w:val="dotted" w:color="auto" w:sz="8" w:space="0"/>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10.17</w:t>
            </w:r>
          </w:p>
        </w:tc>
        <w:tc>
          <w:tcPr>
            <w:tcW w:w="567"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63</w:t>
            </w:r>
          </w:p>
        </w:tc>
        <w:tc>
          <w:tcPr>
            <w:tcW w:w="851"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0.000003</w:t>
            </w:r>
          </w:p>
        </w:tc>
        <w:tc>
          <w:tcPr>
            <w:tcW w:w="567"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10.17</w:t>
            </w:r>
          </w:p>
        </w:tc>
        <w:tc>
          <w:tcPr>
            <w:tcW w:w="548" w:type="dxa"/>
            <w:tcBorders>
              <w:top w:val="dotted" w:color="auto" w:sz="8" w:space="0"/>
              <w:left w:val="dotted" w:color="auto" w:sz="8" w:space="0"/>
              <w:bottom w:val="single" w:color="auto" w:sz="12" w:space="0"/>
              <w:right w:val="nil"/>
            </w:tcBorders>
            <w:vAlign w:val="center"/>
          </w:tcPr>
          <w:p>
            <w:pPr>
              <w:adjustRightInd w:val="0"/>
              <w:snapToGrid w:val="0"/>
              <w:spacing w:line="240" w:lineRule="atLeast"/>
              <w:ind w:firstLine="0" w:firstLineChars="0"/>
              <w:jc w:val="center"/>
              <w:rPr>
                <w:rFonts w:cs="Times New Roman"/>
                <w:sz w:val="21"/>
              </w:rPr>
            </w:pPr>
            <w:r>
              <w:rPr>
                <w:rFonts w:hint="eastAsia" w:cs="Times New Roman"/>
                <w:sz w:val="21"/>
              </w:rPr>
              <w:t>63</w:t>
            </w:r>
          </w:p>
        </w:tc>
      </w:tr>
    </w:tbl>
    <w:p>
      <w:pPr>
        <w:adjustRightInd w:val="0"/>
        <w:snapToGrid w:val="0"/>
        <w:spacing w:line="500" w:lineRule="exact"/>
        <w:ind w:firstLine="480"/>
        <w:rPr>
          <w:rFonts w:cs="Times New Roman"/>
        </w:rPr>
      </w:pPr>
    </w:p>
    <w:p>
      <w:pPr>
        <w:adjustRightInd w:val="0"/>
        <w:snapToGrid w:val="0"/>
        <w:spacing w:line="500" w:lineRule="exact"/>
        <w:ind w:firstLine="480"/>
        <w:rPr>
          <w:rFonts w:cs="Times New Roman"/>
        </w:rPr>
      </w:pPr>
    </w:p>
    <w:p>
      <w:pPr>
        <w:adjustRightInd w:val="0"/>
        <w:snapToGrid w:val="0"/>
        <w:spacing w:line="500" w:lineRule="exact"/>
        <w:ind w:firstLine="480"/>
        <w:rPr>
          <w:rFonts w:cs="Times New Roman"/>
        </w:rPr>
        <w:sectPr>
          <w:pgSz w:w="16838" w:h="11906" w:orient="landscape"/>
          <w:pgMar w:top="1418" w:right="1134" w:bottom="1418" w:left="1134" w:header="851" w:footer="851" w:gutter="0"/>
          <w:cols w:space="425" w:num="1"/>
          <w:docGrid w:type="lines" w:linePitch="326" w:charSpace="0"/>
        </w:sectPr>
      </w:pPr>
    </w:p>
    <w:p>
      <w:pPr>
        <w:adjustRightInd w:val="0"/>
        <w:snapToGrid w:val="0"/>
        <w:spacing w:line="500" w:lineRule="exact"/>
        <w:ind w:firstLine="480"/>
        <w:rPr>
          <w:rFonts w:cs="Times New Roman" w:eastAsiaTheme="minorEastAsia"/>
        </w:rPr>
      </w:pPr>
      <w:r>
        <w:rPr>
          <w:rFonts w:hint="eastAsia" w:cs="Times New Roman"/>
        </w:rPr>
        <w:t>表</w:t>
      </w:r>
      <w:r>
        <w:rPr>
          <w:rFonts w:cs="Times New Roman"/>
        </w:rPr>
        <w:t>2.</w:t>
      </w:r>
      <w:r>
        <w:rPr>
          <w:rFonts w:hint="eastAsia" w:cs="Times New Roman"/>
        </w:rPr>
        <w:t>5—</w:t>
      </w:r>
      <w:r>
        <w:rPr>
          <w:rFonts w:cs="Times New Roman"/>
        </w:rPr>
        <w:t xml:space="preserve">3     </w:t>
      </w:r>
      <w:r>
        <w:rPr>
          <w:rFonts w:hint="eastAsia" w:cs="Times New Roman"/>
        </w:rPr>
        <w:t xml:space="preserve">             估算模型参数表</w:t>
      </w:r>
    </w:p>
    <w:tbl>
      <w:tblPr>
        <w:tblStyle w:val="88"/>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091"/>
        <w:gridCol w:w="3096"/>
        <w:gridCol w:w="309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187" w:type="dxa"/>
            <w:gridSpan w:val="2"/>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参数</w:t>
            </w:r>
          </w:p>
        </w:tc>
        <w:tc>
          <w:tcPr>
            <w:tcW w:w="3099"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取值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091" w:type="dxa"/>
            <w:vMerge w:val="restart"/>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城市</w:t>
            </w:r>
            <w:r>
              <w:rPr>
                <w:rFonts w:cs="Times New Roman"/>
                <w:sz w:val="21"/>
              </w:rPr>
              <w:t>/</w:t>
            </w:r>
            <w:r>
              <w:rPr>
                <w:rFonts w:hint="eastAsia" w:cs="Times New Roman"/>
                <w:sz w:val="21"/>
              </w:rPr>
              <w:t>农村</w:t>
            </w:r>
          </w:p>
        </w:tc>
        <w:tc>
          <w:tcPr>
            <w:tcW w:w="3096"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城市</w:t>
            </w:r>
            <w:r>
              <w:rPr>
                <w:rFonts w:cs="Times New Roman"/>
                <w:sz w:val="21"/>
              </w:rPr>
              <w:t>/</w:t>
            </w:r>
            <w:r>
              <w:rPr>
                <w:rFonts w:hint="eastAsia" w:cs="Times New Roman"/>
                <w:sz w:val="21"/>
              </w:rPr>
              <w:t>农村</w:t>
            </w:r>
          </w:p>
        </w:tc>
        <w:tc>
          <w:tcPr>
            <w:tcW w:w="3099"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农村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091"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eastAsiaTheme="minorEastAsia"/>
                <w:sz w:val="21"/>
              </w:rPr>
            </w:pPr>
          </w:p>
        </w:tc>
        <w:tc>
          <w:tcPr>
            <w:tcW w:w="309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人口数</w:t>
            </w:r>
          </w:p>
        </w:tc>
        <w:tc>
          <w:tcPr>
            <w:tcW w:w="309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10</w:t>
            </w:r>
            <w:r>
              <w:rPr>
                <w:rFonts w:hint="eastAsia" w:cs="Times New Roman"/>
                <w:sz w:val="21"/>
              </w:rPr>
              <w:t>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187" w:type="dxa"/>
            <w:gridSpan w:val="2"/>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最高环境温度</w:t>
            </w:r>
            <w:r>
              <w:rPr>
                <w:rFonts w:cs="Times New Roman"/>
                <w:sz w:val="21"/>
              </w:rPr>
              <w:t>/</w:t>
            </w:r>
            <w:r>
              <w:rPr>
                <w:rFonts w:hint="eastAsia" w:ascii="宋体" w:hAnsi="宋体" w:cs="宋体"/>
                <w:sz w:val="21"/>
              </w:rPr>
              <w:t>℃</w:t>
            </w:r>
          </w:p>
        </w:tc>
        <w:tc>
          <w:tcPr>
            <w:tcW w:w="309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30.0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187" w:type="dxa"/>
            <w:gridSpan w:val="2"/>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最低环境温度</w:t>
            </w:r>
            <w:r>
              <w:rPr>
                <w:rFonts w:cs="Times New Roman"/>
                <w:sz w:val="21"/>
              </w:rPr>
              <w:t>/</w:t>
            </w:r>
            <w:r>
              <w:rPr>
                <w:rFonts w:hint="eastAsia" w:ascii="宋体" w:hAnsi="宋体" w:cs="宋体"/>
                <w:sz w:val="21"/>
              </w:rPr>
              <w:t>℃</w:t>
            </w:r>
          </w:p>
        </w:tc>
        <w:tc>
          <w:tcPr>
            <w:tcW w:w="309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-31.5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187" w:type="dxa"/>
            <w:gridSpan w:val="2"/>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土地利用类型</w:t>
            </w:r>
          </w:p>
        </w:tc>
        <w:tc>
          <w:tcPr>
            <w:tcW w:w="309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沙化荒漠</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187" w:type="dxa"/>
            <w:gridSpan w:val="2"/>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区域湿度条件</w:t>
            </w:r>
          </w:p>
        </w:tc>
        <w:tc>
          <w:tcPr>
            <w:tcW w:w="309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干燥气候</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091" w:type="dxa"/>
            <w:vMerge w:val="restart"/>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是否考虑地形</w:t>
            </w:r>
          </w:p>
        </w:tc>
        <w:tc>
          <w:tcPr>
            <w:tcW w:w="309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考虑地形</w:t>
            </w:r>
          </w:p>
        </w:tc>
        <w:tc>
          <w:tcPr>
            <w:tcW w:w="309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是</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091"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eastAsiaTheme="minorEastAsia"/>
                <w:sz w:val="21"/>
              </w:rPr>
            </w:pPr>
          </w:p>
        </w:tc>
        <w:tc>
          <w:tcPr>
            <w:tcW w:w="309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地形数据分辨率</w:t>
            </w:r>
          </w:p>
        </w:tc>
        <w:tc>
          <w:tcPr>
            <w:tcW w:w="309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91m</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091" w:type="dxa"/>
            <w:vMerge w:val="restart"/>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是否考虑海岸线烟熏</w:t>
            </w:r>
          </w:p>
        </w:tc>
        <w:tc>
          <w:tcPr>
            <w:tcW w:w="309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考虑海岸线烟熏</w:t>
            </w:r>
          </w:p>
        </w:tc>
        <w:tc>
          <w:tcPr>
            <w:tcW w:w="309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否</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091" w:type="dxa"/>
            <w:vMerge w:val="continue"/>
            <w:tcBorders>
              <w:top w:val="dotted" w:color="auto" w:sz="4" w:space="0"/>
              <w:left w:val="nil"/>
              <w:bottom w:val="single" w:color="auto" w:sz="12" w:space="0"/>
              <w:right w:val="dotted" w:color="auto" w:sz="4" w:space="0"/>
            </w:tcBorders>
            <w:vAlign w:val="center"/>
          </w:tcPr>
          <w:p>
            <w:pPr>
              <w:widowControl/>
              <w:spacing w:line="240" w:lineRule="atLeast"/>
              <w:ind w:firstLine="0" w:firstLineChars="0"/>
              <w:jc w:val="left"/>
              <w:rPr>
                <w:rFonts w:cs="Times New Roman" w:eastAsiaTheme="minorEastAsia"/>
                <w:sz w:val="21"/>
              </w:rPr>
            </w:pPr>
          </w:p>
        </w:tc>
        <w:tc>
          <w:tcPr>
            <w:tcW w:w="309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岸线距离</w:t>
            </w:r>
            <w:r>
              <w:rPr>
                <w:rFonts w:cs="Times New Roman"/>
                <w:sz w:val="21"/>
              </w:rPr>
              <w:t>/km</w:t>
            </w:r>
          </w:p>
        </w:tc>
        <w:tc>
          <w:tcPr>
            <w:tcW w:w="309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091" w:type="dxa"/>
            <w:vMerge w:val="continue"/>
            <w:tcBorders>
              <w:top w:val="dotted" w:color="auto" w:sz="4" w:space="0"/>
              <w:left w:val="nil"/>
              <w:bottom w:val="single" w:color="auto" w:sz="12" w:space="0"/>
              <w:right w:val="dotted" w:color="auto" w:sz="4" w:space="0"/>
            </w:tcBorders>
            <w:vAlign w:val="center"/>
          </w:tcPr>
          <w:p>
            <w:pPr>
              <w:widowControl/>
              <w:spacing w:line="240" w:lineRule="atLeast"/>
              <w:ind w:firstLine="0" w:firstLineChars="0"/>
              <w:jc w:val="left"/>
              <w:rPr>
                <w:rFonts w:cs="Times New Roman" w:eastAsiaTheme="minorEastAsia"/>
                <w:sz w:val="21"/>
              </w:rPr>
            </w:pPr>
          </w:p>
        </w:tc>
        <w:tc>
          <w:tcPr>
            <w:tcW w:w="3096"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岸线方向</w:t>
            </w:r>
            <w:r>
              <w:rPr>
                <w:rFonts w:cs="Times New Roman"/>
                <w:sz w:val="21"/>
              </w:rPr>
              <w:t>/</w:t>
            </w:r>
          </w:p>
        </w:tc>
        <w:tc>
          <w:tcPr>
            <w:tcW w:w="3099"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w:t>
            </w:r>
          </w:p>
        </w:tc>
      </w:tr>
    </w:tbl>
    <w:p>
      <w:pPr>
        <w:ind w:firstLine="480"/>
        <w:rPr>
          <w:rFonts w:cs="Times New Roman"/>
        </w:rPr>
      </w:pPr>
    </w:p>
    <w:p>
      <w:pPr>
        <w:ind w:firstLine="480"/>
        <w:rPr>
          <w:lang w:val="zh-CN"/>
        </w:rPr>
      </w:pPr>
      <w:r>
        <w:rPr>
          <w:rFonts w:hint="eastAsia" w:cs="Times New Roman"/>
        </w:rPr>
        <w:t>由表</w:t>
      </w:r>
      <w:r>
        <w:rPr>
          <w:rFonts w:cs="Times New Roman"/>
        </w:rPr>
        <w:t>2.4-4</w:t>
      </w:r>
      <w:r>
        <w:rPr>
          <w:rFonts w:hint="eastAsia" w:cs="Times New Roman"/>
        </w:rPr>
        <w:t>可知，危废综合处置厂：污染物最大地面浓度占标率</w:t>
      </w:r>
      <w:r>
        <w:rPr>
          <w:rFonts w:cs="Times New Roman"/>
        </w:rPr>
        <w:t>P</w:t>
      </w:r>
      <w:r>
        <w:rPr>
          <w:rFonts w:cs="Times New Roman"/>
          <w:vertAlign w:val="subscript"/>
        </w:rPr>
        <w:t>max</w:t>
      </w:r>
      <w:r>
        <w:rPr>
          <w:rFonts w:cs="Times New Roman"/>
        </w:rPr>
        <w:t>=Max(P</w:t>
      </w:r>
      <w:r>
        <w:rPr>
          <w:rFonts w:hint="eastAsia" w:cs="Times New Roman"/>
          <w:vertAlign w:val="subscript"/>
        </w:rPr>
        <w:t>H2S</w:t>
      </w:r>
      <w:r>
        <w:rPr>
          <w:rFonts w:cs="Times New Roman"/>
        </w:rPr>
        <w:t>)=</w:t>
      </w:r>
      <w:r>
        <w:rPr>
          <w:rFonts w:hint="eastAsia" w:cs="Times New Roman"/>
        </w:rPr>
        <w:t>46.19</w:t>
      </w:r>
      <w:r>
        <w:rPr>
          <w:rFonts w:cs="Times New Roman"/>
        </w:rPr>
        <w:t>%(</w:t>
      </w:r>
      <w:r>
        <w:rPr>
          <w:rFonts w:hint="eastAsia" w:cs="Times New Roman"/>
        </w:rPr>
        <w:t>焚烧车间无组织的H</w:t>
      </w:r>
      <w:r>
        <w:rPr>
          <w:rFonts w:hint="eastAsia" w:cs="Times New Roman"/>
          <w:vertAlign w:val="subscript"/>
        </w:rPr>
        <w:t>2</w:t>
      </w:r>
      <w:r>
        <w:rPr>
          <w:rFonts w:hint="eastAsia" w:cs="Times New Roman"/>
        </w:rPr>
        <w:t>S</w:t>
      </w:r>
      <w:r>
        <w:rPr>
          <w:rFonts w:cs="Times New Roman"/>
        </w:rPr>
        <w:t>)</w:t>
      </w:r>
      <w:r>
        <w:rPr>
          <w:rFonts w:hint="eastAsia" w:cs="Times New Roman"/>
        </w:rPr>
        <w:t>，其最大占标率＞</w:t>
      </w:r>
      <w:r>
        <w:rPr>
          <w:rFonts w:cs="Times New Roman"/>
        </w:rPr>
        <w:t>10%</w:t>
      </w:r>
      <w:r>
        <w:rPr>
          <w:rFonts w:hint="eastAsia" w:cs="Times New Roman"/>
        </w:rPr>
        <w:t>，故判定本项目大气环境评价工作等级为一级。</w:t>
      </w:r>
    </w:p>
    <w:p>
      <w:pPr>
        <w:pStyle w:val="5"/>
        <w:rPr>
          <w:lang w:val="zh-CN"/>
        </w:rPr>
      </w:pPr>
      <w:bookmarkStart w:id="124" w:name="_Toc13760096"/>
      <w:r>
        <w:rPr>
          <w:rFonts w:hint="eastAsia"/>
          <w:lang w:val="zh-CN"/>
        </w:rPr>
        <w:t>2.5.2地表水</w:t>
      </w:r>
      <w:bookmarkEnd w:id="124"/>
    </w:p>
    <w:p>
      <w:pPr>
        <w:ind w:firstLine="480"/>
      </w:pPr>
      <w:r>
        <w:rPr>
          <w:rFonts w:hint="eastAsia"/>
        </w:rPr>
        <w:t>本项目生活污水经化粪池处理后至污水处理站处置；本项目没有直接排放的废水，根据《环境影响评价技术导则-地表水环境》HJ2.3-2018中水污染影响型建设项目评价等级判定，确定本次评价等级为三级B。因此本次地表水评价重点为a、水污染控制和水环境影响减缓措施有效性评价；b、依托污水处理设施的环境可行性评价。</w:t>
      </w:r>
    </w:p>
    <w:p>
      <w:pPr>
        <w:pStyle w:val="5"/>
        <w:rPr>
          <w:lang w:val="zh-CN"/>
        </w:rPr>
      </w:pPr>
      <w:bookmarkStart w:id="125" w:name="_Toc13760097"/>
      <w:r>
        <w:rPr>
          <w:rFonts w:hint="eastAsia"/>
          <w:lang w:val="zh-CN"/>
        </w:rPr>
        <w:t>2.5.3地下水</w:t>
      </w:r>
      <w:bookmarkEnd w:id="125"/>
    </w:p>
    <w:p>
      <w:pPr>
        <w:snapToGrid w:val="0"/>
        <w:ind w:firstLine="480"/>
        <w:rPr>
          <w:color w:val="FF0000"/>
        </w:rPr>
      </w:pPr>
      <w:r>
        <w:rPr>
          <w:rFonts w:hint="eastAsia"/>
          <w:szCs w:val="24"/>
        </w:rPr>
        <w:t>改扩建后项目的危险废物处置厂、填埋场的位置和面积及运输路线未发生变化。本次评价引用之前环评地下水结论。项目危废综合处置厂地下水环境影响评价工作等级为“二级”。</w:t>
      </w:r>
    </w:p>
    <w:p>
      <w:pPr>
        <w:pStyle w:val="5"/>
      </w:pPr>
      <w:bookmarkStart w:id="126" w:name="_Toc13760098"/>
      <w:bookmarkStart w:id="127" w:name="_Toc105929152"/>
      <w:bookmarkStart w:id="128" w:name="_Toc503368851"/>
      <w:r>
        <w:t>2.5.4</w:t>
      </w:r>
      <w:r>
        <w:rPr>
          <w:rFonts w:hint="eastAsia"/>
        </w:rPr>
        <w:t>环境噪声</w:t>
      </w:r>
      <w:bookmarkEnd w:id="126"/>
      <w:bookmarkEnd w:id="127"/>
      <w:bookmarkEnd w:id="128"/>
    </w:p>
    <w:p>
      <w:pPr>
        <w:ind w:firstLine="480"/>
        <w:rPr>
          <w:szCs w:val="20"/>
        </w:rPr>
      </w:pPr>
      <w:r>
        <w:rPr>
          <w:rFonts w:hint="eastAsia"/>
        </w:rPr>
        <w:t>根据《环境影响评价技术导则声环境》（</w:t>
      </w:r>
      <w:r>
        <w:t>HJ2.4-2009</w:t>
      </w:r>
      <w:r>
        <w:rPr>
          <w:rFonts w:hint="eastAsia"/>
        </w:rPr>
        <w:t>）中评价等级的划分原则</w:t>
      </w:r>
      <w:r>
        <w:t>—5.2.4</w:t>
      </w:r>
      <w:r>
        <w:rPr>
          <w:rFonts w:hint="eastAsia"/>
        </w:rPr>
        <w:t>，建设项目所处的声环境功能区为</w:t>
      </w:r>
      <w:r>
        <w:t>GB3096</w:t>
      </w:r>
      <w:r>
        <w:rPr>
          <w:rFonts w:hint="eastAsia"/>
        </w:rPr>
        <w:t>规定的</w:t>
      </w:r>
      <w:r>
        <w:t>3</w:t>
      </w:r>
      <w:r>
        <w:rPr>
          <w:rFonts w:hint="eastAsia"/>
        </w:rPr>
        <w:t>、</w:t>
      </w:r>
      <w:r>
        <w:t>4</w:t>
      </w:r>
      <w:r>
        <w:rPr>
          <w:rFonts w:hint="eastAsia"/>
        </w:rPr>
        <w:t>类地区，或建设项目建设前后评价范围内敏感目标噪声级增高量在</w:t>
      </w:r>
      <w:r>
        <w:t>3dB(A)</w:t>
      </w:r>
      <w:r>
        <w:rPr>
          <w:rFonts w:hint="eastAsia"/>
        </w:rPr>
        <w:t>以下</w:t>
      </w:r>
      <w:r>
        <w:t>(</w:t>
      </w:r>
      <w:r>
        <w:rPr>
          <w:rFonts w:hint="eastAsia"/>
        </w:rPr>
        <w:t>不含</w:t>
      </w:r>
      <w:r>
        <w:t>3dB(A))</w:t>
      </w:r>
      <w:r>
        <w:rPr>
          <w:rFonts w:hint="eastAsia"/>
        </w:rPr>
        <w:t>，且受影响人口数量变化不大时按三级评价。</w:t>
      </w:r>
    </w:p>
    <w:p>
      <w:pPr>
        <w:ind w:firstLine="480"/>
      </w:pPr>
      <w:r>
        <w:rPr>
          <w:rFonts w:hint="eastAsia"/>
        </w:rPr>
        <w:t>本项目两个厂址所在区域为声环境功能区为</w:t>
      </w:r>
      <w:r>
        <w:t>GB3096</w:t>
      </w:r>
      <w:r>
        <w:rPr>
          <w:rFonts w:hint="eastAsia"/>
        </w:rPr>
        <w:t>规定的</w:t>
      </w:r>
      <w:r>
        <w:t>3</w:t>
      </w:r>
      <w:r>
        <w:rPr>
          <w:rFonts w:hint="eastAsia"/>
        </w:rPr>
        <w:t>类地区，建设前后评价范围内敏感目标噪声级增高量在</w:t>
      </w:r>
      <w:r>
        <w:t>3dB(A)</w:t>
      </w:r>
      <w:r>
        <w:rPr>
          <w:rFonts w:hint="eastAsia"/>
        </w:rPr>
        <w:t>以下</w:t>
      </w:r>
      <w:r>
        <w:t>(</w:t>
      </w:r>
      <w:r>
        <w:rPr>
          <w:rFonts w:hint="eastAsia"/>
        </w:rPr>
        <w:t>不含</w:t>
      </w:r>
      <w:r>
        <w:t>3dB(A))</w:t>
      </w:r>
      <w:r>
        <w:rPr>
          <w:rFonts w:hint="eastAsia"/>
        </w:rPr>
        <w:t>，且受影响人口数量变化不大，因此本项目噪声工作等级定为三级。</w:t>
      </w:r>
    </w:p>
    <w:p>
      <w:pPr>
        <w:pStyle w:val="5"/>
      </w:pPr>
      <w:bookmarkStart w:id="129" w:name="_Toc13760099"/>
      <w:r>
        <w:rPr>
          <w:rFonts w:hint="eastAsia"/>
        </w:rPr>
        <w:t>2.5.5风险环境评价</w:t>
      </w:r>
      <w:bookmarkEnd w:id="129"/>
    </w:p>
    <w:p>
      <w:pPr>
        <w:pStyle w:val="739"/>
        <w:ind w:firstLine="480"/>
      </w:pPr>
      <w:r>
        <w:rPr>
          <w:rFonts w:hint="eastAsia"/>
        </w:rPr>
        <w:t>根据《建设项目环境风险评价技术导则</w:t>
      </w:r>
      <w:r>
        <w:t xml:space="preserve"> HJ169-2018</w:t>
      </w:r>
      <w:r>
        <w:rPr>
          <w:rFonts w:hint="eastAsia"/>
        </w:rPr>
        <w:t>》，建设项目风险评价等级划分如下表2.5</w:t>
      </w:r>
      <w:r>
        <w:rPr>
          <w:rFonts w:hint="eastAsia"/>
          <w:sz w:val="21"/>
          <w:szCs w:val="21"/>
        </w:rPr>
        <w:t>—</w:t>
      </w:r>
      <w:r>
        <w:rPr>
          <w:rFonts w:hint="eastAsia"/>
        </w:rPr>
        <w:t>5所示。</w:t>
      </w:r>
    </w:p>
    <w:p>
      <w:pPr>
        <w:pStyle w:val="739"/>
        <w:ind w:firstLine="480"/>
        <w:rPr>
          <w:rFonts w:cs="Times New Roman"/>
        </w:rPr>
      </w:pPr>
      <w:r>
        <w:rPr>
          <w:rFonts w:hint="eastAsia" w:cs="Times New Roman" w:hAnsiTheme="minorEastAsia"/>
        </w:rPr>
        <w:t>表</w:t>
      </w:r>
      <w:r>
        <w:rPr>
          <w:rFonts w:hint="eastAsia"/>
        </w:rPr>
        <w:t>2.5</w:t>
      </w:r>
      <w:r>
        <w:rPr>
          <w:rFonts w:hint="eastAsia"/>
          <w:sz w:val="21"/>
          <w:szCs w:val="21"/>
        </w:rPr>
        <w:t>—</w:t>
      </w:r>
      <w:r>
        <w:rPr>
          <w:rFonts w:hint="eastAsia"/>
        </w:rPr>
        <w:t>5</w:t>
      </w:r>
      <w:r>
        <w:rPr>
          <w:rFonts w:hint="eastAsia" w:cs="Times New Roman" w:hAnsiTheme="minorEastAsia"/>
        </w:rPr>
        <w:t>评价工作等级划分</w:t>
      </w:r>
    </w:p>
    <w:tbl>
      <w:tblPr>
        <w:tblStyle w:val="88"/>
        <w:tblW w:w="9286" w:type="dxa"/>
        <w:tblInd w:w="0" w:type="dxa"/>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Layout w:type="fixed"/>
        <w:tblCellMar>
          <w:top w:w="0" w:type="dxa"/>
          <w:left w:w="108" w:type="dxa"/>
          <w:bottom w:w="0" w:type="dxa"/>
          <w:right w:w="108" w:type="dxa"/>
        </w:tblCellMar>
      </w:tblPr>
      <w:tblGrid>
        <w:gridCol w:w="1856"/>
        <w:gridCol w:w="1857"/>
        <w:gridCol w:w="1857"/>
        <w:gridCol w:w="1858"/>
        <w:gridCol w:w="1858"/>
      </w:tblGrid>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108" w:type="dxa"/>
            <w:bottom w:w="0" w:type="dxa"/>
            <w:right w:w="108" w:type="dxa"/>
          </w:tblCellMar>
        </w:tblPrEx>
        <w:tc>
          <w:tcPr>
            <w:tcW w:w="1856" w:type="dxa"/>
            <w:tcBorders>
              <w:top w:val="single" w:color="auto" w:sz="12" w:space="0"/>
              <w:left w:val="nil"/>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环境风险潜势</w:t>
            </w:r>
          </w:p>
        </w:tc>
        <w:tc>
          <w:tcPr>
            <w:tcW w:w="1857"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4 \* ROMAN </w:instrText>
            </w:r>
            <w:r>
              <w:rPr>
                <w:sz w:val="21"/>
              </w:rPr>
              <w:fldChar w:fldCharType="separate"/>
            </w:r>
            <w:r>
              <w:rPr>
                <w:sz w:val="21"/>
              </w:rPr>
              <w:t>IV</w:t>
            </w:r>
            <w:r>
              <w:rPr>
                <w:sz w:val="21"/>
              </w:rPr>
              <w:fldChar w:fldCharType="end"/>
            </w:r>
            <w:r>
              <w:rPr>
                <w:rFonts w:hint="eastAsia"/>
                <w:sz w:val="21"/>
              </w:rPr>
              <w:t>、</w:t>
            </w:r>
            <w:r>
              <w:rPr>
                <w:sz w:val="21"/>
              </w:rPr>
              <w:t>IV</w:t>
            </w:r>
            <w:r>
              <w:rPr>
                <w:sz w:val="21"/>
                <w:vertAlign w:val="superscript"/>
              </w:rPr>
              <w:t>+</w:t>
            </w:r>
          </w:p>
        </w:tc>
        <w:tc>
          <w:tcPr>
            <w:tcW w:w="1857"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3 \* ROMAN </w:instrText>
            </w:r>
            <w:r>
              <w:rPr>
                <w:sz w:val="21"/>
              </w:rPr>
              <w:fldChar w:fldCharType="separate"/>
            </w:r>
            <w:r>
              <w:rPr>
                <w:sz w:val="21"/>
              </w:rPr>
              <w:t>III</w:t>
            </w:r>
            <w:r>
              <w:rPr>
                <w:sz w:val="21"/>
              </w:rPr>
              <w:fldChar w:fldCharType="end"/>
            </w:r>
          </w:p>
        </w:tc>
        <w:tc>
          <w:tcPr>
            <w:tcW w:w="1858"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2 \* ROMAN </w:instrText>
            </w:r>
            <w:r>
              <w:rPr>
                <w:sz w:val="21"/>
              </w:rPr>
              <w:fldChar w:fldCharType="separate"/>
            </w:r>
            <w:r>
              <w:rPr>
                <w:sz w:val="21"/>
              </w:rPr>
              <w:t>II</w:t>
            </w:r>
            <w:r>
              <w:rPr>
                <w:sz w:val="21"/>
              </w:rPr>
              <w:fldChar w:fldCharType="end"/>
            </w:r>
          </w:p>
        </w:tc>
        <w:tc>
          <w:tcPr>
            <w:tcW w:w="1858" w:type="dxa"/>
            <w:tcBorders>
              <w:top w:val="single" w:color="auto" w:sz="12" w:space="0"/>
              <w:left w:val="dotted" w:color="auto" w:sz="4" w:space="0"/>
              <w:bottom w:val="single" w:color="auto" w:sz="12" w:space="0"/>
              <w:right w:val="nil"/>
            </w:tcBorders>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1 \* ROMAN </w:instrText>
            </w:r>
            <w:r>
              <w:rPr>
                <w:sz w:val="21"/>
              </w:rPr>
              <w:fldChar w:fldCharType="separate"/>
            </w:r>
            <w:r>
              <w:rPr>
                <w:sz w:val="21"/>
              </w:rPr>
              <w:t>I</w:t>
            </w:r>
            <w:r>
              <w:rPr>
                <w:sz w:val="21"/>
              </w:rPr>
              <w:fldChar w:fldCharType="end"/>
            </w:r>
          </w:p>
        </w:tc>
      </w:tr>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108" w:type="dxa"/>
            <w:bottom w:w="0" w:type="dxa"/>
            <w:right w:w="108" w:type="dxa"/>
          </w:tblCellMar>
        </w:tblPrEx>
        <w:tc>
          <w:tcPr>
            <w:tcW w:w="1856" w:type="dxa"/>
            <w:tcBorders>
              <w:top w:val="single" w:color="auto" w:sz="12" w:space="0"/>
              <w:left w:val="nil"/>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评价工作等级</w:t>
            </w:r>
          </w:p>
        </w:tc>
        <w:tc>
          <w:tcPr>
            <w:tcW w:w="1857"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一</w:t>
            </w:r>
          </w:p>
        </w:tc>
        <w:tc>
          <w:tcPr>
            <w:tcW w:w="1857"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二</w:t>
            </w:r>
          </w:p>
        </w:tc>
        <w:tc>
          <w:tcPr>
            <w:tcW w:w="1858"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三</w:t>
            </w:r>
          </w:p>
        </w:tc>
        <w:tc>
          <w:tcPr>
            <w:tcW w:w="1858" w:type="dxa"/>
            <w:tcBorders>
              <w:top w:val="single" w:color="auto" w:sz="12" w:space="0"/>
              <w:left w:val="dotted" w:color="auto" w:sz="4" w:space="0"/>
              <w:bottom w:val="single" w:color="auto" w:sz="12" w:space="0"/>
              <w:right w:val="nil"/>
            </w:tcBorders>
          </w:tcPr>
          <w:p>
            <w:pPr>
              <w:adjustRightInd w:val="0"/>
              <w:snapToGrid w:val="0"/>
              <w:spacing w:line="240" w:lineRule="atLeast"/>
              <w:ind w:firstLine="0" w:firstLineChars="0"/>
              <w:jc w:val="center"/>
              <w:rPr>
                <w:rFonts w:eastAsiaTheme="minorEastAsia"/>
                <w:sz w:val="21"/>
              </w:rPr>
            </w:pPr>
            <w:r>
              <w:rPr>
                <w:rFonts w:hint="eastAsia"/>
                <w:sz w:val="21"/>
              </w:rPr>
              <w:t>简单分析</w:t>
            </w:r>
          </w:p>
        </w:tc>
      </w:tr>
    </w:tbl>
    <w:p>
      <w:pPr>
        <w:adjustRightInd w:val="0"/>
        <w:snapToGrid w:val="0"/>
        <w:ind w:firstLine="480"/>
        <w:rPr>
          <w:szCs w:val="24"/>
        </w:rPr>
      </w:pPr>
    </w:p>
    <w:p>
      <w:pPr>
        <w:adjustRightInd w:val="0"/>
        <w:snapToGrid w:val="0"/>
        <w:ind w:firstLine="480"/>
        <w:rPr>
          <w:rFonts w:eastAsiaTheme="minorEastAsia"/>
          <w:szCs w:val="24"/>
        </w:rPr>
      </w:pPr>
      <w:r>
        <w:rPr>
          <w:rFonts w:hint="eastAsia"/>
          <w:szCs w:val="24"/>
        </w:rPr>
        <w:t>根据大气、地表水、地下水风险潜势分析（见8.2章节），项目各要素风险评价等级如下表</w:t>
      </w:r>
      <w:r>
        <w:rPr>
          <w:rFonts w:hint="eastAsia"/>
        </w:rPr>
        <w:t>2.5</w:t>
      </w:r>
      <w:r>
        <w:rPr>
          <w:rFonts w:hint="eastAsia"/>
          <w:sz w:val="21"/>
        </w:rPr>
        <w:t>—</w:t>
      </w:r>
      <w:r>
        <w:rPr>
          <w:rFonts w:hint="eastAsia"/>
          <w:szCs w:val="24"/>
        </w:rPr>
        <w:t>6所示。</w:t>
      </w:r>
    </w:p>
    <w:p>
      <w:pPr>
        <w:widowControl/>
        <w:adjustRightInd w:val="0"/>
        <w:snapToGrid w:val="0"/>
        <w:spacing w:line="500" w:lineRule="exact"/>
        <w:ind w:firstLine="480"/>
        <w:rPr>
          <w:rFonts w:cs="Times New Roman"/>
          <w:kern w:val="0"/>
          <w:szCs w:val="24"/>
        </w:rPr>
      </w:pPr>
      <w:r>
        <w:rPr>
          <w:rFonts w:hint="eastAsia" w:cs="Times New Roman"/>
          <w:kern w:val="0"/>
          <w:szCs w:val="24"/>
        </w:rPr>
        <w:t>表</w:t>
      </w:r>
      <w:r>
        <w:rPr>
          <w:rFonts w:hint="eastAsia"/>
        </w:rPr>
        <w:t>2.5</w:t>
      </w:r>
      <w:r>
        <w:rPr>
          <w:rFonts w:hint="eastAsia"/>
          <w:sz w:val="21"/>
        </w:rPr>
        <w:t>—</w:t>
      </w:r>
      <w:r>
        <w:rPr>
          <w:rFonts w:hint="eastAsia"/>
          <w:szCs w:val="24"/>
        </w:rPr>
        <w:t xml:space="preserve">6     </w:t>
      </w:r>
      <w:r>
        <w:rPr>
          <w:rFonts w:hint="eastAsia" w:cs="Times New Roman"/>
          <w:kern w:val="0"/>
          <w:szCs w:val="24"/>
        </w:rPr>
        <w:t>项目各要素风险评价等级确定</w:t>
      </w:r>
    </w:p>
    <w:tbl>
      <w:tblPr>
        <w:tblStyle w:val="88"/>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095"/>
        <w:gridCol w:w="3095"/>
        <w:gridCol w:w="309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095"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环境要素</w:t>
            </w:r>
          </w:p>
        </w:tc>
        <w:tc>
          <w:tcPr>
            <w:tcW w:w="3095"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风险潜势</w:t>
            </w:r>
          </w:p>
        </w:tc>
        <w:tc>
          <w:tcPr>
            <w:tcW w:w="3096"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评价等级</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095"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大气</w:t>
            </w:r>
          </w:p>
        </w:tc>
        <w:tc>
          <w:tcPr>
            <w:tcW w:w="3095"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III</w:t>
            </w:r>
          </w:p>
        </w:tc>
        <w:tc>
          <w:tcPr>
            <w:tcW w:w="3096"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二</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09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地表水</w:t>
            </w:r>
          </w:p>
        </w:tc>
        <w:tc>
          <w:tcPr>
            <w:tcW w:w="309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III</w:t>
            </w:r>
          </w:p>
        </w:tc>
        <w:tc>
          <w:tcPr>
            <w:tcW w:w="3096"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二</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095"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地下水</w:t>
            </w:r>
          </w:p>
        </w:tc>
        <w:tc>
          <w:tcPr>
            <w:tcW w:w="3095"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III</w:t>
            </w:r>
          </w:p>
        </w:tc>
        <w:tc>
          <w:tcPr>
            <w:tcW w:w="3096"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二</w:t>
            </w:r>
          </w:p>
        </w:tc>
      </w:tr>
    </w:tbl>
    <w:p>
      <w:pPr>
        <w:adjustRightInd w:val="0"/>
        <w:snapToGrid w:val="0"/>
        <w:ind w:firstLine="480"/>
        <w:rPr>
          <w:szCs w:val="24"/>
        </w:rPr>
      </w:pPr>
    </w:p>
    <w:p>
      <w:pPr>
        <w:adjustRightInd w:val="0"/>
        <w:snapToGrid w:val="0"/>
        <w:ind w:firstLine="480"/>
        <w:rPr>
          <w:rFonts w:cs="Times New Roman" w:eastAsiaTheme="minorEastAsia"/>
          <w:szCs w:val="24"/>
        </w:rPr>
      </w:pPr>
      <w:r>
        <w:rPr>
          <w:rFonts w:hint="eastAsia"/>
          <w:szCs w:val="24"/>
        </w:rPr>
        <w:t>根据表</w:t>
      </w:r>
      <w:r>
        <w:rPr>
          <w:rFonts w:hint="eastAsia"/>
        </w:rPr>
        <w:t>2.5</w:t>
      </w:r>
      <w:r>
        <w:rPr>
          <w:rFonts w:hint="eastAsia"/>
          <w:sz w:val="21"/>
        </w:rPr>
        <w:t>—</w:t>
      </w:r>
      <w:r>
        <w:rPr>
          <w:rFonts w:hint="eastAsia"/>
          <w:szCs w:val="24"/>
        </w:rPr>
        <w:t>6，本项目风险评价等级为二级，大气环境风险评价范围为距建设项目边界</w:t>
      </w:r>
      <w:r>
        <w:rPr>
          <w:szCs w:val="24"/>
        </w:rPr>
        <w:t>5km</w:t>
      </w:r>
      <w:r>
        <w:rPr>
          <w:rFonts w:hint="eastAsia"/>
          <w:szCs w:val="24"/>
        </w:rPr>
        <w:t>；由于项目产生的废水经污水处理站处理后全部回用，不外排，因此不再设定地表水评价范围；项目地下水评价范围见本报告2.6章节部分。</w:t>
      </w:r>
    </w:p>
    <w:p>
      <w:pPr>
        <w:pStyle w:val="5"/>
      </w:pPr>
      <w:bookmarkStart w:id="130" w:name="_Toc465696512"/>
      <w:bookmarkStart w:id="131" w:name="_Toc532546038"/>
      <w:bookmarkStart w:id="132" w:name="_Toc13760100"/>
      <w:bookmarkStart w:id="133" w:name="_Toc493262710"/>
      <w:r>
        <w:t>2.5.6</w:t>
      </w:r>
      <w:r>
        <w:rPr>
          <w:rFonts w:hint="eastAsia"/>
        </w:rPr>
        <w:t>生态环境</w:t>
      </w:r>
      <w:bookmarkEnd w:id="130"/>
      <w:bookmarkEnd w:id="131"/>
      <w:bookmarkEnd w:id="132"/>
      <w:bookmarkEnd w:id="133"/>
    </w:p>
    <w:p>
      <w:pPr>
        <w:pStyle w:val="183"/>
        <w:snapToGrid w:val="0"/>
        <w:rPr>
          <w:rFonts w:ascii="Times New Roman"/>
        </w:rPr>
      </w:pPr>
      <w:r>
        <w:rPr>
          <w:rFonts w:hint="eastAsia" w:ascii="Times New Roman"/>
        </w:rPr>
        <w:t>改扩建后项目处置厂无新增占地，改扩建后项目评价区域无自然保护区、风景名胜区、珍稀动植物资源等敏感目标，不属于特殊及重要生态敏感区，属生态敏感性一般区域，本次环评引用之前环评的生态环境的影响做分析结论及恢复措施。</w:t>
      </w:r>
    </w:p>
    <w:p>
      <w:pPr>
        <w:pStyle w:val="4"/>
      </w:pPr>
      <w:bookmarkStart w:id="134" w:name="_Toc3282116"/>
      <w:bookmarkStart w:id="135" w:name="_Toc13760101"/>
      <w:r>
        <w:rPr>
          <w:rFonts w:hint="eastAsia"/>
        </w:rPr>
        <w:t>2.6评价范围</w:t>
      </w:r>
      <w:bookmarkEnd w:id="134"/>
      <w:bookmarkEnd w:id="135"/>
    </w:p>
    <w:p>
      <w:pPr>
        <w:pStyle w:val="161"/>
        <w:ind w:firstLine="480"/>
      </w:pPr>
      <w:r>
        <w:rPr>
          <w:rFonts w:hint="eastAsia"/>
        </w:rPr>
        <w:t>根据本项目的评价等级及相关环评导则的规定，确定本次评价范围如下：</w:t>
      </w:r>
    </w:p>
    <w:p>
      <w:pPr>
        <w:pStyle w:val="161"/>
        <w:ind w:firstLine="480"/>
        <w:outlineLvl w:val="0"/>
      </w:pPr>
      <w:bookmarkStart w:id="136" w:name="_Toc13760102"/>
      <w:bookmarkStart w:id="137" w:name="_Toc13582054"/>
      <w:r>
        <w:rPr>
          <w:rFonts w:hint="eastAsia"/>
        </w:rPr>
        <w:t>⑴环境空气</w:t>
      </w:r>
      <w:bookmarkEnd w:id="136"/>
      <w:bookmarkEnd w:id="137"/>
    </w:p>
    <w:p>
      <w:pPr>
        <w:pStyle w:val="161"/>
        <w:ind w:firstLine="480"/>
      </w:pPr>
      <w:r>
        <w:rPr>
          <w:rFonts w:hint="eastAsia"/>
        </w:rPr>
        <w:t>根据估算</w:t>
      </w:r>
      <w:r>
        <w:rPr>
          <w:rFonts w:hint="eastAsia" w:cs="Times New Roman"/>
        </w:rPr>
        <w:t>估算模式计算结果及《环境影响评价技术导则大气环境》</w:t>
      </w:r>
      <w:r>
        <w:rPr>
          <w:rFonts w:cs="Times New Roman"/>
        </w:rPr>
        <w:t>(HJ2.2-2018)5.4</w:t>
      </w:r>
      <w:r>
        <w:rPr>
          <w:rFonts w:hint="eastAsia" w:cs="Times New Roman"/>
        </w:rPr>
        <w:t>节规定，本项目大气环境评价范围确定为以厂址为中心区域，自厂界外延</w:t>
      </w:r>
      <w:r>
        <w:rPr>
          <w:rFonts w:cs="Times New Roman"/>
        </w:rPr>
        <w:t>5km</w:t>
      </w:r>
      <w:r>
        <w:rPr>
          <w:rFonts w:hint="eastAsia" w:cs="Times New Roman"/>
        </w:rPr>
        <w:t>的矩形区域。</w:t>
      </w:r>
    </w:p>
    <w:p>
      <w:pPr>
        <w:pStyle w:val="161"/>
        <w:ind w:firstLine="480"/>
        <w:outlineLvl w:val="0"/>
      </w:pPr>
      <w:bookmarkStart w:id="138" w:name="_Toc13582055"/>
      <w:bookmarkStart w:id="139" w:name="_Toc13760103"/>
      <w:r>
        <w:rPr>
          <w:rFonts w:hint="eastAsia"/>
        </w:rPr>
        <w:t>⑵地下水环境</w:t>
      </w:r>
      <w:bookmarkEnd w:id="138"/>
      <w:bookmarkEnd w:id="139"/>
    </w:p>
    <w:p>
      <w:pPr>
        <w:pStyle w:val="161"/>
        <w:ind w:firstLine="480"/>
      </w:pPr>
      <w:r>
        <w:rPr>
          <w:rFonts w:hint="eastAsia" w:hAnsi="宋体"/>
        </w:rPr>
        <w:t>本项目安全填埋场位于东部的低山丘陵，危废综合处置厂位于西部的剥蚀准平原，区域地下水径流方向为自东部的低山丘陵向西部的剥蚀准平原，最后在剥蚀准平原由北向南径流。因此，本次地下水评价范围的确定，东部低山丘陵区以安全填埋场区为起点向东部和北部上游外扩约</w:t>
      </w:r>
      <w:r>
        <w:t>1.1km</w:t>
      </w:r>
      <w:r>
        <w:rPr>
          <w:rFonts w:hint="eastAsia" w:hAnsi="宋体"/>
        </w:rPr>
        <w:t>，西部剥蚀准平原区北部以</w:t>
      </w:r>
      <w:r>
        <w:t>1360m</w:t>
      </w:r>
      <w:r>
        <w:rPr>
          <w:rFonts w:hint="eastAsia" w:hAnsi="宋体"/>
        </w:rPr>
        <w:t>标高等水位线为界，南部以</w:t>
      </w:r>
      <w:r>
        <w:t>1285m</w:t>
      </w:r>
      <w:r>
        <w:rPr>
          <w:rFonts w:hint="eastAsia" w:hAnsi="宋体"/>
        </w:rPr>
        <w:t>标高等水位线为界，西部外扩约</w:t>
      </w:r>
      <w:r>
        <w:t>2.5km</w:t>
      </w:r>
      <w:r>
        <w:rPr>
          <w:rFonts w:hint="eastAsia" w:hAnsi="宋体"/>
        </w:rPr>
        <w:t>，外扩边界垂直地下水等水位线，划定地下水调查评价区面积</w:t>
      </w:r>
      <w:r>
        <w:t>105.79km</w:t>
      </w:r>
      <w:r>
        <w:rPr>
          <w:vertAlign w:val="superscript"/>
        </w:rPr>
        <w:t>2</w:t>
      </w:r>
      <w:r>
        <w:rPr>
          <w:rFonts w:hint="eastAsia" w:hAnsi="宋体"/>
        </w:rPr>
        <w:t>。地下水评价范围图见图</w:t>
      </w:r>
      <w:r>
        <w:t>2.6</w:t>
      </w:r>
      <w:r>
        <w:rPr>
          <w:rFonts w:hint="eastAsia"/>
        </w:rPr>
        <w:t>—</w:t>
      </w:r>
      <w:r>
        <w:t>1</w:t>
      </w:r>
      <w:r>
        <w:rPr>
          <w:rFonts w:hint="eastAsia" w:hAnsi="宋体"/>
        </w:rPr>
        <w:t>。</w:t>
      </w:r>
    </w:p>
    <w:p>
      <w:pPr>
        <w:pStyle w:val="178"/>
        <w:snapToGrid w:val="0"/>
        <w:ind w:firstLine="0" w:firstLineChars="0"/>
        <w:jc w:val="center"/>
        <w:rPr>
          <w:rFonts w:hAnsi="宋体"/>
        </w:rPr>
      </w:pPr>
    </w:p>
    <w:p>
      <w:pPr>
        <w:pStyle w:val="178"/>
        <w:snapToGrid w:val="0"/>
        <w:ind w:firstLine="480"/>
        <w:rPr>
          <w:rFonts w:ascii="Times New Roman" w:hAnsi="Times New Roman"/>
        </w:rPr>
      </w:pPr>
      <w:r>
        <w:rPr>
          <w:rFonts w:hint="eastAsia" w:ascii="Times New Roman" w:hAnsi="Times New Roman"/>
        </w:rPr>
        <w:t>图</w:t>
      </w:r>
      <w:r>
        <w:rPr>
          <w:rFonts w:ascii="Times New Roman" w:hAnsi="Times New Roman"/>
        </w:rPr>
        <w:t>2.6</w:t>
      </w:r>
      <w:r>
        <w:rPr>
          <w:rFonts w:hint="eastAsia" w:ascii="Times New Roman" w:hAnsi="Times New Roman"/>
        </w:rPr>
        <w:t>—</w:t>
      </w:r>
      <w:r>
        <w:rPr>
          <w:rFonts w:ascii="Times New Roman" w:hAnsi="Times New Roman"/>
        </w:rPr>
        <w:t xml:space="preserve">1             </w:t>
      </w:r>
      <w:r>
        <w:rPr>
          <w:rFonts w:hint="eastAsia"/>
        </w:rPr>
        <w:t>本项目地下水评价范围示意图</w:t>
      </w:r>
    </w:p>
    <w:p>
      <w:pPr>
        <w:pStyle w:val="178"/>
        <w:snapToGrid w:val="0"/>
        <w:ind w:firstLine="422"/>
        <w:rPr>
          <w:rFonts w:ascii="Times New Roman" w:hAnsi="宋体"/>
        </w:rPr>
      </w:pPr>
      <w:r>
        <w:rPr>
          <w:rFonts w:hint="eastAsia"/>
          <w:b/>
          <w:sz w:val="21"/>
        </w:rPr>
        <w:t>注：图中地下水等水位线引自《内蒙古自治区阿拉善左旗腾格里—孪井滩生态移民示范区水文地质普查报告》</w:t>
      </w:r>
    </w:p>
    <w:p>
      <w:pPr>
        <w:pStyle w:val="161"/>
        <w:ind w:firstLine="480"/>
        <w:outlineLvl w:val="0"/>
      </w:pPr>
      <w:bookmarkStart w:id="140" w:name="_Toc13582056"/>
      <w:bookmarkStart w:id="141" w:name="_Toc13760104"/>
      <w:r>
        <w:rPr>
          <w:rFonts w:hint="eastAsia" w:hAnsi="宋体"/>
        </w:rPr>
        <w:t>⑶</w:t>
      </w:r>
      <w:r>
        <w:rPr>
          <w:rFonts w:hint="eastAsia"/>
        </w:rPr>
        <w:t>噪声环境</w:t>
      </w:r>
      <w:bookmarkEnd w:id="140"/>
      <w:bookmarkEnd w:id="141"/>
    </w:p>
    <w:p>
      <w:pPr>
        <w:pStyle w:val="161"/>
        <w:ind w:firstLine="480"/>
      </w:pPr>
      <w:r>
        <w:rPr>
          <w:rFonts w:hint="eastAsia"/>
        </w:rPr>
        <w:t>危废综合处置厂的厂界噪声评价范围：厂界外</w:t>
      </w:r>
      <w:r>
        <w:t>200m</w:t>
      </w:r>
      <w:r>
        <w:rPr>
          <w:rFonts w:hint="eastAsia"/>
        </w:rPr>
        <w:t>。</w:t>
      </w:r>
    </w:p>
    <w:p>
      <w:pPr>
        <w:pStyle w:val="161"/>
        <w:ind w:firstLine="480"/>
        <w:outlineLvl w:val="0"/>
      </w:pPr>
      <w:bookmarkStart w:id="142" w:name="_Toc13760105"/>
      <w:bookmarkStart w:id="143" w:name="_Toc13582057"/>
      <w:r>
        <w:rPr>
          <w:rFonts w:hint="eastAsia" w:hAnsi="宋体"/>
        </w:rPr>
        <w:t>⑷</w:t>
      </w:r>
      <w:r>
        <w:rPr>
          <w:rFonts w:hint="eastAsia"/>
        </w:rPr>
        <w:t>风险评价</w:t>
      </w:r>
      <w:bookmarkEnd w:id="142"/>
      <w:bookmarkEnd w:id="143"/>
    </w:p>
    <w:p>
      <w:pPr>
        <w:pStyle w:val="161"/>
        <w:ind w:firstLine="480"/>
      </w:pPr>
      <w:r>
        <w:rPr>
          <w:rFonts w:hint="eastAsia"/>
        </w:rPr>
        <w:t>危废综合处置厂的风险评价范围定为距离改扩建项目风险源5</w:t>
      </w:r>
      <w:r>
        <w:t>km</w:t>
      </w:r>
      <w:r>
        <w:rPr>
          <w:rFonts w:hint="eastAsia"/>
        </w:rPr>
        <w:t>范围。</w:t>
      </w:r>
    </w:p>
    <w:p>
      <w:pPr>
        <w:pStyle w:val="4"/>
      </w:pPr>
      <w:bookmarkStart w:id="144" w:name="_Toc13760106"/>
      <w:bookmarkStart w:id="145" w:name="_Toc3282117"/>
      <w:r>
        <w:rPr>
          <w:rFonts w:hint="eastAsia"/>
        </w:rPr>
        <w:t>2.7环境保护目标</w:t>
      </w:r>
      <w:bookmarkEnd w:id="144"/>
      <w:bookmarkEnd w:id="145"/>
    </w:p>
    <w:p>
      <w:pPr>
        <w:autoSpaceDE w:val="0"/>
        <w:autoSpaceDN w:val="0"/>
        <w:adjustRightInd w:val="0"/>
        <w:snapToGrid w:val="0"/>
        <w:ind w:firstLine="480"/>
        <w:rPr>
          <w:lang w:val="zh-CN"/>
        </w:rPr>
      </w:pPr>
      <w:r>
        <w:rPr>
          <w:rFonts w:hint="eastAsia" w:hAnsi="宋体"/>
          <w:lang w:val="zh-CN"/>
        </w:rPr>
        <w:t>危废综合处置厂环境空气、声环境及风险评价的评价范围及环境保护目标见表</w:t>
      </w:r>
      <w:r>
        <w:rPr>
          <w:lang w:val="zh-CN"/>
        </w:rPr>
        <w:t>2.7</w:t>
      </w:r>
      <w:r>
        <w:rPr>
          <w:rFonts w:hint="eastAsia"/>
          <w:lang w:val="zh-CN"/>
        </w:rPr>
        <w:t>—</w:t>
      </w:r>
      <w:r>
        <w:rPr>
          <w:lang w:val="zh-CN"/>
        </w:rPr>
        <w:t>1</w:t>
      </w:r>
      <w:r>
        <w:rPr>
          <w:rFonts w:hint="eastAsia" w:hAnsi="宋体"/>
          <w:lang w:val="zh-CN"/>
        </w:rPr>
        <w:t>及图</w:t>
      </w:r>
      <w:r>
        <w:rPr>
          <w:lang w:val="zh-CN"/>
        </w:rPr>
        <w:t>2.7</w:t>
      </w:r>
      <w:r>
        <w:rPr>
          <w:rFonts w:hint="eastAsia"/>
          <w:lang w:val="zh-CN"/>
        </w:rPr>
        <w:t>—</w:t>
      </w:r>
      <w:r>
        <w:rPr>
          <w:lang w:val="zh-CN"/>
        </w:rPr>
        <w:t>1</w:t>
      </w:r>
      <w:r>
        <w:rPr>
          <w:rFonts w:hint="eastAsia" w:hAnsi="宋体"/>
          <w:lang w:val="zh-CN"/>
        </w:rPr>
        <w:t>。</w:t>
      </w:r>
    </w:p>
    <w:p>
      <w:pPr>
        <w:autoSpaceDE w:val="0"/>
        <w:autoSpaceDN w:val="0"/>
        <w:adjustRightInd w:val="0"/>
        <w:snapToGrid w:val="0"/>
        <w:ind w:firstLine="480"/>
        <w:rPr>
          <w:rFonts w:hAnsi="宋体"/>
          <w:lang w:val="zh-CN"/>
        </w:rPr>
      </w:pPr>
      <w:r>
        <w:rPr>
          <w:rFonts w:hint="eastAsia" w:hAnsi="宋体"/>
          <w:lang w:val="zh-CN"/>
        </w:rPr>
        <w:t>表</w:t>
      </w:r>
      <w:r>
        <w:rPr>
          <w:lang w:val="zh-CN"/>
        </w:rPr>
        <w:t>2.7</w:t>
      </w:r>
      <w:r>
        <w:rPr>
          <w:rFonts w:hint="eastAsia"/>
          <w:lang w:val="zh-CN"/>
        </w:rPr>
        <w:t>—</w:t>
      </w:r>
      <w:r>
        <w:rPr>
          <w:lang w:val="zh-CN"/>
        </w:rPr>
        <w:t xml:space="preserve">1       </w:t>
      </w:r>
      <w:r>
        <w:rPr>
          <w:rFonts w:hint="eastAsia"/>
          <w:lang w:val="zh-CN"/>
        </w:rPr>
        <w:t>危废综合处置厂</w:t>
      </w:r>
      <w:r>
        <w:rPr>
          <w:rFonts w:hint="eastAsia" w:hAnsi="宋体"/>
          <w:lang w:val="zh-CN"/>
        </w:rPr>
        <w:t>评价区内主要环境保护目标表</w:t>
      </w:r>
    </w:p>
    <w:tbl>
      <w:tblPr>
        <w:tblStyle w:val="88"/>
        <w:tblW w:w="9286" w:type="dxa"/>
        <w:tblInd w:w="0" w:type="dxa"/>
        <w:tblLayout w:type="fixed"/>
        <w:tblCellMar>
          <w:top w:w="0" w:type="dxa"/>
          <w:left w:w="108" w:type="dxa"/>
          <w:bottom w:w="0" w:type="dxa"/>
          <w:right w:w="108" w:type="dxa"/>
        </w:tblCellMar>
      </w:tblPr>
      <w:tblGrid>
        <w:gridCol w:w="534"/>
        <w:gridCol w:w="425"/>
        <w:gridCol w:w="2584"/>
        <w:gridCol w:w="960"/>
        <w:gridCol w:w="450"/>
        <w:gridCol w:w="684"/>
        <w:gridCol w:w="588"/>
        <w:gridCol w:w="404"/>
        <w:gridCol w:w="2657"/>
      </w:tblGrid>
      <w:tr>
        <w:tblPrEx>
          <w:tblCellMar>
            <w:top w:w="0" w:type="dxa"/>
            <w:left w:w="108" w:type="dxa"/>
            <w:bottom w:w="0" w:type="dxa"/>
            <w:right w:w="108" w:type="dxa"/>
          </w:tblCellMar>
        </w:tblPrEx>
        <w:trPr>
          <w:trHeight w:val="285" w:hRule="atLeast"/>
        </w:trPr>
        <w:tc>
          <w:tcPr>
            <w:tcW w:w="959" w:type="dxa"/>
            <w:gridSpan w:val="2"/>
            <w:tcBorders>
              <w:top w:val="single" w:color="000000" w:sz="12" w:space="0"/>
              <w:bottom w:val="single" w:color="auto" w:sz="12" w:space="0"/>
              <w:right w:val="dotted" w:color="auto" w:sz="4" w:space="0"/>
            </w:tcBorders>
            <w:vAlign w:val="center"/>
          </w:tcPr>
          <w:p>
            <w:pPr>
              <w:widowControl/>
              <w:spacing w:line="240" w:lineRule="atLeast"/>
              <w:ind w:firstLine="0" w:firstLineChars="0"/>
              <w:jc w:val="center"/>
              <w:rPr>
                <w:sz w:val="21"/>
              </w:rPr>
            </w:pPr>
            <w:r>
              <w:rPr>
                <w:rFonts w:hint="eastAsia"/>
                <w:sz w:val="21"/>
              </w:rPr>
              <w:t>序号</w:t>
            </w:r>
          </w:p>
        </w:tc>
        <w:tc>
          <w:tcPr>
            <w:tcW w:w="2584" w:type="dxa"/>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sz w:val="21"/>
              </w:rPr>
            </w:pPr>
            <w:r>
              <w:rPr>
                <w:rFonts w:hint="eastAsia"/>
                <w:sz w:val="21"/>
              </w:rPr>
              <w:t>名称</w:t>
            </w:r>
          </w:p>
        </w:tc>
        <w:tc>
          <w:tcPr>
            <w:tcW w:w="960" w:type="dxa"/>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sz w:val="21"/>
              </w:rPr>
            </w:pPr>
            <w:r>
              <w:rPr>
                <w:rFonts w:hint="eastAsia"/>
                <w:sz w:val="21"/>
              </w:rPr>
              <w:t>人口</w:t>
            </w:r>
          </w:p>
        </w:tc>
        <w:tc>
          <w:tcPr>
            <w:tcW w:w="1134" w:type="dxa"/>
            <w:gridSpan w:val="2"/>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sz w:val="21"/>
              </w:rPr>
            </w:pPr>
            <w:r>
              <w:rPr>
                <w:rFonts w:hint="eastAsia"/>
                <w:sz w:val="21"/>
              </w:rPr>
              <w:t>距离</w:t>
            </w:r>
            <w:r>
              <w:rPr>
                <w:sz w:val="21"/>
              </w:rPr>
              <w:t>(km)</w:t>
            </w:r>
          </w:p>
        </w:tc>
        <w:tc>
          <w:tcPr>
            <w:tcW w:w="992" w:type="dxa"/>
            <w:gridSpan w:val="2"/>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sz w:val="21"/>
              </w:rPr>
            </w:pPr>
            <w:r>
              <w:rPr>
                <w:rFonts w:hint="eastAsia"/>
                <w:sz w:val="21"/>
              </w:rPr>
              <w:t>方位</w:t>
            </w:r>
          </w:p>
        </w:tc>
        <w:tc>
          <w:tcPr>
            <w:tcW w:w="2657" w:type="dxa"/>
            <w:tcBorders>
              <w:top w:val="single" w:color="000000" w:sz="12" w:space="0"/>
              <w:left w:val="dotted" w:color="auto" w:sz="4" w:space="0"/>
              <w:bottom w:val="single" w:color="auto" w:sz="12" w:space="0"/>
            </w:tcBorders>
            <w:vAlign w:val="center"/>
          </w:tcPr>
          <w:p>
            <w:pPr>
              <w:widowControl/>
              <w:spacing w:line="240" w:lineRule="atLeast"/>
              <w:ind w:firstLine="0" w:firstLineChars="0"/>
              <w:jc w:val="center"/>
              <w:rPr>
                <w:sz w:val="21"/>
              </w:rPr>
            </w:pPr>
            <w:r>
              <w:rPr>
                <w:rFonts w:hint="eastAsia"/>
                <w:sz w:val="21"/>
              </w:rPr>
              <w:t>保护要求</w:t>
            </w:r>
          </w:p>
        </w:tc>
      </w:tr>
      <w:tr>
        <w:tblPrEx>
          <w:tblCellMar>
            <w:top w:w="0" w:type="dxa"/>
            <w:left w:w="108" w:type="dxa"/>
            <w:bottom w:w="0" w:type="dxa"/>
            <w:right w:w="108" w:type="dxa"/>
          </w:tblCellMar>
        </w:tblPrEx>
        <w:trPr>
          <w:trHeight w:val="285" w:hRule="atLeast"/>
        </w:trPr>
        <w:tc>
          <w:tcPr>
            <w:tcW w:w="959" w:type="dxa"/>
            <w:gridSpan w:val="2"/>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r>
              <w:rPr>
                <w:rFonts w:hint="eastAsia"/>
                <w:sz w:val="21"/>
              </w:rPr>
              <w:t>环境</w:t>
            </w:r>
          </w:p>
          <w:p>
            <w:pPr>
              <w:widowControl/>
              <w:spacing w:line="240" w:lineRule="atLeast"/>
              <w:ind w:firstLine="0" w:firstLineChars="0"/>
              <w:jc w:val="center"/>
              <w:rPr>
                <w:sz w:val="21"/>
                <w:lang w:val="en-GB"/>
              </w:rPr>
            </w:pPr>
            <w:r>
              <w:rPr>
                <w:rFonts w:hint="eastAsia"/>
                <w:sz w:val="21"/>
              </w:rPr>
              <w:t>空气</w:t>
            </w:r>
          </w:p>
        </w:tc>
        <w:tc>
          <w:tcPr>
            <w:tcW w:w="25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大气评价范围内</w:t>
            </w:r>
          </w:p>
          <w:p>
            <w:pPr>
              <w:spacing w:line="240" w:lineRule="atLeast"/>
              <w:ind w:firstLine="0" w:firstLineChars="0"/>
              <w:jc w:val="center"/>
              <w:rPr>
                <w:rFonts w:hAnsi="宋体"/>
                <w:sz w:val="21"/>
              </w:rPr>
            </w:pPr>
            <w:r>
              <w:rPr>
                <w:rFonts w:hint="eastAsia" w:hAnsi="宋体"/>
                <w:sz w:val="21"/>
              </w:rPr>
              <w:t>无居民区</w:t>
            </w:r>
          </w:p>
        </w:tc>
        <w:tc>
          <w:tcPr>
            <w:tcW w:w="960"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w:t>
            </w:r>
          </w:p>
        </w:tc>
        <w:tc>
          <w:tcPr>
            <w:tcW w:w="1134"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99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657" w:type="dxa"/>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center"/>
              <w:rPr>
                <w:sz w:val="21"/>
              </w:rPr>
            </w:pPr>
            <w:r>
              <w:rPr>
                <w:rFonts w:hint="eastAsia"/>
                <w:sz w:val="21"/>
              </w:rPr>
              <w:t>《环境空气质量标准》</w:t>
            </w:r>
            <w:r>
              <w:rPr>
                <w:sz w:val="21"/>
              </w:rPr>
              <w:t>(GB3095-2012)</w:t>
            </w:r>
            <w:r>
              <w:rPr>
                <w:rFonts w:hint="eastAsia"/>
                <w:sz w:val="21"/>
              </w:rPr>
              <w:t>二级标准；</w:t>
            </w:r>
          </w:p>
          <w:p>
            <w:pPr>
              <w:widowControl/>
              <w:spacing w:line="240" w:lineRule="atLeast"/>
              <w:ind w:firstLine="0" w:firstLineChars="0"/>
              <w:jc w:val="center"/>
              <w:rPr>
                <w:sz w:val="21"/>
              </w:rPr>
            </w:pPr>
            <w:r>
              <w:rPr>
                <w:rFonts w:hint="eastAsia"/>
                <w:sz w:val="21"/>
                <w:lang w:val="zh-CN"/>
              </w:rPr>
              <w:t>《工业企业设计卫生标准》</w:t>
            </w:r>
            <w:r>
              <w:rPr>
                <w:sz w:val="21"/>
                <w:lang w:val="zh-CN"/>
              </w:rPr>
              <w:t>(TJ36-79)</w:t>
            </w:r>
            <w:r>
              <w:rPr>
                <w:rFonts w:hint="eastAsia"/>
                <w:sz w:val="21"/>
                <w:lang w:val="zh-CN"/>
              </w:rPr>
              <w:t>表</w:t>
            </w:r>
            <w:r>
              <w:rPr>
                <w:sz w:val="21"/>
              </w:rPr>
              <w:t>1</w:t>
            </w:r>
            <w:r>
              <w:rPr>
                <w:rFonts w:hint="eastAsia"/>
                <w:sz w:val="21"/>
              </w:rPr>
              <w:t>中居住区大气中有害物质的最高容许浓度；</w:t>
            </w:r>
          </w:p>
          <w:p>
            <w:pPr>
              <w:widowControl/>
              <w:spacing w:line="240" w:lineRule="atLeast"/>
              <w:ind w:firstLine="0" w:firstLineChars="0"/>
              <w:jc w:val="center"/>
              <w:rPr>
                <w:sz w:val="21"/>
              </w:rPr>
            </w:pPr>
            <w:r>
              <w:rPr>
                <w:rFonts w:hint="eastAsia"/>
                <w:sz w:val="21"/>
              </w:rPr>
              <w:t>南斯拉夫环境标准；</w:t>
            </w:r>
          </w:p>
          <w:p>
            <w:pPr>
              <w:widowControl/>
              <w:spacing w:line="240" w:lineRule="atLeast"/>
              <w:ind w:firstLine="0" w:firstLineChars="0"/>
              <w:jc w:val="center"/>
              <w:rPr>
                <w:sz w:val="21"/>
                <w:lang w:val="zh-CN"/>
              </w:rPr>
            </w:pPr>
            <w:r>
              <w:rPr>
                <w:rFonts w:hint="eastAsia"/>
                <w:sz w:val="21"/>
                <w:lang w:val="zh-CN"/>
              </w:rPr>
              <w:t>前苏联居民区大气中有害物质的最大允许浓度</w:t>
            </w:r>
            <w:r>
              <w:rPr>
                <w:sz w:val="21"/>
                <w:lang w:val="zh-CN"/>
              </w:rPr>
              <w:t>(CH245-71)</w:t>
            </w:r>
            <w:r>
              <w:rPr>
                <w:rFonts w:hint="eastAsia"/>
                <w:sz w:val="21"/>
                <w:lang w:val="zh-CN"/>
              </w:rPr>
              <w:t>；</w:t>
            </w:r>
          </w:p>
          <w:p>
            <w:pPr>
              <w:widowControl/>
              <w:spacing w:line="240" w:lineRule="atLeast"/>
              <w:ind w:firstLine="0" w:firstLineChars="0"/>
              <w:jc w:val="center"/>
              <w:rPr>
                <w:sz w:val="21"/>
              </w:rPr>
            </w:pPr>
            <w:r>
              <w:rPr>
                <w:rFonts w:hint="eastAsia"/>
                <w:sz w:val="21"/>
                <w:lang w:val="zh-CN"/>
              </w:rPr>
              <w:t>《环境空气质量非甲烷总烃限值》</w:t>
            </w:r>
            <w:r>
              <w:rPr>
                <w:sz w:val="21"/>
                <w:lang w:val="zh-CN"/>
              </w:rPr>
              <w:t>(</w:t>
            </w:r>
            <w:r>
              <w:rPr>
                <w:sz w:val="21"/>
              </w:rPr>
              <w:t>DB13/1577-2012</w:t>
            </w:r>
            <w:r>
              <w:rPr>
                <w:sz w:val="21"/>
                <w:lang w:val="zh-CN"/>
              </w:rPr>
              <w:t>)</w:t>
            </w:r>
            <w:r>
              <w:rPr>
                <w:rFonts w:hint="eastAsia"/>
                <w:sz w:val="21"/>
                <w:lang w:val="zh-CN"/>
              </w:rPr>
              <w:t>表</w:t>
            </w:r>
            <w:r>
              <w:rPr>
                <w:sz w:val="21"/>
              </w:rPr>
              <w:t>1</w:t>
            </w:r>
            <w:r>
              <w:rPr>
                <w:rFonts w:hint="eastAsia"/>
                <w:sz w:val="21"/>
              </w:rPr>
              <w:t>中二级标准；</w:t>
            </w:r>
          </w:p>
          <w:p>
            <w:pPr>
              <w:widowControl/>
              <w:spacing w:line="240" w:lineRule="atLeast"/>
              <w:ind w:firstLine="0" w:firstLineChars="0"/>
              <w:jc w:val="center"/>
              <w:rPr>
                <w:sz w:val="21"/>
              </w:rPr>
            </w:pPr>
            <w:r>
              <w:rPr>
                <w:rFonts w:hint="eastAsia" w:ascii="宋体" w:cs="宋体"/>
                <w:sz w:val="21"/>
              </w:rPr>
              <w:t>日本环境厅中央环境审议会制定的环境标准</w:t>
            </w:r>
          </w:p>
        </w:tc>
      </w:tr>
      <w:tr>
        <w:tblPrEx>
          <w:tblCellMar>
            <w:top w:w="0" w:type="dxa"/>
            <w:left w:w="108" w:type="dxa"/>
            <w:bottom w:w="0" w:type="dxa"/>
            <w:right w:w="108" w:type="dxa"/>
          </w:tblCellMar>
        </w:tblPrEx>
        <w:trPr>
          <w:trHeight w:val="955" w:hRule="atLeast"/>
        </w:trPr>
        <w:tc>
          <w:tcPr>
            <w:tcW w:w="959" w:type="dxa"/>
            <w:gridSpan w:val="2"/>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r>
              <w:rPr>
                <w:rFonts w:hint="eastAsia"/>
                <w:sz w:val="21"/>
                <w:lang w:val="en-GB"/>
              </w:rPr>
              <w:t>声环境</w:t>
            </w:r>
          </w:p>
        </w:tc>
        <w:tc>
          <w:tcPr>
            <w:tcW w:w="2584"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sz w:val="21"/>
              </w:rPr>
            </w:pPr>
            <w:r>
              <w:rPr>
                <w:rFonts w:hint="eastAsia"/>
                <w:sz w:val="21"/>
              </w:rPr>
              <w:t>厂区</w:t>
            </w:r>
          </w:p>
        </w:tc>
        <w:tc>
          <w:tcPr>
            <w:tcW w:w="3086" w:type="dxa"/>
            <w:gridSpan w:val="5"/>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sz w:val="21"/>
              </w:rPr>
            </w:pPr>
            <w:r>
              <w:rPr>
                <w:rFonts w:hint="eastAsia"/>
                <w:sz w:val="21"/>
                <w:lang w:val="en-GB"/>
              </w:rPr>
              <w:t>厂界外</w:t>
            </w:r>
            <w:r>
              <w:rPr>
                <w:sz w:val="21"/>
                <w:lang w:val="en-GB"/>
              </w:rPr>
              <w:t>200m</w:t>
            </w:r>
            <w:r>
              <w:rPr>
                <w:rFonts w:hint="eastAsia"/>
                <w:sz w:val="21"/>
                <w:lang w:val="en-GB"/>
              </w:rPr>
              <w:t>范围内无敏感点</w:t>
            </w:r>
          </w:p>
        </w:tc>
        <w:tc>
          <w:tcPr>
            <w:tcW w:w="2657" w:type="dxa"/>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center"/>
              <w:rPr>
                <w:sz w:val="21"/>
              </w:rPr>
            </w:pPr>
            <w:r>
              <w:rPr>
                <w:rFonts w:hint="eastAsia"/>
                <w:sz w:val="21"/>
                <w:lang w:val="zh-CN"/>
              </w:rPr>
              <w:t>《声环境质量标准》</w:t>
            </w:r>
            <w:r>
              <w:rPr>
                <w:sz w:val="21"/>
                <w:lang w:val="zh-CN"/>
              </w:rPr>
              <w:t>(GB3096-2008)</w:t>
            </w:r>
            <w:r>
              <w:rPr>
                <w:rFonts w:hint="eastAsia"/>
                <w:sz w:val="21"/>
                <w:lang w:val="zh-CN"/>
              </w:rPr>
              <w:t>中</w:t>
            </w:r>
            <w:r>
              <w:rPr>
                <w:sz w:val="21"/>
                <w:lang w:val="zh-CN"/>
              </w:rPr>
              <w:t>3</w:t>
            </w:r>
            <w:r>
              <w:rPr>
                <w:rFonts w:hint="eastAsia"/>
                <w:sz w:val="21"/>
                <w:lang w:val="zh-CN"/>
              </w:rPr>
              <w:t>类标准</w:t>
            </w:r>
          </w:p>
        </w:tc>
      </w:tr>
      <w:tr>
        <w:tblPrEx>
          <w:tblCellMar>
            <w:top w:w="0" w:type="dxa"/>
            <w:left w:w="108" w:type="dxa"/>
            <w:bottom w:w="0" w:type="dxa"/>
            <w:right w:w="108" w:type="dxa"/>
          </w:tblCellMar>
        </w:tblPrEx>
        <w:trPr>
          <w:trHeight w:val="285" w:hRule="atLeast"/>
        </w:trPr>
        <w:tc>
          <w:tcPr>
            <w:tcW w:w="534" w:type="dxa"/>
            <w:vMerge w:val="restart"/>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sz w:val="21"/>
                <w:lang w:val="en-GB"/>
              </w:rPr>
            </w:pPr>
            <w:r>
              <w:rPr>
                <w:rFonts w:hint="eastAsia"/>
                <w:sz w:val="21"/>
                <w:lang w:val="en-GB"/>
              </w:rPr>
              <w:t>风险</w:t>
            </w:r>
          </w:p>
          <w:p>
            <w:pPr>
              <w:widowControl/>
              <w:spacing w:line="240" w:lineRule="atLeast"/>
              <w:ind w:firstLine="0" w:firstLineChars="0"/>
              <w:jc w:val="center"/>
              <w:rPr>
                <w:sz w:val="21"/>
                <w:lang w:val="en-GB"/>
              </w:rPr>
            </w:pPr>
            <w:r>
              <w:rPr>
                <w:rFonts w:hint="eastAsia"/>
                <w:sz w:val="21"/>
                <w:lang w:val="en-GB"/>
              </w:rPr>
              <w:t>评价</w:t>
            </w:r>
          </w:p>
        </w:tc>
        <w:tc>
          <w:tcPr>
            <w:tcW w:w="425"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sz w:val="21"/>
                <w:lang w:val="en-GB"/>
              </w:rPr>
            </w:pPr>
            <w:r>
              <w:rPr>
                <w:sz w:val="21"/>
                <w:lang w:val="en-GB"/>
              </w:rPr>
              <w:t>1</w:t>
            </w:r>
          </w:p>
        </w:tc>
        <w:tc>
          <w:tcPr>
            <w:tcW w:w="25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内蒙古源通贺兰玉有限公司年加工</w:t>
            </w:r>
            <w:r>
              <w:rPr>
                <w:sz w:val="21"/>
              </w:rPr>
              <w:t>800</w:t>
            </w:r>
            <w:r>
              <w:rPr>
                <w:rFonts w:hint="eastAsia" w:hAnsi="宋体"/>
                <w:sz w:val="21"/>
              </w:rPr>
              <w:t>万平方米微晶玉石项目工作人员及厂内居住人员</w:t>
            </w:r>
          </w:p>
        </w:tc>
        <w:tc>
          <w:tcPr>
            <w:tcW w:w="1410"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220</w:t>
            </w:r>
          </w:p>
        </w:tc>
        <w:tc>
          <w:tcPr>
            <w:tcW w:w="127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1.93</w:t>
            </w:r>
          </w:p>
        </w:tc>
        <w:tc>
          <w:tcPr>
            <w:tcW w:w="4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N</w:t>
            </w:r>
          </w:p>
        </w:tc>
        <w:tc>
          <w:tcPr>
            <w:tcW w:w="2657" w:type="dxa"/>
            <w:vMerge w:val="restart"/>
            <w:tcBorders>
              <w:top w:val="dotted" w:color="auto" w:sz="4" w:space="0"/>
              <w:left w:val="dotted" w:color="auto" w:sz="4" w:space="0"/>
              <w:bottom w:val="single" w:color="000000" w:sz="12" w:space="0"/>
              <w:right w:val="nil"/>
            </w:tcBorders>
            <w:vAlign w:val="center"/>
          </w:tcPr>
          <w:p>
            <w:pPr>
              <w:widowControl/>
              <w:spacing w:line="240" w:lineRule="atLeast"/>
              <w:ind w:firstLine="0" w:firstLineChars="0"/>
              <w:jc w:val="center"/>
              <w:rPr>
                <w:sz w:val="21"/>
              </w:rPr>
            </w:pPr>
            <w:r>
              <w:rPr>
                <w:sz w:val="21"/>
                <w:lang w:val="zh-CN"/>
              </w:rPr>
              <w:t>-</w:t>
            </w:r>
          </w:p>
        </w:tc>
      </w:tr>
      <w:tr>
        <w:tblPrEx>
          <w:tblCellMar>
            <w:top w:w="0" w:type="dxa"/>
            <w:left w:w="108" w:type="dxa"/>
            <w:bottom w:w="0" w:type="dxa"/>
            <w:right w:w="108" w:type="dxa"/>
          </w:tblCellMar>
        </w:tblPrEx>
        <w:trPr>
          <w:trHeight w:val="285" w:hRule="atLeast"/>
        </w:trPr>
        <w:tc>
          <w:tcPr>
            <w:tcW w:w="53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sz w:val="21"/>
                <w:lang w:val="en-GB"/>
              </w:rPr>
            </w:pPr>
          </w:p>
        </w:tc>
        <w:tc>
          <w:tcPr>
            <w:tcW w:w="425"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sz w:val="21"/>
                <w:lang w:val="en-GB"/>
              </w:rPr>
            </w:pPr>
            <w:r>
              <w:rPr>
                <w:sz w:val="21"/>
                <w:lang w:val="en-GB"/>
              </w:rPr>
              <w:t>2</w:t>
            </w:r>
          </w:p>
        </w:tc>
        <w:tc>
          <w:tcPr>
            <w:tcW w:w="25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color w:val="000000"/>
                <w:sz w:val="21"/>
              </w:rPr>
              <w:t>内蒙古双翼陶瓷有限公司日产</w:t>
            </w:r>
            <w:r>
              <w:rPr>
                <w:color w:val="000000"/>
                <w:sz w:val="21"/>
              </w:rPr>
              <w:t>25000</w:t>
            </w:r>
            <w:r>
              <w:rPr>
                <w:rFonts w:hint="eastAsia" w:hAnsi="宋体"/>
                <w:color w:val="000000"/>
                <w:sz w:val="21"/>
              </w:rPr>
              <w:t>平方米高级彩釉内墙砖项目</w:t>
            </w:r>
            <w:r>
              <w:rPr>
                <w:rFonts w:hint="eastAsia" w:hAnsi="宋体"/>
                <w:sz w:val="21"/>
              </w:rPr>
              <w:t>工作人员及厂内居住人员</w:t>
            </w:r>
          </w:p>
        </w:tc>
        <w:tc>
          <w:tcPr>
            <w:tcW w:w="1410"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300</w:t>
            </w:r>
          </w:p>
        </w:tc>
        <w:tc>
          <w:tcPr>
            <w:tcW w:w="127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1.91</w:t>
            </w:r>
          </w:p>
        </w:tc>
        <w:tc>
          <w:tcPr>
            <w:tcW w:w="4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NE</w:t>
            </w:r>
          </w:p>
        </w:tc>
        <w:tc>
          <w:tcPr>
            <w:tcW w:w="2657" w:type="dxa"/>
            <w:vMerge w:val="continue"/>
            <w:tcBorders>
              <w:top w:val="dotted" w:color="auto" w:sz="4" w:space="0"/>
              <w:left w:val="dotted" w:color="auto" w:sz="4" w:space="0"/>
              <w:bottom w:val="single" w:color="000000" w:sz="12" w:space="0"/>
              <w:right w:val="nil"/>
            </w:tcBorders>
            <w:vAlign w:val="center"/>
          </w:tcPr>
          <w:p>
            <w:pPr>
              <w:widowControl/>
              <w:spacing w:line="240" w:lineRule="atLeast"/>
              <w:ind w:firstLine="0" w:firstLineChars="0"/>
              <w:jc w:val="center"/>
              <w:rPr>
                <w:sz w:val="21"/>
              </w:rPr>
            </w:pPr>
          </w:p>
        </w:tc>
      </w:tr>
      <w:tr>
        <w:tblPrEx>
          <w:tblCellMar>
            <w:top w:w="0" w:type="dxa"/>
            <w:left w:w="108" w:type="dxa"/>
            <w:bottom w:w="0" w:type="dxa"/>
            <w:right w:w="108" w:type="dxa"/>
          </w:tblCellMar>
        </w:tblPrEx>
        <w:trPr>
          <w:trHeight w:val="285" w:hRule="atLeast"/>
        </w:trPr>
        <w:tc>
          <w:tcPr>
            <w:tcW w:w="53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sz w:val="21"/>
                <w:lang w:val="en-GB"/>
              </w:rPr>
            </w:pPr>
          </w:p>
        </w:tc>
        <w:tc>
          <w:tcPr>
            <w:tcW w:w="425"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sz w:val="21"/>
                <w:lang w:val="en-GB"/>
              </w:rPr>
            </w:pPr>
            <w:r>
              <w:rPr>
                <w:sz w:val="21"/>
                <w:lang w:val="en-GB"/>
              </w:rPr>
              <w:t>3</w:t>
            </w:r>
          </w:p>
        </w:tc>
        <w:tc>
          <w:tcPr>
            <w:tcW w:w="25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阿拉善盟立信化工有限公司年产</w:t>
            </w:r>
            <w:r>
              <w:rPr>
                <w:sz w:val="21"/>
              </w:rPr>
              <w:t>15000</w:t>
            </w:r>
            <w:r>
              <w:rPr>
                <w:rFonts w:hint="eastAsia" w:hAnsi="宋体"/>
                <w:sz w:val="21"/>
              </w:rPr>
              <w:t>吨对苯二胺、</w:t>
            </w:r>
            <w:r>
              <w:rPr>
                <w:sz w:val="21"/>
              </w:rPr>
              <w:t>21000</w:t>
            </w:r>
            <w:r>
              <w:rPr>
                <w:rFonts w:hint="eastAsia" w:hAnsi="宋体"/>
                <w:sz w:val="21"/>
              </w:rPr>
              <w:t>吨硫代硫酸及</w:t>
            </w:r>
            <w:r>
              <w:rPr>
                <w:sz w:val="21"/>
              </w:rPr>
              <w:t>7000</w:t>
            </w:r>
            <w:r>
              <w:rPr>
                <w:rFonts w:hint="eastAsia" w:hAnsi="宋体"/>
                <w:sz w:val="21"/>
              </w:rPr>
              <w:t>吨氯化铵项目工作人员及厂内居住人员</w:t>
            </w:r>
          </w:p>
        </w:tc>
        <w:tc>
          <w:tcPr>
            <w:tcW w:w="1410"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128</w:t>
            </w:r>
          </w:p>
        </w:tc>
        <w:tc>
          <w:tcPr>
            <w:tcW w:w="127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0.30</w:t>
            </w:r>
          </w:p>
        </w:tc>
        <w:tc>
          <w:tcPr>
            <w:tcW w:w="4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E</w:t>
            </w:r>
          </w:p>
        </w:tc>
        <w:tc>
          <w:tcPr>
            <w:tcW w:w="2657" w:type="dxa"/>
            <w:vMerge w:val="continue"/>
            <w:tcBorders>
              <w:top w:val="dotted" w:color="auto" w:sz="4" w:space="0"/>
              <w:left w:val="dotted" w:color="auto" w:sz="4" w:space="0"/>
              <w:bottom w:val="single" w:color="000000" w:sz="12" w:space="0"/>
              <w:right w:val="nil"/>
            </w:tcBorders>
            <w:vAlign w:val="center"/>
          </w:tcPr>
          <w:p>
            <w:pPr>
              <w:widowControl/>
              <w:spacing w:line="240" w:lineRule="atLeast"/>
              <w:ind w:firstLine="0" w:firstLineChars="0"/>
              <w:jc w:val="center"/>
              <w:rPr>
                <w:sz w:val="21"/>
              </w:rPr>
            </w:pPr>
          </w:p>
        </w:tc>
      </w:tr>
      <w:tr>
        <w:tblPrEx>
          <w:tblCellMar>
            <w:top w:w="0" w:type="dxa"/>
            <w:left w:w="108" w:type="dxa"/>
            <w:bottom w:w="0" w:type="dxa"/>
            <w:right w:w="108" w:type="dxa"/>
          </w:tblCellMar>
        </w:tblPrEx>
        <w:trPr>
          <w:trHeight w:val="285" w:hRule="atLeast"/>
        </w:trPr>
        <w:tc>
          <w:tcPr>
            <w:tcW w:w="53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sz w:val="21"/>
                <w:lang w:val="en-GB"/>
              </w:rPr>
            </w:pPr>
          </w:p>
        </w:tc>
        <w:tc>
          <w:tcPr>
            <w:tcW w:w="425"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sz w:val="21"/>
                <w:lang w:val="en-GB"/>
              </w:rPr>
            </w:pPr>
            <w:r>
              <w:rPr>
                <w:sz w:val="21"/>
                <w:lang w:val="en-GB"/>
              </w:rPr>
              <w:t>4</w:t>
            </w:r>
          </w:p>
        </w:tc>
        <w:tc>
          <w:tcPr>
            <w:tcW w:w="25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内蒙古乐友皮革染料有限公司年产</w:t>
            </w:r>
            <w:r>
              <w:rPr>
                <w:sz w:val="21"/>
              </w:rPr>
              <w:t>5000</w:t>
            </w:r>
            <w:r>
              <w:rPr>
                <w:rFonts w:hint="eastAsia" w:hAnsi="宋体"/>
                <w:sz w:val="21"/>
              </w:rPr>
              <w:t>吨皮革专用染料</w:t>
            </w:r>
            <w:r>
              <w:rPr>
                <w:sz w:val="21"/>
              </w:rPr>
              <w:t>/5000</w:t>
            </w:r>
            <w:r>
              <w:rPr>
                <w:rFonts w:hint="eastAsia" w:hAnsi="宋体"/>
                <w:sz w:val="21"/>
              </w:rPr>
              <w:t>吨</w:t>
            </w:r>
            <w:r>
              <w:rPr>
                <w:sz w:val="21"/>
              </w:rPr>
              <w:t>H</w:t>
            </w:r>
            <w:r>
              <w:rPr>
                <w:rFonts w:hint="eastAsia" w:hAnsi="宋体"/>
                <w:sz w:val="21"/>
              </w:rPr>
              <w:t>酸</w:t>
            </w:r>
            <w:r>
              <w:rPr>
                <w:sz w:val="21"/>
              </w:rPr>
              <w:t>/3000</w:t>
            </w:r>
            <w:r>
              <w:rPr>
                <w:rFonts w:hint="eastAsia" w:hAnsi="宋体"/>
                <w:sz w:val="21"/>
              </w:rPr>
              <w:t>吨对硝基苯胺</w:t>
            </w:r>
            <w:r>
              <w:rPr>
                <w:sz w:val="21"/>
              </w:rPr>
              <w:t>/2000</w:t>
            </w:r>
            <w:r>
              <w:rPr>
                <w:rFonts w:hint="eastAsia" w:hAnsi="宋体"/>
                <w:sz w:val="21"/>
              </w:rPr>
              <w:t>吨</w:t>
            </w:r>
            <w:r>
              <w:rPr>
                <w:sz w:val="21"/>
              </w:rPr>
              <w:t>DASA/5000</w:t>
            </w:r>
            <w:r>
              <w:rPr>
                <w:rFonts w:hint="eastAsia" w:hAnsi="宋体"/>
                <w:sz w:val="21"/>
              </w:rPr>
              <w:t>吨</w:t>
            </w:r>
            <w:r>
              <w:rPr>
                <w:sz w:val="21"/>
              </w:rPr>
              <w:t>DSD</w:t>
            </w:r>
            <w:r>
              <w:rPr>
                <w:rFonts w:hint="eastAsia" w:hAnsi="宋体"/>
                <w:sz w:val="21"/>
              </w:rPr>
              <w:t>酸</w:t>
            </w:r>
            <w:r>
              <w:rPr>
                <w:sz w:val="21"/>
              </w:rPr>
              <w:t>/5000</w:t>
            </w:r>
            <w:r>
              <w:rPr>
                <w:rFonts w:hint="eastAsia" w:hAnsi="宋体"/>
                <w:sz w:val="21"/>
              </w:rPr>
              <w:t>吨甲萘胺项目工作人员及厂内居住人员</w:t>
            </w:r>
          </w:p>
        </w:tc>
        <w:tc>
          <w:tcPr>
            <w:tcW w:w="1410"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200</w:t>
            </w:r>
          </w:p>
        </w:tc>
        <w:tc>
          <w:tcPr>
            <w:tcW w:w="127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0.90</w:t>
            </w:r>
          </w:p>
        </w:tc>
        <w:tc>
          <w:tcPr>
            <w:tcW w:w="4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E</w:t>
            </w:r>
          </w:p>
        </w:tc>
        <w:tc>
          <w:tcPr>
            <w:tcW w:w="2657" w:type="dxa"/>
            <w:vMerge w:val="continue"/>
            <w:tcBorders>
              <w:top w:val="dotted" w:color="auto" w:sz="4" w:space="0"/>
              <w:left w:val="dotted" w:color="auto" w:sz="4" w:space="0"/>
              <w:bottom w:val="single" w:color="000000" w:sz="12" w:space="0"/>
              <w:right w:val="nil"/>
            </w:tcBorders>
            <w:vAlign w:val="center"/>
          </w:tcPr>
          <w:p>
            <w:pPr>
              <w:widowControl/>
              <w:spacing w:line="240" w:lineRule="atLeast"/>
              <w:ind w:firstLine="0" w:firstLineChars="0"/>
              <w:jc w:val="center"/>
              <w:rPr>
                <w:sz w:val="21"/>
              </w:rPr>
            </w:pPr>
          </w:p>
        </w:tc>
      </w:tr>
      <w:tr>
        <w:tblPrEx>
          <w:tblCellMar>
            <w:top w:w="0" w:type="dxa"/>
            <w:left w:w="108" w:type="dxa"/>
            <w:bottom w:w="0" w:type="dxa"/>
            <w:right w:w="108" w:type="dxa"/>
          </w:tblCellMar>
        </w:tblPrEx>
        <w:trPr>
          <w:trHeight w:val="285" w:hRule="atLeast"/>
        </w:trPr>
        <w:tc>
          <w:tcPr>
            <w:tcW w:w="53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sz w:val="21"/>
                <w:lang w:val="en-GB"/>
              </w:rPr>
            </w:pPr>
          </w:p>
        </w:tc>
        <w:tc>
          <w:tcPr>
            <w:tcW w:w="425"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sz w:val="21"/>
                <w:lang w:val="en-GB"/>
              </w:rPr>
            </w:pPr>
            <w:r>
              <w:rPr>
                <w:sz w:val="21"/>
                <w:lang w:val="en-GB"/>
              </w:rPr>
              <w:t>5</w:t>
            </w:r>
          </w:p>
        </w:tc>
        <w:tc>
          <w:tcPr>
            <w:tcW w:w="25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阿拉善盟义超石头纸业有限公司年产</w:t>
            </w:r>
            <w:r>
              <w:rPr>
                <w:sz w:val="21"/>
              </w:rPr>
              <w:t>20</w:t>
            </w:r>
            <w:r>
              <w:rPr>
                <w:rFonts w:hint="eastAsia" w:hAnsi="宋体"/>
                <w:sz w:val="21"/>
              </w:rPr>
              <w:t>万吨石头纸项目工作人员及厂内居住人员</w:t>
            </w:r>
          </w:p>
        </w:tc>
        <w:tc>
          <w:tcPr>
            <w:tcW w:w="1410"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180</w:t>
            </w:r>
          </w:p>
        </w:tc>
        <w:tc>
          <w:tcPr>
            <w:tcW w:w="127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2.72</w:t>
            </w:r>
          </w:p>
        </w:tc>
        <w:tc>
          <w:tcPr>
            <w:tcW w:w="4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E</w:t>
            </w:r>
          </w:p>
        </w:tc>
        <w:tc>
          <w:tcPr>
            <w:tcW w:w="2657" w:type="dxa"/>
            <w:vMerge w:val="continue"/>
            <w:tcBorders>
              <w:top w:val="dotted" w:color="auto" w:sz="4" w:space="0"/>
              <w:left w:val="dotted" w:color="auto" w:sz="4" w:space="0"/>
              <w:bottom w:val="single" w:color="000000" w:sz="12" w:space="0"/>
              <w:right w:val="nil"/>
            </w:tcBorders>
            <w:vAlign w:val="center"/>
          </w:tcPr>
          <w:p>
            <w:pPr>
              <w:widowControl/>
              <w:spacing w:line="240" w:lineRule="atLeast"/>
              <w:ind w:firstLine="0" w:firstLineChars="0"/>
              <w:jc w:val="center"/>
              <w:rPr>
                <w:sz w:val="21"/>
              </w:rPr>
            </w:pPr>
          </w:p>
        </w:tc>
      </w:tr>
      <w:tr>
        <w:tblPrEx>
          <w:tblCellMar>
            <w:top w:w="0" w:type="dxa"/>
            <w:left w:w="108" w:type="dxa"/>
            <w:bottom w:w="0" w:type="dxa"/>
            <w:right w:w="108" w:type="dxa"/>
          </w:tblCellMar>
        </w:tblPrEx>
        <w:trPr>
          <w:trHeight w:val="285" w:hRule="atLeast"/>
        </w:trPr>
        <w:tc>
          <w:tcPr>
            <w:tcW w:w="53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sz w:val="21"/>
                <w:lang w:val="en-GB"/>
              </w:rPr>
            </w:pPr>
          </w:p>
        </w:tc>
        <w:tc>
          <w:tcPr>
            <w:tcW w:w="425"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sz w:val="21"/>
                <w:lang w:val="en-GB"/>
              </w:rPr>
            </w:pPr>
            <w:r>
              <w:rPr>
                <w:sz w:val="21"/>
                <w:lang w:val="en-GB"/>
              </w:rPr>
              <w:t>6</w:t>
            </w:r>
          </w:p>
        </w:tc>
        <w:tc>
          <w:tcPr>
            <w:tcW w:w="25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内蒙古莱科化学有限公司年产</w:t>
            </w:r>
            <w:r>
              <w:rPr>
                <w:sz w:val="21"/>
              </w:rPr>
              <w:t>4</w:t>
            </w:r>
            <w:r>
              <w:rPr>
                <w:rFonts w:hint="eastAsia" w:hAnsi="宋体"/>
                <w:sz w:val="21"/>
              </w:rPr>
              <w:t>万吨精细化工产品项目工作人员及厂内居住人员</w:t>
            </w:r>
          </w:p>
        </w:tc>
        <w:tc>
          <w:tcPr>
            <w:tcW w:w="1410"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200</w:t>
            </w:r>
          </w:p>
        </w:tc>
        <w:tc>
          <w:tcPr>
            <w:tcW w:w="127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0.78</w:t>
            </w:r>
          </w:p>
        </w:tc>
        <w:tc>
          <w:tcPr>
            <w:tcW w:w="4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SW</w:t>
            </w:r>
          </w:p>
        </w:tc>
        <w:tc>
          <w:tcPr>
            <w:tcW w:w="2657" w:type="dxa"/>
            <w:vMerge w:val="continue"/>
            <w:tcBorders>
              <w:top w:val="dotted" w:color="auto" w:sz="4" w:space="0"/>
              <w:left w:val="dotted" w:color="auto" w:sz="4" w:space="0"/>
              <w:bottom w:val="single" w:color="000000" w:sz="12" w:space="0"/>
              <w:right w:val="nil"/>
            </w:tcBorders>
            <w:vAlign w:val="center"/>
          </w:tcPr>
          <w:p>
            <w:pPr>
              <w:widowControl/>
              <w:spacing w:line="240" w:lineRule="atLeast"/>
              <w:ind w:firstLine="0" w:firstLineChars="0"/>
              <w:jc w:val="center"/>
              <w:rPr>
                <w:sz w:val="21"/>
              </w:rPr>
            </w:pPr>
          </w:p>
        </w:tc>
      </w:tr>
      <w:tr>
        <w:tblPrEx>
          <w:tblCellMar>
            <w:top w:w="0" w:type="dxa"/>
            <w:left w:w="108" w:type="dxa"/>
            <w:bottom w:w="0" w:type="dxa"/>
            <w:right w:w="108" w:type="dxa"/>
          </w:tblCellMar>
        </w:tblPrEx>
        <w:trPr>
          <w:trHeight w:val="285" w:hRule="atLeast"/>
        </w:trPr>
        <w:tc>
          <w:tcPr>
            <w:tcW w:w="53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sz w:val="21"/>
                <w:lang w:val="en-GB"/>
              </w:rPr>
            </w:pPr>
          </w:p>
        </w:tc>
        <w:tc>
          <w:tcPr>
            <w:tcW w:w="425"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sz w:val="21"/>
                <w:lang w:val="en-GB"/>
              </w:rPr>
            </w:pPr>
            <w:r>
              <w:rPr>
                <w:sz w:val="21"/>
                <w:lang w:val="en-GB"/>
              </w:rPr>
              <w:t>7</w:t>
            </w:r>
          </w:p>
        </w:tc>
        <w:tc>
          <w:tcPr>
            <w:tcW w:w="25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内蒙古圣源化工有限公司年产</w:t>
            </w:r>
            <w:r>
              <w:rPr>
                <w:sz w:val="21"/>
              </w:rPr>
              <w:t>3000</w:t>
            </w:r>
            <w:r>
              <w:rPr>
                <w:rFonts w:hint="eastAsia" w:hAnsi="宋体"/>
                <w:sz w:val="21"/>
              </w:rPr>
              <w:t>吨二甲基二硫工作人员及厂内居住人员</w:t>
            </w:r>
          </w:p>
        </w:tc>
        <w:tc>
          <w:tcPr>
            <w:tcW w:w="1410"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w:t>
            </w:r>
          </w:p>
        </w:tc>
        <w:tc>
          <w:tcPr>
            <w:tcW w:w="127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0.87</w:t>
            </w:r>
          </w:p>
        </w:tc>
        <w:tc>
          <w:tcPr>
            <w:tcW w:w="4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S</w:t>
            </w:r>
          </w:p>
        </w:tc>
        <w:tc>
          <w:tcPr>
            <w:tcW w:w="2657" w:type="dxa"/>
            <w:vMerge w:val="continue"/>
            <w:tcBorders>
              <w:top w:val="dotted" w:color="auto" w:sz="4" w:space="0"/>
              <w:left w:val="dotted" w:color="auto" w:sz="4" w:space="0"/>
              <w:bottom w:val="single" w:color="000000" w:sz="12" w:space="0"/>
              <w:right w:val="nil"/>
            </w:tcBorders>
            <w:vAlign w:val="center"/>
          </w:tcPr>
          <w:p>
            <w:pPr>
              <w:widowControl/>
              <w:spacing w:line="240" w:lineRule="atLeast"/>
              <w:ind w:firstLine="0" w:firstLineChars="0"/>
              <w:jc w:val="center"/>
              <w:rPr>
                <w:sz w:val="21"/>
              </w:rPr>
            </w:pPr>
          </w:p>
        </w:tc>
      </w:tr>
      <w:tr>
        <w:tblPrEx>
          <w:tblCellMar>
            <w:top w:w="0" w:type="dxa"/>
            <w:left w:w="108" w:type="dxa"/>
            <w:bottom w:w="0" w:type="dxa"/>
            <w:right w:w="108" w:type="dxa"/>
          </w:tblCellMar>
        </w:tblPrEx>
        <w:trPr>
          <w:trHeight w:val="70" w:hRule="atLeast"/>
        </w:trPr>
        <w:tc>
          <w:tcPr>
            <w:tcW w:w="53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sz w:val="21"/>
                <w:lang w:val="en-GB"/>
              </w:rPr>
            </w:pPr>
          </w:p>
        </w:tc>
        <w:tc>
          <w:tcPr>
            <w:tcW w:w="425" w:type="dxa"/>
            <w:tcBorders>
              <w:top w:val="dotted" w:color="auto" w:sz="4" w:space="0"/>
              <w:left w:val="dotted" w:color="auto" w:sz="4" w:space="0"/>
              <w:bottom w:val="single" w:color="000000" w:sz="12" w:space="0"/>
              <w:right w:val="dotted" w:color="auto" w:sz="4" w:space="0"/>
            </w:tcBorders>
            <w:vAlign w:val="center"/>
          </w:tcPr>
          <w:p>
            <w:pPr>
              <w:widowControl/>
              <w:spacing w:line="240" w:lineRule="atLeast"/>
              <w:ind w:firstLine="0" w:firstLineChars="0"/>
              <w:jc w:val="center"/>
              <w:rPr>
                <w:sz w:val="21"/>
                <w:lang w:val="en-GB"/>
              </w:rPr>
            </w:pPr>
            <w:r>
              <w:rPr>
                <w:sz w:val="21"/>
                <w:lang w:val="en-GB"/>
              </w:rPr>
              <w:t>8</w:t>
            </w:r>
          </w:p>
        </w:tc>
        <w:tc>
          <w:tcPr>
            <w:tcW w:w="258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rFonts w:hint="eastAsia" w:hAnsi="宋体"/>
                <w:sz w:val="21"/>
              </w:rPr>
              <w:t>国能天然气股份有限公司年产</w:t>
            </w:r>
            <w:r>
              <w:rPr>
                <w:sz w:val="21"/>
              </w:rPr>
              <w:t>3×24</w:t>
            </w:r>
            <w:r>
              <w:rPr>
                <w:rFonts w:hint="eastAsia" w:hAnsi="宋体"/>
                <w:sz w:val="21"/>
              </w:rPr>
              <w:t>万吨民用</w:t>
            </w:r>
            <w:r>
              <w:rPr>
                <w:sz w:val="21"/>
              </w:rPr>
              <w:t>LNG</w:t>
            </w:r>
            <w:r>
              <w:rPr>
                <w:rFonts w:hint="eastAsia" w:hAnsi="宋体"/>
                <w:sz w:val="21"/>
              </w:rPr>
              <w:t>项目工作人员及厂内居住人员</w:t>
            </w:r>
          </w:p>
        </w:tc>
        <w:tc>
          <w:tcPr>
            <w:tcW w:w="1410" w:type="dxa"/>
            <w:gridSpan w:val="2"/>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100</w:t>
            </w:r>
          </w:p>
        </w:tc>
        <w:tc>
          <w:tcPr>
            <w:tcW w:w="1272" w:type="dxa"/>
            <w:gridSpan w:val="2"/>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2.26</w:t>
            </w:r>
          </w:p>
        </w:tc>
        <w:tc>
          <w:tcPr>
            <w:tcW w:w="40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SE</w:t>
            </w:r>
          </w:p>
        </w:tc>
        <w:tc>
          <w:tcPr>
            <w:tcW w:w="2657" w:type="dxa"/>
            <w:vMerge w:val="continue"/>
            <w:tcBorders>
              <w:top w:val="dotted" w:color="auto" w:sz="4" w:space="0"/>
              <w:left w:val="dotted" w:color="auto" w:sz="4" w:space="0"/>
              <w:bottom w:val="single" w:color="000000" w:sz="12" w:space="0"/>
              <w:right w:val="nil"/>
            </w:tcBorders>
            <w:vAlign w:val="center"/>
          </w:tcPr>
          <w:p>
            <w:pPr>
              <w:widowControl/>
              <w:spacing w:line="240" w:lineRule="atLeast"/>
              <w:ind w:firstLine="0" w:firstLineChars="0"/>
              <w:jc w:val="center"/>
              <w:rPr>
                <w:sz w:val="21"/>
              </w:rPr>
            </w:pPr>
          </w:p>
        </w:tc>
      </w:tr>
    </w:tbl>
    <w:p>
      <w:pPr>
        <w:autoSpaceDE w:val="0"/>
        <w:autoSpaceDN w:val="0"/>
        <w:adjustRightInd w:val="0"/>
        <w:snapToGrid w:val="0"/>
        <w:ind w:firstLine="480"/>
        <w:rPr>
          <w:rFonts w:hAnsi="宋体"/>
          <w:lang w:val="zh-CN"/>
        </w:rPr>
      </w:pPr>
    </w:p>
    <w:p>
      <w:pPr>
        <w:autoSpaceDE w:val="0"/>
        <w:autoSpaceDN w:val="0"/>
        <w:adjustRightInd w:val="0"/>
        <w:snapToGrid w:val="0"/>
        <w:ind w:firstLine="480"/>
        <w:jc w:val="left"/>
        <w:rPr>
          <w:rFonts w:hAnsi="宋体" w:cs="Times New Roman"/>
          <w:szCs w:val="20"/>
          <w:lang w:val="zh-CN"/>
        </w:rPr>
      </w:pPr>
      <w:r>
        <w:rPr>
          <w:rFonts w:hint="eastAsia" w:hAnsi="宋体"/>
          <w:lang w:val="zh-CN"/>
        </w:rPr>
        <w:t>评价区地下水矿化度太高，多数地区氟化物、溶解性总固体、硫酸盐和氯化物超标，水质差，不能满足生活饮用水供水水质要求，因此，区内无生活饮用水水井和集中式供水水源地，区内的生活用水皆从孪井滩过来的。因此，已核实地下水环境保护目标仅仅为区内的基岩裂隙含水层和第Ⅱ含水层。区内没有饮用水井以及集中供水水源地的水井，也不涉及水井的深度、功能等。</w:t>
      </w:r>
    </w:p>
    <w:p>
      <w:pPr>
        <w:ind w:firstLine="480"/>
        <w:jc w:val="left"/>
        <w:rPr>
          <w:rFonts w:asciiTheme="minorEastAsia" w:hAnsiTheme="minorEastAsia" w:eastAsiaTheme="minorEastAsia"/>
          <w:szCs w:val="24"/>
        </w:rPr>
      </w:pPr>
      <w:r>
        <w:rPr>
          <w:rFonts w:hint="eastAsia" w:hAnsi="宋体"/>
          <w:lang w:val="zh-CN"/>
        </w:rPr>
        <w:t>评价区东部位于基岩山区，地下水类型为基岩裂隙水，安全填埋场发生泄漏将直接污染基岩裂隙水含水层；西部的剥蚀准平原区主要含水层为新近系中新统红柳沟组碎屑岩类裂隙孔隙含水层</w:t>
      </w:r>
      <w:r>
        <w:rPr>
          <w:rFonts w:hAnsi="宋体"/>
          <w:lang w:val="zh-CN"/>
        </w:rPr>
        <w:t>(</w:t>
      </w:r>
      <w:r>
        <w:rPr>
          <w:rFonts w:hint="eastAsia" w:hAnsi="宋体"/>
          <w:lang w:val="zh-CN"/>
        </w:rPr>
        <w:t>第Ⅱ含水层</w:t>
      </w:r>
      <w:r>
        <w:rPr>
          <w:rFonts w:hAnsi="宋体"/>
          <w:lang w:val="zh-CN"/>
        </w:rPr>
        <w:t>)</w:t>
      </w:r>
      <w:r>
        <w:rPr>
          <w:rFonts w:hint="eastAsia" w:hAnsi="宋体"/>
          <w:lang w:val="zh-CN"/>
        </w:rPr>
        <w:t>，危废综合处置厂区发生泄漏将直接污染该含水层，因此，地下水评价区地下水环境保护目标为基岩裂隙含水层和新近系中新统红柳沟组碎屑岩类裂隙孔隙含水层</w:t>
      </w:r>
      <w:r>
        <w:rPr>
          <w:rFonts w:hAnsi="宋体"/>
          <w:lang w:val="zh-CN"/>
        </w:rPr>
        <w:t>(</w:t>
      </w:r>
      <w:r>
        <w:rPr>
          <w:rFonts w:hint="eastAsia" w:hAnsi="宋体"/>
          <w:lang w:val="zh-CN"/>
        </w:rPr>
        <w:t>第Ⅱ含水层</w:t>
      </w:r>
      <w:r>
        <w:rPr>
          <w:rFonts w:hAnsi="宋体"/>
          <w:lang w:val="zh-CN"/>
        </w:rPr>
        <w:t>)</w:t>
      </w:r>
      <w:r>
        <w:rPr>
          <w:rFonts w:hint="eastAsia" w:hAnsi="宋体"/>
          <w:lang w:val="zh-CN"/>
        </w:rPr>
        <w:t>。</w:t>
      </w:r>
    </w:p>
    <w:p>
      <w:pPr>
        <w:ind w:firstLine="480"/>
        <w:rPr>
          <w:rFonts w:asciiTheme="minorEastAsia" w:hAnsiTheme="minorEastAsia" w:eastAsiaTheme="minorEastAsia"/>
          <w:szCs w:val="24"/>
        </w:rPr>
      </w:pPr>
    </w:p>
    <w:p>
      <w:pPr>
        <w:ind w:firstLine="0" w:firstLineChars="0"/>
        <w:rPr>
          <w:rFonts w:asciiTheme="minorEastAsia" w:hAnsiTheme="minorEastAsia" w:eastAsiaTheme="minorEastAsia"/>
          <w:szCs w:val="24"/>
        </w:rPr>
      </w:pPr>
    </w:p>
    <w:p>
      <w:pPr>
        <w:ind w:firstLine="0" w:firstLineChars="0"/>
        <w:rPr>
          <w:rFonts w:asciiTheme="minorEastAsia" w:hAnsiTheme="minorEastAsia" w:eastAsiaTheme="minorEastAsia"/>
          <w:szCs w:val="24"/>
        </w:rPr>
      </w:pPr>
    </w:p>
    <w:p>
      <w:pPr>
        <w:ind w:firstLine="0" w:firstLineChars="0"/>
        <w:rPr>
          <w:rFonts w:asciiTheme="minorEastAsia" w:hAnsiTheme="minorEastAsia" w:eastAsiaTheme="minorEastAsia"/>
          <w:szCs w:val="24"/>
        </w:rPr>
      </w:pPr>
    </w:p>
    <w:p>
      <w:pPr>
        <w:ind w:firstLine="0" w:firstLineChars="0"/>
        <w:rPr>
          <w:rFonts w:asciiTheme="minorEastAsia" w:hAnsiTheme="minorEastAsia" w:eastAsiaTheme="minorEastAsia"/>
          <w:szCs w:val="24"/>
        </w:rPr>
        <w:sectPr>
          <w:pgSz w:w="11906" w:h="16838"/>
          <w:pgMar w:top="1134" w:right="1418" w:bottom="1134" w:left="1418" w:header="851" w:footer="851" w:gutter="0"/>
          <w:cols w:space="425" w:num="1"/>
          <w:docGrid w:type="lines" w:linePitch="326" w:charSpace="0"/>
        </w:sectPr>
      </w:pPr>
    </w:p>
    <w:p>
      <w:pPr>
        <w:ind w:firstLine="0" w:firstLineChars="0"/>
        <w:jc w:val="center"/>
        <w:rPr>
          <w:rFonts w:asciiTheme="minorEastAsia" w:hAnsiTheme="minorEastAsia" w:eastAsiaTheme="minorEastAsia"/>
          <w:szCs w:val="24"/>
        </w:rPr>
      </w:pPr>
    </w:p>
    <w:p>
      <w:pPr>
        <w:ind w:firstLine="1680" w:firstLineChars="700"/>
        <w:rPr>
          <w:rFonts w:asciiTheme="minorEastAsia" w:hAnsiTheme="minorEastAsia" w:eastAsiaTheme="minorEastAsia"/>
          <w:szCs w:val="24"/>
        </w:rPr>
      </w:pPr>
      <w:r>
        <w:rPr>
          <w:rFonts w:cs="Times New Roman" w:hAnsiTheme="minorEastAsia" w:eastAsiaTheme="minorEastAsia"/>
          <w:szCs w:val="24"/>
        </w:rPr>
        <w:t>图</w:t>
      </w:r>
      <w:r>
        <w:rPr>
          <w:rFonts w:hint="eastAsia" w:cs="Times New Roman" w:eastAsiaTheme="minorEastAsia"/>
          <w:szCs w:val="24"/>
        </w:rPr>
        <w:t>2.7</w:t>
      </w:r>
      <w:r>
        <w:rPr>
          <w:rFonts w:cs="Times New Roman" w:eastAsiaTheme="minorEastAsia"/>
          <w:szCs w:val="24"/>
        </w:rPr>
        <w:t>—1</w:t>
      </w:r>
      <w:r>
        <w:rPr>
          <w:rFonts w:hint="eastAsia" w:cs="Times New Roman" w:eastAsiaTheme="minorEastAsia"/>
          <w:szCs w:val="24"/>
        </w:rPr>
        <w:t xml:space="preserve">                    危废处置厂评价范围及环境</w:t>
      </w:r>
      <w:r>
        <w:rPr>
          <w:rFonts w:cs="Times New Roman" w:hAnsiTheme="minorEastAsia" w:eastAsiaTheme="minorEastAsia"/>
          <w:szCs w:val="24"/>
        </w:rPr>
        <w:t>保护目标</w:t>
      </w:r>
      <w:r>
        <w:rPr>
          <w:rFonts w:hint="eastAsia" w:cs="Times New Roman" w:hAnsiTheme="minorEastAsia" w:eastAsiaTheme="minorEastAsia"/>
          <w:szCs w:val="24"/>
        </w:rPr>
        <w:t>图</w:t>
      </w: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6838" w:h="11906" w:orient="landscape"/>
          <w:pgMar w:top="1418" w:right="1134" w:bottom="1418" w:left="1134" w:header="851" w:footer="851" w:gutter="0"/>
          <w:cols w:space="425" w:num="1"/>
          <w:docGrid w:type="lines" w:linePitch="326" w:charSpace="0"/>
        </w:sectPr>
      </w:pPr>
    </w:p>
    <w:p>
      <w:pPr>
        <w:pStyle w:val="3"/>
        <w:spacing w:before="120" w:after="120"/>
      </w:pPr>
      <w:bookmarkStart w:id="146" w:name="_Toc3282118"/>
      <w:bookmarkStart w:id="147" w:name="_Toc13760107"/>
      <w:r>
        <w:rPr>
          <w:rFonts w:hint="eastAsia"/>
        </w:rPr>
        <w:t>3.</w:t>
      </w:r>
      <w:bookmarkEnd w:id="146"/>
      <w:r>
        <w:rPr>
          <w:rFonts w:hint="eastAsia"/>
        </w:rPr>
        <w:t>原批复环评概况</w:t>
      </w:r>
      <w:bookmarkEnd w:id="147"/>
    </w:p>
    <w:p>
      <w:pPr>
        <w:autoSpaceDE w:val="0"/>
        <w:autoSpaceDN w:val="0"/>
        <w:adjustRightInd w:val="0"/>
        <w:snapToGrid w:val="0"/>
        <w:ind w:firstLine="480"/>
      </w:pPr>
      <w:r>
        <w:rPr>
          <w:rFonts w:hint="eastAsia" w:hAnsi="宋体"/>
          <w:lang w:val="zh-CN"/>
        </w:rPr>
        <w:t>原批复环评的概况摘录自《</w:t>
      </w:r>
      <w:r>
        <w:rPr>
          <w:rFonts w:hint="eastAsia" w:hAnsi="宋体"/>
          <w:bCs/>
        </w:rPr>
        <w:t>阿拉善盟绿能环保科技有限公司危险废弃物处置中心项目</w:t>
      </w:r>
      <w:r>
        <w:rPr>
          <w:rFonts w:hint="eastAsia" w:hAnsi="宋体"/>
          <w:lang w:val="zh-CN"/>
        </w:rPr>
        <w:t>环境影响报告书》（内蒙古环科园环境科技有限责任公司，</w:t>
      </w:r>
      <w:r>
        <w:rPr>
          <w:rFonts w:hAnsi="宋体"/>
          <w:lang w:val="zh-CN"/>
        </w:rPr>
        <w:t>201</w:t>
      </w:r>
      <w:r>
        <w:rPr>
          <w:rFonts w:hint="eastAsia" w:hAnsi="宋体"/>
          <w:lang w:val="zh-CN"/>
        </w:rPr>
        <w:t>8年）。项目环评批复后未开始建设。</w:t>
      </w:r>
    </w:p>
    <w:p>
      <w:pPr>
        <w:pStyle w:val="4"/>
      </w:pPr>
      <w:bookmarkStart w:id="148" w:name="_Toc3282119"/>
      <w:bookmarkStart w:id="149" w:name="_Toc13760108"/>
      <w:r>
        <w:rPr>
          <w:rFonts w:hint="eastAsia"/>
        </w:rPr>
        <w:t>3.1</w:t>
      </w:r>
      <w:bookmarkEnd w:id="148"/>
      <w:r>
        <w:rPr>
          <w:rFonts w:hint="eastAsia"/>
        </w:rPr>
        <w:t>项目名称、建设单位及建设地点</w:t>
      </w:r>
      <w:bookmarkEnd w:id="149"/>
    </w:p>
    <w:p>
      <w:pPr>
        <w:ind w:firstLine="480"/>
      </w:pPr>
      <w:r>
        <w:rPr>
          <w:rFonts w:hint="eastAsia"/>
        </w:rPr>
        <w:t>项目名称：阿拉善盟绿能环保科技有限公司危险废弃物处置中心项目</w:t>
      </w:r>
    </w:p>
    <w:p>
      <w:pPr>
        <w:ind w:firstLine="480"/>
      </w:pPr>
      <w:r>
        <w:rPr>
          <w:rFonts w:hint="eastAsia"/>
        </w:rPr>
        <w:t>项目性质：新建</w:t>
      </w:r>
    </w:p>
    <w:p>
      <w:pPr>
        <w:ind w:firstLine="480"/>
      </w:pPr>
      <w:r>
        <w:rPr>
          <w:rFonts w:hint="eastAsia"/>
        </w:rPr>
        <w:t>年操作时间：危废综合处置厂址年操作时间</w:t>
      </w:r>
      <w:r>
        <w:t>330d(</w:t>
      </w:r>
      <w:r>
        <w:rPr>
          <w:rFonts w:hint="eastAsia"/>
        </w:rPr>
        <w:t>每天工作按</w:t>
      </w:r>
      <w:r>
        <w:t>24h</w:t>
      </w:r>
      <w:r>
        <w:rPr>
          <w:rFonts w:hint="eastAsia"/>
        </w:rPr>
        <w:t>计，全年工作按</w:t>
      </w:r>
      <w:r>
        <w:t>7920h</w:t>
      </w:r>
      <w:r>
        <w:rPr>
          <w:rFonts w:hint="eastAsia"/>
        </w:rPr>
        <w:t>计</w:t>
      </w:r>
      <w:r>
        <w:t>)</w:t>
      </w:r>
      <w:r>
        <w:rPr>
          <w:rFonts w:hint="eastAsia"/>
        </w:rPr>
        <w:t>，安全填埋场操作时间</w:t>
      </w:r>
      <w:r>
        <w:t>330(</w:t>
      </w:r>
      <w:r>
        <w:rPr>
          <w:rFonts w:hint="eastAsia"/>
        </w:rPr>
        <w:t>每天工作按</w:t>
      </w:r>
      <w:r>
        <w:t>8h</w:t>
      </w:r>
      <w:r>
        <w:rPr>
          <w:rFonts w:hint="eastAsia"/>
        </w:rPr>
        <w:t>计，全年工作按</w:t>
      </w:r>
      <w:r>
        <w:t>2640h</w:t>
      </w:r>
      <w:r>
        <w:rPr>
          <w:rFonts w:hint="eastAsia"/>
        </w:rPr>
        <w:t>计</w:t>
      </w:r>
      <w:r>
        <w:t>)</w:t>
      </w:r>
      <w:r>
        <w:rPr>
          <w:rFonts w:hint="eastAsia"/>
        </w:rPr>
        <w:t>。</w:t>
      </w:r>
    </w:p>
    <w:p>
      <w:pPr>
        <w:ind w:firstLine="480"/>
      </w:pPr>
      <w:r>
        <w:rPr>
          <w:rFonts w:hint="eastAsia"/>
        </w:rPr>
        <w:t>建设单位：阿拉善盟绿能环保科技有限公司</w:t>
      </w:r>
    </w:p>
    <w:p>
      <w:pPr>
        <w:ind w:firstLine="480"/>
      </w:pPr>
      <w:r>
        <w:rPr>
          <w:rFonts w:hint="eastAsia"/>
        </w:rPr>
        <w:t>建设地点：</w:t>
      </w:r>
      <w:r>
        <w:rPr>
          <w:rFonts w:hint="eastAsia" w:hAnsi="宋体"/>
        </w:rPr>
        <w:t>内蒙古阿拉善腾格里经济技术开发区</w:t>
      </w:r>
    </w:p>
    <w:p>
      <w:pPr>
        <w:ind w:firstLine="480"/>
        <w:rPr>
          <w:szCs w:val="24"/>
        </w:rPr>
      </w:pPr>
      <w:r>
        <w:rPr>
          <w:rFonts w:hint="eastAsia"/>
          <w:szCs w:val="24"/>
        </w:rPr>
        <w:t>项目占地及位置关系：</w:t>
      </w:r>
      <w:r>
        <w:rPr>
          <w:rFonts w:hint="eastAsia"/>
        </w:rPr>
        <w:t>分为两个厂址建设，其中安全填埋场厂址位于开发区天目山西南侧，占地为</w:t>
      </w:r>
      <w:r>
        <w:t>93940</w:t>
      </w:r>
      <w:r>
        <w:rPr>
          <w:bCs/>
        </w:rPr>
        <w:t>m</w:t>
      </w:r>
      <w:r>
        <w:rPr>
          <w:bCs/>
          <w:vertAlign w:val="superscript"/>
        </w:rPr>
        <w:t>2</w:t>
      </w:r>
      <w:r>
        <w:rPr>
          <w:rFonts w:hint="eastAsia"/>
        </w:rPr>
        <w:t>；危废综合处置厂址</w:t>
      </w:r>
      <w:r>
        <w:t>(</w:t>
      </w:r>
      <w:r>
        <w:rPr>
          <w:rFonts w:hint="eastAsia"/>
        </w:rPr>
        <w:t>包括</w:t>
      </w:r>
      <w:r>
        <w:rPr>
          <w:rFonts w:hint="eastAsia" w:hAnsi="宋体"/>
          <w:bCs/>
        </w:rPr>
        <w:t>危险废物的焚烧、物化、稳定化</w:t>
      </w:r>
      <w:r>
        <w:rPr>
          <w:bCs/>
        </w:rPr>
        <w:t>/</w:t>
      </w:r>
      <w:r>
        <w:rPr>
          <w:rFonts w:hint="eastAsia" w:hAnsi="宋体"/>
          <w:bCs/>
        </w:rPr>
        <w:t>固化及其他公辅工程</w:t>
      </w:r>
      <w:r>
        <w:t>)</w:t>
      </w:r>
      <w:r>
        <w:rPr>
          <w:rFonts w:hint="eastAsia"/>
        </w:rPr>
        <w:t>位于开发区葡萄墩片区</w:t>
      </w:r>
      <w:r>
        <w:rPr>
          <w:rFonts w:hint="eastAsia" w:hAnsi="宋体"/>
          <w:bCs/>
        </w:rPr>
        <w:t>，占地为</w:t>
      </w:r>
      <w:r>
        <w:rPr>
          <w:bCs/>
        </w:rPr>
        <w:t>66634m</w:t>
      </w:r>
      <w:r>
        <w:rPr>
          <w:bCs/>
          <w:vertAlign w:val="superscript"/>
        </w:rPr>
        <w:t>2</w:t>
      </w:r>
      <w:r>
        <w:rPr>
          <w:rFonts w:hint="eastAsia" w:hAnsi="宋体"/>
          <w:bCs/>
        </w:rPr>
        <w:t>。安全填埋场位于危废综合处置厂的东北方向，两个厂址直线距离约为</w:t>
      </w:r>
      <w:r>
        <w:rPr>
          <w:rFonts w:hAnsi="宋体"/>
          <w:bCs/>
        </w:rPr>
        <w:t>8.4km</w:t>
      </w:r>
      <w:r>
        <w:rPr>
          <w:rFonts w:hint="eastAsia" w:hAnsi="宋体"/>
          <w:bCs/>
        </w:rPr>
        <w:t>。</w:t>
      </w:r>
    </w:p>
    <w:p>
      <w:pPr>
        <w:ind w:firstLine="480"/>
      </w:pPr>
      <w:r>
        <w:rPr>
          <w:rFonts w:hint="eastAsia"/>
        </w:rPr>
        <w:t>建设期限：</w:t>
      </w:r>
      <w:r>
        <w:t>30</w:t>
      </w:r>
      <w:r>
        <w:rPr>
          <w:rFonts w:hint="eastAsia"/>
        </w:rPr>
        <w:t>个月</w:t>
      </w:r>
    </w:p>
    <w:p>
      <w:pPr>
        <w:ind w:firstLine="480"/>
      </w:pPr>
      <w:r>
        <w:rPr>
          <w:rFonts w:hint="eastAsia"/>
        </w:rPr>
        <w:t>项目投资：</w:t>
      </w:r>
      <w:r>
        <w:t>11628.8</w:t>
      </w:r>
      <w:r>
        <w:rPr>
          <w:bCs/>
        </w:rPr>
        <w:t>×10</w:t>
      </w:r>
      <w:r>
        <w:rPr>
          <w:bCs/>
          <w:vertAlign w:val="superscript"/>
        </w:rPr>
        <w:t>4</w:t>
      </w:r>
      <w:r>
        <w:rPr>
          <w:rFonts w:hint="eastAsia"/>
          <w:bCs/>
        </w:rPr>
        <w:t>元</w:t>
      </w:r>
    </w:p>
    <w:p>
      <w:pPr>
        <w:ind w:firstLine="480"/>
      </w:pPr>
      <w:r>
        <w:rPr>
          <w:rFonts w:hint="eastAsia"/>
        </w:rPr>
        <w:t>工作制度及全厂定员：劳动定员总数为</w:t>
      </w:r>
      <w:r>
        <w:t>124</w:t>
      </w:r>
      <w:r>
        <w:rPr>
          <w:rFonts w:hint="eastAsia"/>
        </w:rPr>
        <w:t>人。其中生产人员定员为</w:t>
      </w:r>
      <w:r>
        <w:t>63</w:t>
      </w:r>
      <w:r>
        <w:rPr>
          <w:rFonts w:hint="eastAsia"/>
        </w:rPr>
        <w:t>人，管理技术人员和其他人员为</w:t>
      </w:r>
      <w:r>
        <w:t>61</w:t>
      </w:r>
      <w:r>
        <w:rPr>
          <w:rFonts w:hint="eastAsia"/>
        </w:rPr>
        <w:t>人，其中危废综合处置厂采用四班三运转制，安全填埋场采用一班制，每天工作</w:t>
      </w:r>
      <w:r>
        <w:t>8</w:t>
      </w:r>
      <w:r>
        <w:rPr>
          <w:rFonts w:hint="eastAsia"/>
        </w:rPr>
        <w:t>小时。</w:t>
      </w:r>
    </w:p>
    <w:p>
      <w:pPr>
        <w:pStyle w:val="4"/>
      </w:pPr>
      <w:bookmarkStart w:id="150" w:name="_Toc13760109"/>
      <w:r>
        <w:rPr>
          <w:rFonts w:hint="eastAsia"/>
        </w:rPr>
        <w:t>3.2项目组成</w:t>
      </w:r>
      <w:bookmarkEnd w:id="150"/>
    </w:p>
    <w:p>
      <w:pPr>
        <w:ind w:firstLine="480"/>
      </w:pPr>
      <w:r>
        <w:rPr>
          <w:rFonts w:hint="eastAsia"/>
        </w:rPr>
        <w:t>项目的基本组成见表</w:t>
      </w:r>
      <w:r>
        <w:t>3.</w:t>
      </w:r>
      <w:r>
        <w:rPr>
          <w:rFonts w:hint="eastAsia"/>
        </w:rPr>
        <w:t>2—1。</w:t>
      </w:r>
    </w:p>
    <w:p>
      <w:pPr>
        <w:ind w:firstLine="480"/>
      </w:pPr>
      <w:r>
        <w:rPr>
          <w:rFonts w:hint="eastAsia"/>
        </w:rPr>
        <w:t>表</w:t>
      </w:r>
      <w:r>
        <w:t>3.</w:t>
      </w:r>
      <w:r>
        <w:rPr>
          <w:rFonts w:hint="eastAsia"/>
        </w:rPr>
        <w:t>2—1   本项目基本组成表</w:t>
      </w:r>
    </w:p>
    <w:tbl>
      <w:tblPr>
        <w:tblStyle w:val="88"/>
        <w:tblW w:w="963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426"/>
        <w:gridCol w:w="708"/>
        <w:gridCol w:w="861"/>
        <w:gridCol w:w="764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jc w:val="center"/>
        </w:trPr>
        <w:tc>
          <w:tcPr>
            <w:tcW w:w="426" w:type="dxa"/>
            <w:tcBorders>
              <w:top w:val="single" w:color="auto" w:sz="12" w:space="0"/>
              <w:left w:val="nil"/>
              <w:bottom w:val="single" w:color="auto" w:sz="12" w:space="0"/>
              <w:right w:val="dotted" w:color="auto" w:sz="4" w:space="0"/>
            </w:tcBorders>
            <w:vAlign w:val="center"/>
          </w:tcPr>
          <w:p>
            <w:pPr>
              <w:pStyle w:val="184"/>
              <w:spacing w:line="240" w:lineRule="exact"/>
              <w:jc w:val="both"/>
              <w:rPr>
                <w:rFonts w:ascii="Times New Roman"/>
                <w:color w:val="auto"/>
                <w:lang w:val="zh-CN"/>
              </w:rPr>
            </w:pPr>
            <w:r>
              <w:rPr>
                <w:rFonts w:hint="eastAsia" w:ascii="Times New Roman"/>
                <w:color w:val="auto"/>
                <w:lang w:val="zh-CN"/>
              </w:rPr>
              <w:t>序号</w:t>
            </w:r>
          </w:p>
        </w:tc>
        <w:tc>
          <w:tcPr>
            <w:tcW w:w="1569" w:type="dxa"/>
            <w:gridSpan w:val="2"/>
            <w:tcBorders>
              <w:top w:val="single" w:color="auto" w:sz="12" w:space="0"/>
              <w:left w:val="dotted" w:color="auto" w:sz="4" w:space="0"/>
              <w:bottom w:val="single" w:color="auto" w:sz="12" w:space="0"/>
              <w:right w:val="dotted" w:color="auto" w:sz="4" w:space="0"/>
            </w:tcBorders>
            <w:vAlign w:val="center"/>
          </w:tcPr>
          <w:p>
            <w:pPr>
              <w:pStyle w:val="184"/>
              <w:spacing w:line="240" w:lineRule="exact"/>
              <w:jc w:val="both"/>
              <w:rPr>
                <w:rFonts w:ascii="Times New Roman"/>
                <w:color w:val="auto"/>
                <w:lang w:val="zh-CN"/>
              </w:rPr>
            </w:pPr>
            <w:r>
              <w:rPr>
                <w:rFonts w:hint="eastAsia" w:ascii="Times New Roman"/>
                <w:color w:val="auto"/>
              </w:rPr>
              <w:t>项目名称</w:t>
            </w:r>
          </w:p>
        </w:tc>
        <w:tc>
          <w:tcPr>
            <w:tcW w:w="7643" w:type="dxa"/>
            <w:tcBorders>
              <w:top w:val="single" w:color="auto" w:sz="12" w:space="0"/>
              <w:left w:val="dotted" w:color="auto" w:sz="4" w:space="0"/>
              <w:bottom w:val="single" w:color="auto" w:sz="12" w:space="0"/>
              <w:right w:val="nil"/>
            </w:tcBorders>
            <w:vAlign w:val="center"/>
          </w:tcPr>
          <w:p>
            <w:pPr>
              <w:pStyle w:val="184"/>
              <w:spacing w:line="240" w:lineRule="exact"/>
              <w:rPr>
                <w:rFonts w:ascii="Times New Roman"/>
                <w:color w:val="auto"/>
              </w:rPr>
            </w:pPr>
            <w:r>
              <w:rPr>
                <w:rFonts w:hint="eastAsia" w:ascii="Times New Roman"/>
                <w:color w:val="auto"/>
              </w:rPr>
              <w:t>建设内容及规模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single" w:color="auto" w:sz="12" w:space="0"/>
              <w:left w:val="nil"/>
              <w:bottom w:val="single" w:color="auto" w:sz="12"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w:t>
            </w:r>
          </w:p>
        </w:tc>
        <w:tc>
          <w:tcPr>
            <w:tcW w:w="9212" w:type="dxa"/>
            <w:gridSpan w:val="3"/>
            <w:tcBorders>
              <w:top w:val="single" w:color="auto" w:sz="12" w:space="0"/>
              <w:left w:val="dotted" w:color="auto" w:sz="4" w:space="0"/>
              <w:bottom w:val="single" w:color="auto" w:sz="12" w:space="0"/>
              <w:right w:val="nil"/>
            </w:tcBorders>
            <w:vAlign w:val="center"/>
          </w:tcPr>
          <w:p>
            <w:pPr>
              <w:pStyle w:val="184"/>
              <w:spacing w:line="240" w:lineRule="exact"/>
              <w:rPr>
                <w:rFonts w:ascii="Times New Roman"/>
                <w:color w:val="auto"/>
              </w:rPr>
            </w:pPr>
            <w:r>
              <w:rPr>
                <w:rFonts w:hint="eastAsia" w:ascii="Times New Roman"/>
                <w:color w:val="auto"/>
                <w:lang w:val="zh-CN"/>
              </w:rPr>
              <w:t>主体工程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1.1</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hint="eastAsia" w:cs="Times New Roman"/>
                <w:kern w:val="2"/>
                <w:lang w:eastAsia="zh-CN"/>
              </w:rPr>
              <w:t>物化车间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sz w:val="21"/>
              </w:rPr>
              <w:t>废酸碱处理系统主要包括</w:t>
            </w:r>
            <w:r>
              <w:rPr>
                <w:rFonts w:ascii="Times New Roman" w:hAnsi="Times New Roman"/>
                <w:sz w:val="21"/>
              </w:rPr>
              <w:t>1</w:t>
            </w:r>
            <w:r>
              <w:rPr>
                <w:rFonts w:hint="eastAsia" w:ascii="Times New Roman" w:hAnsi="Times New Roman"/>
                <w:sz w:val="21"/>
              </w:rPr>
              <w:t>套中和反应釜、澄清池、搅拌机、输送泵、板框压滤机、盛装容器等设备，废碱的处理能力为</w:t>
            </w:r>
            <w:r>
              <w:rPr>
                <w:rFonts w:ascii="Times New Roman" w:hAnsi="Times New Roman"/>
                <w:sz w:val="21"/>
              </w:rPr>
              <w:t>1000t/</w:t>
            </w:r>
            <w:r>
              <w:rPr>
                <w:rFonts w:hint="eastAsia" w:ascii="Times New Roman" w:hAnsi="Times New Roman"/>
                <w:sz w:val="21"/>
              </w:rPr>
              <w:t>a，废酸的处理能力为</w:t>
            </w:r>
            <w:r>
              <w:rPr>
                <w:rFonts w:ascii="Times New Roman" w:hAnsi="Times New Roman"/>
                <w:sz w:val="21"/>
              </w:rPr>
              <w:t>1000t/</w:t>
            </w:r>
            <w:r>
              <w:rPr>
                <w:rFonts w:hint="eastAsia" w:ascii="Times New Roman" w:hAnsi="Times New Roman"/>
                <w:sz w:val="21"/>
              </w:rPr>
              <w:t>a。</w:t>
            </w:r>
          </w:p>
          <w:p>
            <w:pPr>
              <w:pStyle w:val="183"/>
              <w:spacing w:line="240" w:lineRule="exact"/>
              <w:ind w:firstLine="0" w:firstLineChars="0"/>
              <w:rPr>
                <w:rFonts w:ascii="Times New Roman" w:hAnsi="Times New Roman"/>
                <w:sz w:val="21"/>
              </w:rPr>
            </w:pPr>
            <w:r>
              <w:rPr>
                <w:rFonts w:hint="eastAsia" w:ascii="Times New Roman" w:hAnsi="Times New Roman"/>
                <w:sz w:val="21"/>
              </w:rPr>
              <w:t>废乳化液处理系统主要包括</w:t>
            </w:r>
            <w:r>
              <w:rPr>
                <w:rFonts w:ascii="Times New Roman" w:hAnsi="Times New Roman"/>
                <w:sz w:val="21"/>
              </w:rPr>
              <w:t>1</w:t>
            </w:r>
            <w:r>
              <w:rPr>
                <w:rFonts w:hint="eastAsia" w:ascii="Times New Roman" w:hAnsi="Times New Roman"/>
                <w:sz w:val="21"/>
              </w:rPr>
              <w:t>套</w:t>
            </w:r>
            <w:r>
              <w:rPr>
                <w:rFonts w:hint="eastAsia"/>
                <w:sz w:val="21"/>
              </w:rPr>
              <w:t>涡凹气浮机</w:t>
            </w:r>
            <w:r>
              <w:rPr>
                <w:rFonts w:hint="eastAsia" w:ascii="Times New Roman" w:hAnsi="Times New Roman"/>
                <w:sz w:val="21"/>
              </w:rPr>
              <w:t>、</w:t>
            </w:r>
            <w:r>
              <w:rPr>
                <w:rFonts w:ascii="Times New Roman" w:hAnsi="Times New Roman"/>
                <w:sz w:val="21"/>
              </w:rPr>
              <w:t>PAC</w:t>
            </w:r>
            <w:r>
              <w:rPr>
                <w:rFonts w:hint="eastAsia" w:ascii="Times New Roman" w:hAnsi="Times New Roman"/>
                <w:sz w:val="21"/>
              </w:rPr>
              <w:t>加药装置、</w:t>
            </w:r>
            <w:r>
              <w:rPr>
                <w:rFonts w:ascii="Times New Roman" w:hAnsi="Times New Roman"/>
                <w:sz w:val="21"/>
              </w:rPr>
              <w:t>PAM</w:t>
            </w:r>
            <w:r>
              <w:rPr>
                <w:rFonts w:hint="eastAsia" w:ascii="Times New Roman" w:hAnsi="Times New Roman"/>
                <w:sz w:val="21"/>
              </w:rPr>
              <w:t>加药装置、隔油池、沉淀池等设备，废乳化液处理能力为</w:t>
            </w:r>
            <w:r>
              <w:rPr>
                <w:rFonts w:ascii="Times New Roman" w:hAnsi="Times New Roman"/>
                <w:sz w:val="21"/>
              </w:rPr>
              <w:t>200t/a</w:t>
            </w:r>
            <w:r>
              <w:rPr>
                <w:rFonts w:hint="eastAsia" w:ascii="Times New Roman" w:hAnsi="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1.2</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hint="eastAsia" w:cs="Times New Roman"/>
                <w:kern w:val="2"/>
                <w:lang w:eastAsia="zh-CN"/>
              </w:rPr>
              <w:t>焚烧车间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sz w:val="21"/>
              </w:rPr>
            </w:pPr>
            <w:r>
              <w:rPr>
                <w:rFonts w:hint="eastAsia" w:ascii="Times New Roman" w:hAnsi="Times New Roman"/>
                <w:sz w:val="21"/>
              </w:rPr>
              <w:t>主要包括暂存及预处理、配伍及进料系统，灰、渣输送系统，</w:t>
            </w:r>
            <w:r>
              <w:rPr>
                <w:rFonts w:ascii="Times New Roman" w:hAnsi="Times New Roman"/>
                <w:sz w:val="21"/>
              </w:rPr>
              <w:t>1</w:t>
            </w:r>
            <w:r>
              <w:rPr>
                <w:rFonts w:hint="eastAsia" w:ascii="Times New Roman" w:hAnsi="Times New Roman"/>
                <w:sz w:val="21"/>
              </w:rPr>
              <w:t>套</w:t>
            </w:r>
            <w:r>
              <w:rPr>
                <w:rFonts w:hint="eastAsia" w:ascii="Times New Roman"/>
                <w:sz w:val="21"/>
              </w:rPr>
              <w:t>回转窑</w:t>
            </w:r>
            <w:r>
              <w:rPr>
                <w:rFonts w:ascii="Times New Roman" w:hAnsi="Times New Roman"/>
                <w:sz w:val="21"/>
              </w:rPr>
              <w:t>+</w:t>
            </w:r>
            <w:r>
              <w:rPr>
                <w:rFonts w:hint="eastAsia" w:ascii="Times New Roman"/>
                <w:sz w:val="21"/>
              </w:rPr>
              <w:t>二燃室焚烧系统</w:t>
            </w:r>
            <w:r>
              <w:rPr>
                <w:rFonts w:ascii="Times New Roman" w:hAnsi="Times New Roman"/>
                <w:sz w:val="21"/>
              </w:rPr>
              <w:t>+SNCR</w:t>
            </w:r>
            <w:r>
              <w:rPr>
                <w:rFonts w:hint="eastAsia" w:ascii="Times New Roman"/>
                <w:sz w:val="21"/>
              </w:rPr>
              <w:t>脱硝系统</w:t>
            </w:r>
            <w:r>
              <w:rPr>
                <w:rFonts w:ascii="Times New Roman" w:hAnsi="Times New Roman"/>
                <w:sz w:val="21"/>
              </w:rPr>
              <w:t>+</w:t>
            </w:r>
            <w:r>
              <w:rPr>
                <w:rFonts w:hint="eastAsia" w:ascii="Times New Roman"/>
                <w:sz w:val="21"/>
              </w:rPr>
              <w:t>旋风收尘器</w:t>
            </w:r>
            <w:r>
              <w:rPr>
                <w:rFonts w:ascii="Times New Roman" w:hAnsi="Times New Roman"/>
                <w:sz w:val="21"/>
              </w:rPr>
              <w:t>+</w:t>
            </w:r>
            <w:r>
              <w:rPr>
                <w:rFonts w:hint="eastAsia" w:ascii="Times New Roman"/>
                <w:sz w:val="21"/>
              </w:rPr>
              <w:t>余热锅炉</w:t>
            </w:r>
            <w:r>
              <w:rPr>
                <w:rFonts w:ascii="Times New Roman" w:hAnsi="Times New Roman"/>
                <w:sz w:val="21"/>
              </w:rPr>
              <w:t>+</w:t>
            </w:r>
            <w:r>
              <w:rPr>
                <w:rFonts w:hint="eastAsia" w:ascii="Times New Roman"/>
                <w:sz w:val="21"/>
              </w:rPr>
              <w:t>急冷脱酸塔</w:t>
            </w:r>
            <w:r>
              <w:rPr>
                <w:rFonts w:ascii="Times New Roman" w:hAnsi="Times New Roman"/>
                <w:sz w:val="21"/>
              </w:rPr>
              <w:t>+</w:t>
            </w:r>
            <w:r>
              <w:rPr>
                <w:rFonts w:hint="eastAsia" w:ascii="Times New Roman"/>
                <w:sz w:val="21"/>
              </w:rPr>
              <w:t>干式反应器</w:t>
            </w:r>
            <w:r>
              <w:rPr>
                <w:rFonts w:ascii="Times New Roman" w:hAnsi="Times New Roman"/>
                <w:sz w:val="21"/>
              </w:rPr>
              <w:t>+</w:t>
            </w:r>
            <w:r>
              <w:rPr>
                <w:rFonts w:hint="eastAsia" w:ascii="Times New Roman"/>
                <w:sz w:val="21"/>
              </w:rPr>
              <w:t>袋式除尘器</w:t>
            </w:r>
            <w:r>
              <w:rPr>
                <w:rFonts w:ascii="Times New Roman" w:hAnsi="Times New Roman"/>
                <w:sz w:val="21"/>
              </w:rPr>
              <w:t>+</w:t>
            </w:r>
            <w:r>
              <w:rPr>
                <w:rFonts w:hint="eastAsia" w:ascii="Times New Roman"/>
                <w:sz w:val="21"/>
              </w:rPr>
              <w:t>喷淋洗涤塔</w:t>
            </w:r>
            <w:r>
              <w:rPr>
                <w:rFonts w:ascii="Times New Roman" w:hAnsi="Times New Roman"/>
                <w:sz w:val="21"/>
              </w:rPr>
              <w:t>+</w:t>
            </w:r>
            <w:r>
              <w:rPr>
                <w:rFonts w:hint="eastAsia" w:ascii="Times New Roman" w:hAnsi="Times New Roman"/>
                <w:sz w:val="21"/>
              </w:rPr>
              <w:t>引风排烟系统等，处理能力为</w:t>
            </w:r>
            <w:r>
              <w:rPr>
                <w:rFonts w:ascii="Times New Roman" w:hAnsi="Times New Roman"/>
                <w:sz w:val="21"/>
              </w:rPr>
              <w:t>15t/d</w:t>
            </w:r>
            <w:r>
              <w:rPr>
                <w:rFonts w:hint="eastAsia" w:ascii="Times New Roman" w:hAnsi="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1.3</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hint="eastAsia" w:cs="Times New Roman"/>
                <w:kern w:val="2"/>
                <w:lang w:eastAsia="zh-CN"/>
              </w:rPr>
              <w:t>固化车间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jc w:val="center"/>
              <w:rPr>
                <w:rFonts w:ascii="Times New Roman" w:hAnsi="Times New Roman"/>
                <w:sz w:val="21"/>
              </w:rPr>
            </w:pPr>
            <w:r>
              <w:rPr>
                <w:rFonts w:hint="eastAsia" w:ascii="Times New Roman" w:hAnsi="Times New Roman"/>
                <w:sz w:val="21"/>
              </w:rPr>
              <w:t>主要包括搅拌机、成型机、单斗提升机及养护设施等，处理能力为</w:t>
            </w:r>
            <w:r>
              <w:rPr>
                <w:rFonts w:ascii="Times New Roman" w:hAnsi="Times New Roman"/>
                <w:sz w:val="21"/>
              </w:rPr>
              <w:t>60t/d</w:t>
            </w:r>
            <w:r>
              <w:rPr>
                <w:rFonts w:hint="eastAsia" w:ascii="Times New Roman" w:hAnsi="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1.4</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hint="eastAsia" w:cs="Times New Roman"/>
                <w:kern w:val="2"/>
                <w:lang w:eastAsia="zh-CN"/>
              </w:rPr>
              <w:t>安全填埋场</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sz w:val="21"/>
              </w:rPr>
            </w:pPr>
            <w:r>
              <w:rPr>
                <w:rFonts w:hint="eastAsia" w:ascii="Times New Roman" w:hAnsi="Times New Roman"/>
                <w:sz w:val="21"/>
              </w:rPr>
              <w:t>包括场地平整及防渗工程、竖向导气系统、截洪沟、渗滤液调节池、检查井、地下水监测井等。有效库容约为</w:t>
            </w:r>
            <w:r>
              <w:rPr>
                <w:rFonts w:ascii="Times New Roman" w:hAnsi="Times New Roman"/>
                <w:sz w:val="21"/>
              </w:rPr>
              <w:t>30×10</w:t>
            </w:r>
            <w:r>
              <w:rPr>
                <w:rFonts w:ascii="Times New Roman" w:hAnsi="Times New Roman"/>
                <w:sz w:val="21"/>
                <w:vertAlign w:val="superscript"/>
              </w:rPr>
              <w:t>4</w:t>
            </w:r>
            <w:r>
              <w:rPr>
                <w:rFonts w:ascii="Times New Roman" w:hAnsi="Times New Roman"/>
                <w:sz w:val="21"/>
              </w:rPr>
              <w:t>m</w:t>
            </w:r>
            <w:r>
              <w:rPr>
                <w:rFonts w:ascii="Times New Roman" w:hAnsi="Times New Roman"/>
                <w:sz w:val="21"/>
                <w:vertAlign w:val="superscript"/>
              </w:rPr>
              <w:t>3</w:t>
            </w:r>
            <w:r>
              <w:rPr>
                <w:rFonts w:hint="eastAsia" w:ascii="Times New Roman" w:hAnsi="Times New Roman"/>
                <w:sz w:val="21"/>
              </w:rPr>
              <w:t>，服务年限为</w:t>
            </w:r>
            <w:r>
              <w:rPr>
                <w:rFonts w:ascii="Times New Roman" w:hAnsi="Times New Roman"/>
                <w:sz w:val="21"/>
              </w:rPr>
              <w:t>20a</w:t>
            </w:r>
            <w:r>
              <w:rPr>
                <w:rFonts w:hint="eastAsia" w:ascii="Times New Roman" w:hAnsi="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single" w:color="auto" w:sz="12" w:space="0"/>
              <w:left w:val="nil"/>
              <w:bottom w:val="single" w:color="auto" w:sz="12"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w:t>
            </w:r>
          </w:p>
        </w:tc>
        <w:tc>
          <w:tcPr>
            <w:tcW w:w="9212" w:type="dxa"/>
            <w:gridSpan w:val="3"/>
            <w:tcBorders>
              <w:top w:val="single" w:color="auto" w:sz="12" w:space="0"/>
              <w:left w:val="dotted" w:color="auto" w:sz="4" w:space="0"/>
              <w:bottom w:val="single" w:color="auto" w:sz="12" w:space="0"/>
              <w:right w:val="nil"/>
            </w:tcBorders>
            <w:vAlign w:val="center"/>
          </w:tcPr>
          <w:p>
            <w:pPr>
              <w:pStyle w:val="184"/>
              <w:spacing w:line="240" w:lineRule="exact"/>
              <w:rPr>
                <w:rFonts w:ascii="Times New Roman"/>
                <w:color w:val="auto"/>
                <w:lang w:val="zh-CN"/>
              </w:rPr>
            </w:pPr>
            <w:r>
              <w:rPr>
                <w:rFonts w:hint="eastAsia" w:ascii="Times New Roman"/>
                <w:color w:val="auto"/>
                <w:lang w:val="zh-CN"/>
              </w:rPr>
              <w:t>公用和辅助工程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single" w:color="auto" w:sz="12"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2.1</w:t>
            </w:r>
          </w:p>
        </w:tc>
        <w:tc>
          <w:tcPr>
            <w:tcW w:w="1569" w:type="dxa"/>
            <w:gridSpan w:val="2"/>
            <w:tcBorders>
              <w:top w:val="single" w:color="auto" w:sz="12"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供水</w:t>
            </w:r>
          </w:p>
        </w:tc>
        <w:tc>
          <w:tcPr>
            <w:tcW w:w="7643" w:type="dxa"/>
            <w:tcBorders>
              <w:top w:val="single" w:color="auto" w:sz="12" w:space="0"/>
              <w:left w:val="dotted" w:color="auto" w:sz="4" w:space="0"/>
              <w:bottom w:val="dotted" w:color="auto" w:sz="4" w:space="0"/>
              <w:right w:val="nil"/>
            </w:tcBorders>
            <w:vAlign w:val="center"/>
          </w:tcPr>
          <w:p>
            <w:pPr>
              <w:autoSpaceDE w:val="0"/>
              <w:autoSpaceDN w:val="0"/>
              <w:adjustRightInd w:val="0"/>
              <w:spacing w:line="240" w:lineRule="exact"/>
              <w:ind w:firstLine="0" w:firstLineChars="0"/>
              <w:jc w:val="center"/>
              <w:rPr>
                <w:kern w:val="0"/>
                <w:sz w:val="21"/>
              </w:rPr>
            </w:pPr>
            <w:r>
              <w:rPr>
                <w:rFonts w:hint="eastAsia"/>
                <w:sz w:val="21"/>
              </w:rPr>
              <w:t>全厂用水由</w:t>
            </w:r>
            <w:r>
              <w:rPr>
                <w:rFonts w:hint="eastAsia" w:hAnsi="宋体"/>
                <w:sz w:val="21"/>
              </w:rPr>
              <w:t>内蒙古阿拉善腾格里经济技术开发区供水工程</w:t>
            </w:r>
            <w:r>
              <w:rPr>
                <w:rFonts w:hint="eastAsia"/>
                <w:sz w:val="21"/>
              </w:rPr>
              <w:t>统一集中供给。</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2.2</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jc w:val="center"/>
              <w:rPr>
                <w:sz w:val="21"/>
              </w:rPr>
            </w:pPr>
            <w:r>
              <w:rPr>
                <w:rFonts w:hint="eastAsia"/>
                <w:sz w:val="21"/>
              </w:rPr>
              <w:t>排水</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rPr>
                <w:sz w:val="21"/>
              </w:rPr>
            </w:pPr>
            <w:r>
              <w:rPr>
                <w:rFonts w:hint="eastAsia"/>
                <w:sz w:val="21"/>
              </w:rPr>
              <w:t>本项目焚烧车间喷淋洗涤塔排水</w:t>
            </w:r>
            <w:r>
              <w:rPr>
                <w:rFonts w:hint="eastAsia" w:hAnsi="宋体"/>
                <w:sz w:val="21"/>
              </w:rPr>
              <w:t>由本车间污水处理模块经“絮凝沉淀”处理后送至物化车间污水处理模块</w:t>
            </w:r>
            <w:r>
              <w:rPr>
                <w:rFonts w:hint="eastAsia"/>
                <w:sz w:val="21"/>
              </w:rPr>
              <w:t>；物化车间澄清池排水</w:t>
            </w:r>
            <w:r>
              <w:rPr>
                <w:rFonts w:hint="eastAsia" w:hAnsi="宋体"/>
                <w:sz w:val="21"/>
              </w:rPr>
              <w:t>和</w:t>
            </w:r>
            <w:r>
              <w:rPr>
                <w:rFonts w:hint="eastAsia"/>
                <w:sz w:val="21"/>
              </w:rPr>
              <w:t>沉淀池废水</w:t>
            </w:r>
            <w:r>
              <w:rPr>
                <w:rFonts w:hint="eastAsia" w:hAnsi="宋体"/>
                <w:sz w:val="21"/>
              </w:rPr>
              <w:t>经“絮凝沉淀”处理后</w:t>
            </w:r>
            <w:r>
              <w:rPr>
                <w:rFonts w:hint="eastAsia"/>
                <w:sz w:val="21"/>
              </w:rPr>
              <w:t>，与焚烧车间污水处理模块排水</w:t>
            </w:r>
            <w:r>
              <w:rPr>
                <w:rFonts w:hint="eastAsia" w:hAnsi="宋体"/>
                <w:sz w:val="21"/>
              </w:rPr>
              <w:t>、</w:t>
            </w:r>
            <w:r>
              <w:rPr>
                <w:rFonts w:hint="eastAsia"/>
                <w:sz w:val="21"/>
              </w:rPr>
              <w:t>污水处理站排浓水采用“</w:t>
            </w:r>
            <w:r>
              <w:rPr>
                <w:sz w:val="21"/>
              </w:rPr>
              <w:t>Fenton+</w:t>
            </w:r>
            <w:r>
              <w:rPr>
                <w:rFonts w:hint="eastAsia"/>
                <w:sz w:val="21"/>
              </w:rPr>
              <w:t>强制循环蒸发”的方法进行处理，处理后的冷凝液与冲洗废水、化验用水、安全填埋场渗滤液</w:t>
            </w:r>
            <w:r>
              <w:rPr>
                <w:rFonts w:hint="eastAsia" w:hAnsi="宋体"/>
                <w:sz w:val="21"/>
              </w:rPr>
              <w:t>以及生活污水送至全厂污水处理站，</w:t>
            </w:r>
            <w:r>
              <w:rPr>
                <w:rFonts w:hint="eastAsia"/>
                <w:sz w:val="21"/>
              </w:rPr>
              <w:t>经“絮凝沉淀</w:t>
            </w:r>
            <w:r>
              <w:rPr>
                <w:sz w:val="21"/>
              </w:rPr>
              <w:t>+</w:t>
            </w:r>
            <w:r>
              <w:rPr>
                <w:rFonts w:hint="eastAsia"/>
                <w:sz w:val="21"/>
              </w:rPr>
              <w:t>水解酸化</w:t>
            </w:r>
            <w:r>
              <w:rPr>
                <w:sz w:val="21"/>
              </w:rPr>
              <w:t>+MBR+</w:t>
            </w:r>
            <w:r>
              <w:rPr>
                <w:rFonts w:hint="eastAsia"/>
                <w:sz w:val="21"/>
              </w:rPr>
              <w:t>回用系统”处理后</w:t>
            </w:r>
            <w:r>
              <w:rPr>
                <w:rFonts w:hint="eastAsia" w:hAnsi="宋体"/>
                <w:sz w:val="21"/>
              </w:rPr>
              <w:t>，出水部分回用至固化车间，其余回用至焚烧车间，浓水送至物化车间污水处理模块。本项目循环水系统排水、物化车间酸雾吸收塔排水、余热锅炉排水及软化水系统排水等直接送至焚烧车间进行综合利用。</w:t>
            </w:r>
            <w:r>
              <w:rPr>
                <w:rFonts w:hint="eastAsia"/>
                <w:sz w:val="21"/>
                <w:lang w:val="pt-BR"/>
              </w:rPr>
              <w:t>本项目处理后的废水全部回用于各生产工段，全厂无废水外排。</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2.3</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jc w:val="center"/>
              <w:rPr>
                <w:sz w:val="21"/>
              </w:rPr>
            </w:pPr>
            <w:r>
              <w:rPr>
                <w:rFonts w:hint="eastAsia"/>
                <w:sz w:val="21"/>
              </w:rPr>
              <w:t>供汽及供热</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rPr>
                <w:rFonts w:cs="Times New Roman"/>
                <w:sz w:val="21"/>
              </w:rPr>
            </w:pPr>
            <w:r>
              <w:rPr>
                <w:rFonts w:hint="eastAsia"/>
                <w:sz w:val="21"/>
              </w:rPr>
              <w:t>焚烧车间建设</w:t>
            </w:r>
            <w:r>
              <w:rPr>
                <w:sz w:val="21"/>
              </w:rPr>
              <w:t>1</w:t>
            </w:r>
            <w:r>
              <w:rPr>
                <w:rFonts w:hint="eastAsia"/>
                <w:sz w:val="21"/>
              </w:rPr>
              <w:t>台余热锅炉，向危废综合处置厂全厂提供蒸汽及供热，余热锅炉产生蒸汽为</w:t>
            </w:r>
            <w:r>
              <w:rPr>
                <w:sz w:val="21"/>
              </w:rPr>
              <w:t>0.80MPa</w:t>
            </w:r>
            <w:r>
              <w:rPr>
                <w:rFonts w:hint="eastAsia"/>
                <w:sz w:val="21"/>
              </w:rPr>
              <w:t>、</w:t>
            </w:r>
            <w:r>
              <w:rPr>
                <w:sz w:val="21"/>
              </w:rPr>
              <w:t>180</w:t>
            </w:r>
            <w:r>
              <w:rPr>
                <w:rFonts w:hint="eastAsia" w:hAnsi="宋体"/>
                <w:sz w:val="21"/>
              </w:rPr>
              <w:t>℃</w:t>
            </w:r>
            <w:r>
              <w:rPr>
                <w:rFonts w:hint="eastAsia"/>
                <w:sz w:val="21"/>
              </w:rPr>
              <w:t>，产汽量为</w:t>
            </w:r>
            <w:r>
              <w:rPr>
                <w:sz w:val="21"/>
              </w:rPr>
              <w:t>2.45t/h</w:t>
            </w:r>
            <w:r>
              <w:rPr>
                <w:rFonts w:hint="eastAsia"/>
                <w:sz w:val="21"/>
              </w:rPr>
              <w:t>。另外在危废综合处置厂设置一台</w:t>
            </w:r>
            <w:r>
              <w:rPr>
                <w:sz w:val="21"/>
              </w:rPr>
              <w:t>3t/h</w:t>
            </w:r>
            <w:r>
              <w:rPr>
                <w:rFonts w:hint="eastAsia"/>
                <w:sz w:val="21"/>
              </w:rPr>
              <w:t>的备用电锅炉。</w:t>
            </w:r>
          </w:p>
          <w:p>
            <w:pPr>
              <w:spacing w:line="240" w:lineRule="exact"/>
              <w:ind w:firstLine="0" w:firstLineChars="0"/>
              <w:rPr>
                <w:sz w:val="21"/>
              </w:rPr>
            </w:pPr>
            <w:r>
              <w:rPr>
                <w:rFonts w:hint="eastAsia"/>
                <w:sz w:val="21"/>
              </w:rPr>
              <w:t>本项目安全填埋场采用在综合办公房设置电暖气的方式进行供暖。</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2.4</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jc w:val="center"/>
              <w:rPr>
                <w:sz w:val="21"/>
              </w:rPr>
            </w:pPr>
            <w:r>
              <w:rPr>
                <w:rFonts w:hint="eastAsia"/>
                <w:sz w:val="21"/>
              </w:rPr>
              <w:t>供配电</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rPr>
                <w:sz w:val="21"/>
              </w:rPr>
            </w:pPr>
            <w:r>
              <w:rPr>
                <w:rFonts w:hint="eastAsia"/>
                <w:sz w:val="21"/>
              </w:rPr>
              <w:t>在本项目两个厂区分别设置一座</w:t>
            </w:r>
            <w:r>
              <w:rPr>
                <w:sz w:val="21"/>
              </w:rPr>
              <w:t>10kV</w:t>
            </w:r>
            <w:r>
              <w:rPr>
                <w:rFonts w:hint="eastAsia"/>
                <w:sz w:val="21"/>
              </w:rPr>
              <w:t>的变电站。变电所设</w:t>
            </w:r>
            <w:r>
              <w:rPr>
                <w:sz w:val="21"/>
              </w:rPr>
              <w:t>10kV</w:t>
            </w:r>
            <w:r>
              <w:rPr>
                <w:rFonts w:hint="eastAsia"/>
                <w:sz w:val="21"/>
              </w:rPr>
              <w:t>配电间、变压器及低压配电间、值班间。变电所内设高、低压配电装置和一台</w:t>
            </w:r>
            <w:r>
              <w:rPr>
                <w:sz w:val="21"/>
              </w:rPr>
              <w:t>800kVA</w:t>
            </w:r>
            <w:r>
              <w:rPr>
                <w:rFonts w:hint="eastAsia"/>
                <w:sz w:val="21"/>
              </w:rPr>
              <w:t>变压器，一台</w:t>
            </w:r>
            <w:r>
              <w:rPr>
                <w:sz w:val="21"/>
              </w:rPr>
              <w:t>630kVA</w:t>
            </w:r>
            <w:r>
              <w:rPr>
                <w:rFonts w:hint="eastAsia"/>
                <w:sz w:val="21"/>
              </w:rPr>
              <w:t>变压器。本项目全厂全年需外供电量</w:t>
            </w:r>
            <w:r>
              <w:rPr>
                <w:sz w:val="21"/>
              </w:rPr>
              <w:t>405.97×10</w:t>
            </w:r>
            <w:r>
              <w:rPr>
                <w:sz w:val="21"/>
                <w:vertAlign w:val="superscript"/>
              </w:rPr>
              <w:t>4</w:t>
            </w:r>
            <w:r>
              <w:rPr>
                <w:sz w:val="21"/>
              </w:rPr>
              <w:t>kWh</w:t>
            </w:r>
            <w:r>
              <w:rPr>
                <w:rFonts w:hint="eastAsia"/>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2.5</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循环水系统</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kern w:val="0"/>
                <w:sz w:val="21"/>
              </w:rPr>
              <w:t>本项目循环冷却水总用水量为</w:t>
            </w:r>
            <w:r>
              <w:rPr>
                <w:kern w:val="0"/>
                <w:sz w:val="21"/>
              </w:rPr>
              <w:t>143m</w:t>
            </w:r>
            <w:r>
              <w:rPr>
                <w:kern w:val="0"/>
                <w:sz w:val="21"/>
                <w:vertAlign w:val="superscript"/>
              </w:rPr>
              <w:t>3</w:t>
            </w:r>
            <w:r>
              <w:rPr>
                <w:kern w:val="0"/>
                <w:sz w:val="21"/>
              </w:rPr>
              <w:t>/d</w:t>
            </w:r>
            <w:r>
              <w:rPr>
                <w:rFonts w:hint="eastAsia"/>
                <w:kern w:val="0"/>
                <w:sz w:val="21"/>
              </w:rPr>
              <w:t>，给水压力</w:t>
            </w:r>
            <w:r>
              <w:rPr>
                <w:kern w:val="0"/>
                <w:sz w:val="21"/>
              </w:rPr>
              <w:t>0.4MPa(G)</w:t>
            </w:r>
            <w:r>
              <w:rPr>
                <w:rFonts w:hint="eastAsia"/>
                <w:kern w:val="0"/>
                <w:sz w:val="21"/>
              </w:rPr>
              <w:t>，回水压力</w:t>
            </w:r>
            <w:r>
              <w:rPr>
                <w:kern w:val="0"/>
                <w:sz w:val="21"/>
              </w:rPr>
              <w:t>0.2MPa(G)</w:t>
            </w:r>
            <w:r>
              <w:rPr>
                <w:rFonts w:hint="eastAsia"/>
                <w:kern w:val="0"/>
                <w:sz w:val="21"/>
              </w:rPr>
              <w:t>，给水温度</w:t>
            </w:r>
            <w:r>
              <w:rPr>
                <w:kern w:val="0"/>
                <w:sz w:val="21"/>
              </w:rPr>
              <w:t>32</w:t>
            </w:r>
            <w:r>
              <w:rPr>
                <w:rFonts w:hint="eastAsia" w:ascii="宋体" w:hAnsi="宋体"/>
                <w:kern w:val="0"/>
                <w:sz w:val="21"/>
              </w:rPr>
              <w:t>℃</w:t>
            </w:r>
            <w:r>
              <w:rPr>
                <w:rFonts w:hint="eastAsia"/>
                <w:kern w:val="0"/>
                <w:sz w:val="21"/>
              </w:rPr>
              <w:t>，回水温度</w:t>
            </w:r>
            <w:r>
              <w:rPr>
                <w:kern w:val="0"/>
                <w:sz w:val="21"/>
              </w:rPr>
              <w:t>42</w:t>
            </w:r>
            <w:r>
              <w:rPr>
                <w:rFonts w:hint="eastAsia" w:ascii="宋体" w:hAnsi="宋体"/>
                <w:kern w:val="0"/>
                <w:sz w:val="21"/>
              </w:rPr>
              <w:t>℃</w:t>
            </w:r>
            <w:r>
              <w:rPr>
                <w:rFonts w:hint="eastAsia"/>
                <w:kern w:val="0"/>
                <w:sz w:val="21"/>
              </w:rPr>
              <w:t>，温差</w:t>
            </w:r>
            <w:r>
              <w:rPr>
                <w:kern w:val="0"/>
                <w:sz w:val="21"/>
              </w:rPr>
              <w:t>10</w:t>
            </w:r>
            <w:r>
              <w:rPr>
                <w:rFonts w:hint="eastAsia" w:ascii="宋体" w:hAnsi="宋体"/>
                <w:kern w:val="0"/>
                <w:sz w:val="21"/>
              </w:rPr>
              <w:t>℃</w:t>
            </w:r>
            <w:r>
              <w:rPr>
                <w:rFonts w:hint="eastAsia"/>
                <w:kern w:val="0"/>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2.6</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软化水系统</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z w:val="21"/>
              </w:rPr>
              <w:t>本项目共需软化水</w:t>
            </w:r>
            <w:r>
              <w:rPr>
                <w:sz w:val="21"/>
              </w:rPr>
              <w:t>57.6m</w:t>
            </w:r>
            <w:r>
              <w:rPr>
                <w:sz w:val="21"/>
                <w:vertAlign w:val="superscript"/>
              </w:rPr>
              <w:t>3</w:t>
            </w:r>
            <w:r>
              <w:rPr>
                <w:sz w:val="21"/>
              </w:rPr>
              <w:t>/d</w:t>
            </w:r>
            <w:r>
              <w:rPr>
                <w:rFonts w:hint="eastAsia"/>
                <w:sz w:val="21"/>
              </w:rPr>
              <w:t>，软化水的补水量为</w:t>
            </w:r>
            <w:r>
              <w:rPr>
                <w:sz w:val="21"/>
              </w:rPr>
              <w:t>16.8m</w:t>
            </w:r>
            <w:r>
              <w:rPr>
                <w:sz w:val="21"/>
                <w:vertAlign w:val="superscript"/>
              </w:rPr>
              <w:t>3</w:t>
            </w:r>
            <w:r>
              <w:rPr>
                <w:sz w:val="21"/>
              </w:rPr>
              <w:t>/d</w:t>
            </w:r>
            <w:r>
              <w:rPr>
                <w:rFonts w:hint="eastAsia"/>
                <w:sz w:val="21"/>
              </w:rPr>
              <w:t>，主要用于全厂蒸汽系统。软化水系统制备能力按</w:t>
            </w:r>
            <w:r>
              <w:rPr>
                <w:sz w:val="21"/>
              </w:rPr>
              <w:t>100m</w:t>
            </w:r>
            <w:r>
              <w:rPr>
                <w:sz w:val="21"/>
                <w:vertAlign w:val="superscript"/>
              </w:rPr>
              <w:t>3</w:t>
            </w:r>
            <w:r>
              <w:rPr>
                <w:sz w:val="21"/>
              </w:rPr>
              <w:t>/d</w:t>
            </w:r>
            <w:r>
              <w:rPr>
                <w:rFonts w:hint="eastAsia"/>
                <w:sz w:val="21"/>
              </w:rPr>
              <w:t>。软化水系统采用超滤</w:t>
            </w:r>
            <w:r>
              <w:rPr>
                <w:sz w:val="21"/>
              </w:rPr>
              <w:t>-</w:t>
            </w:r>
            <w:r>
              <w:rPr>
                <w:rFonts w:hint="eastAsia"/>
                <w:sz w:val="21"/>
              </w:rPr>
              <w:t>反渗透工艺生产软化水。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2.7</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jc w:val="both"/>
              <w:rPr>
                <w:rFonts w:ascii="Times New Roman"/>
                <w:color w:val="auto"/>
                <w:kern w:val="0"/>
              </w:rPr>
            </w:pPr>
            <w:r>
              <w:rPr>
                <w:rFonts w:hint="eastAsia" w:ascii="Times New Roman"/>
                <w:color w:val="auto"/>
                <w:kern w:val="0"/>
              </w:rPr>
              <w:t>安全填埋场废水暂存系统</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sz w:val="21"/>
              </w:rPr>
            </w:pPr>
            <w:r>
              <w:rPr>
                <w:rFonts w:hint="eastAsia"/>
                <w:kern w:val="0"/>
                <w:sz w:val="21"/>
              </w:rPr>
              <w:t>安全填埋场设置</w:t>
            </w:r>
            <w:r>
              <w:rPr>
                <w:kern w:val="0"/>
                <w:sz w:val="21"/>
              </w:rPr>
              <w:t>2</w:t>
            </w:r>
            <w:r>
              <w:rPr>
                <w:rFonts w:hint="eastAsia"/>
                <w:kern w:val="0"/>
                <w:sz w:val="21"/>
              </w:rPr>
              <w:t>座</w:t>
            </w:r>
            <w:r>
              <w:rPr>
                <w:rFonts w:hint="eastAsia"/>
                <w:sz w:val="21"/>
              </w:rPr>
              <w:t>渗滤液收集池，</w:t>
            </w:r>
            <w:r>
              <w:rPr>
                <w:rFonts w:hint="eastAsia" w:cs="Arial"/>
                <w:sz w:val="21"/>
              </w:rPr>
              <w:t>有效容积分别按照</w:t>
            </w:r>
            <w:r>
              <w:rPr>
                <w:rFonts w:cs="Arial"/>
                <w:sz w:val="21"/>
              </w:rPr>
              <w:t>2052m</w:t>
            </w:r>
            <w:r>
              <w:rPr>
                <w:rFonts w:cs="Arial"/>
                <w:sz w:val="21"/>
                <w:vertAlign w:val="superscript"/>
              </w:rPr>
              <w:t>3</w:t>
            </w:r>
            <w:r>
              <w:rPr>
                <w:rFonts w:hint="eastAsia" w:cs="Arial"/>
                <w:sz w:val="21"/>
              </w:rPr>
              <w:t>和</w:t>
            </w:r>
            <w:r>
              <w:rPr>
                <w:rFonts w:cs="Arial"/>
                <w:sz w:val="21"/>
              </w:rPr>
              <w:t>900m</w:t>
            </w:r>
            <w:r>
              <w:rPr>
                <w:rFonts w:cs="Arial"/>
                <w:sz w:val="21"/>
                <w:vertAlign w:val="superscript"/>
              </w:rPr>
              <w:t>3</w:t>
            </w:r>
            <w:r>
              <w:rPr>
                <w:rFonts w:hint="eastAsia" w:cs="Arial"/>
                <w:sz w:val="21"/>
              </w:rPr>
              <w:t>考虑；设置</w:t>
            </w:r>
            <w:r>
              <w:rPr>
                <w:rFonts w:cs="Arial"/>
                <w:sz w:val="21"/>
              </w:rPr>
              <w:t>1</w:t>
            </w:r>
            <w:r>
              <w:rPr>
                <w:rFonts w:hint="eastAsia" w:cs="Arial"/>
                <w:sz w:val="21"/>
              </w:rPr>
              <w:t>座生活废水防渗化粪池，有效容积按</w:t>
            </w:r>
            <w:r>
              <w:rPr>
                <w:rFonts w:cs="Arial"/>
                <w:sz w:val="21"/>
              </w:rPr>
              <w:t>50m</w:t>
            </w:r>
            <w:r>
              <w:rPr>
                <w:rFonts w:cs="Arial"/>
                <w:sz w:val="21"/>
                <w:vertAlign w:val="superscript"/>
              </w:rPr>
              <w:t>3</w:t>
            </w:r>
            <w:r>
              <w:rPr>
                <w:rFonts w:hint="eastAsia" w:cs="Arial"/>
                <w:sz w:val="21"/>
              </w:rPr>
              <w:t>考虑；设置</w:t>
            </w:r>
            <w:r>
              <w:rPr>
                <w:rFonts w:cs="Arial"/>
                <w:sz w:val="21"/>
              </w:rPr>
              <w:t>1</w:t>
            </w:r>
            <w:r>
              <w:rPr>
                <w:rFonts w:hint="eastAsia" w:cs="Arial"/>
                <w:sz w:val="21"/>
              </w:rPr>
              <w:t>座冲洗废水防渗暂存池，有效容积按</w:t>
            </w:r>
            <w:r>
              <w:rPr>
                <w:rFonts w:cs="Arial"/>
                <w:sz w:val="21"/>
              </w:rPr>
              <w:t>100m</w:t>
            </w:r>
            <w:r>
              <w:rPr>
                <w:rFonts w:cs="Arial"/>
                <w:sz w:val="21"/>
                <w:vertAlign w:val="superscript"/>
              </w:rPr>
              <w:t>3</w:t>
            </w:r>
            <w:r>
              <w:rPr>
                <w:rFonts w:hint="eastAsia" w:cs="Arial"/>
                <w:sz w:val="21"/>
              </w:rPr>
              <w:t>考虑。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2.8</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jc w:val="both"/>
              <w:rPr>
                <w:rFonts w:ascii="Times New Roman"/>
                <w:color w:val="auto"/>
                <w:kern w:val="0"/>
              </w:rPr>
            </w:pPr>
            <w:r>
              <w:rPr>
                <w:rFonts w:hint="eastAsia" w:ascii="Times New Roman"/>
                <w:color w:val="auto"/>
                <w:kern w:val="0"/>
              </w:rPr>
              <w:t>事故水池及初期雨水收集池</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kern w:val="0"/>
                <w:sz w:val="21"/>
              </w:rPr>
              <w:t>危废综合处置厂全厂设置</w:t>
            </w:r>
            <w:r>
              <w:rPr>
                <w:kern w:val="0"/>
                <w:sz w:val="21"/>
              </w:rPr>
              <w:t>1</w:t>
            </w:r>
            <w:r>
              <w:rPr>
                <w:rFonts w:hint="eastAsia"/>
                <w:kern w:val="0"/>
                <w:sz w:val="21"/>
              </w:rPr>
              <w:t>座容积为</w:t>
            </w:r>
            <w:r>
              <w:rPr>
                <w:kern w:val="0"/>
                <w:sz w:val="21"/>
              </w:rPr>
              <w:t>1840</w:t>
            </w:r>
            <w:r>
              <w:rPr>
                <w:sz w:val="21"/>
              </w:rPr>
              <w:t>m</w:t>
            </w:r>
            <w:r>
              <w:rPr>
                <w:sz w:val="21"/>
                <w:vertAlign w:val="superscript"/>
              </w:rPr>
              <w:t>3</w:t>
            </w:r>
            <w:r>
              <w:rPr>
                <w:rFonts w:hint="eastAsia"/>
                <w:sz w:val="21"/>
              </w:rPr>
              <w:t>的事故水池，</w:t>
            </w:r>
            <w:r>
              <w:rPr>
                <w:sz w:val="21"/>
              </w:rPr>
              <w:t>1</w:t>
            </w:r>
            <w:r>
              <w:rPr>
                <w:rFonts w:hint="eastAsia"/>
                <w:sz w:val="21"/>
              </w:rPr>
              <w:t>座容积为</w:t>
            </w:r>
            <w:r>
              <w:rPr>
                <w:sz w:val="21"/>
              </w:rPr>
              <w:t>600m</w:t>
            </w:r>
            <w:r>
              <w:rPr>
                <w:sz w:val="21"/>
                <w:vertAlign w:val="superscript"/>
              </w:rPr>
              <w:t>3</w:t>
            </w:r>
            <w:r>
              <w:rPr>
                <w:rFonts w:hint="eastAsia"/>
                <w:sz w:val="21"/>
              </w:rPr>
              <w:t>的初期雨水收集池，</w:t>
            </w:r>
            <w:r>
              <w:rPr>
                <w:sz w:val="21"/>
              </w:rPr>
              <w:t>1</w:t>
            </w:r>
            <w:r>
              <w:rPr>
                <w:rFonts w:hint="eastAsia"/>
                <w:kern w:val="0"/>
                <w:sz w:val="21"/>
              </w:rPr>
              <w:t>座容积为</w:t>
            </w:r>
            <w:r>
              <w:rPr>
                <w:kern w:val="0"/>
                <w:sz w:val="21"/>
              </w:rPr>
              <w:t>500</w:t>
            </w:r>
            <w:r>
              <w:rPr>
                <w:sz w:val="21"/>
              </w:rPr>
              <w:t>m</w:t>
            </w:r>
            <w:r>
              <w:rPr>
                <w:sz w:val="21"/>
                <w:vertAlign w:val="superscript"/>
              </w:rPr>
              <w:t>3</w:t>
            </w:r>
            <w:r>
              <w:rPr>
                <w:rFonts w:hint="eastAsia"/>
                <w:sz w:val="21"/>
              </w:rPr>
              <w:t>的焚烧车间废水收集池。</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vMerge w:val="restart"/>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2.9</w:t>
            </w:r>
          </w:p>
        </w:tc>
        <w:tc>
          <w:tcPr>
            <w:tcW w:w="708" w:type="dxa"/>
            <w:vMerge w:val="restart"/>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危废综合处置厂道路</w:t>
            </w:r>
          </w:p>
        </w:tc>
        <w:tc>
          <w:tcPr>
            <w:tcW w:w="861"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kern w:val="0"/>
              </w:rPr>
              <w:t>主要道路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路幅宽度为</w:t>
            </w:r>
            <w:r>
              <w:rPr>
                <w:spacing w:val="2"/>
                <w:sz w:val="21"/>
              </w:rPr>
              <w:t>7m</w:t>
            </w:r>
            <w:r>
              <w:rPr>
                <w:rFonts w:hint="eastAsia"/>
                <w:spacing w:val="2"/>
                <w:sz w:val="21"/>
              </w:rPr>
              <w:t>，路面结构采用：</w:t>
            </w:r>
            <w:r>
              <w:rPr>
                <w:spacing w:val="2"/>
                <w:sz w:val="21"/>
              </w:rPr>
              <w:t>C35</w:t>
            </w:r>
            <w:r>
              <w:rPr>
                <w:rFonts w:hint="eastAsia"/>
                <w:spacing w:val="2"/>
                <w:sz w:val="21"/>
              </w:rPr>
              <w:t>混凝土面层，厚度</w:t>
            </w:r>
            <w:r>
              <w:rPr>
                <w:spacing w:val="2"/>
                <w:sz w:val="21"/>
              </w:rPr>
              <w:t>24cm</w:t>
            </w:r>
            <w:r>
              <w:rPr>
                <w:rFonts w:hint="eastAsia"/>
                <w:spacing w:val="2"/>
                <w:sz w:val="21"/>
              </w:rPr>
              <w:t>；</w:t>
            </w:r>
            <w:r>
              <w:rPr>
                <w:spacing w:val="2"/>
                <w:sz w:val="21"/>
              </w:rPr>
              <w:t>5%</w:t>
            </w:r>
            <w:r>
              <w:rPr>
                <w:rFonts w:hint="eastAsia"/>
                <w:spacing w:val="2"/>
                <w:sz w:val="21"/>
              </w:rPr>
              <w:t>水泥稳定碎石基层，厚度</w:t>
            </w:r>
            <w:r>
              <w:rPr>
                <w:spacing w:val="2"/>
                <w:sz w:val="21"/>
              </w:rPr>
              <w:t>20cm</w:t>
            </w:r>
            <w:r>
              <w:rPr>
                <w:rFonts w:hint="eastAsia"/>
                <w:spacing w:val="2"/>
                <w:sz w:val="21"/>
              </w:rPr>
              <w:t>；碎石垫层，厚度</w:t>
            </w:r>
            <w:r>
              <w:rPr>
                <w:spacing w:val="2"/>
                <w:sz w:val="21"/>
              </w:rPr>
              <w:t>20cm</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vMerge w:val="continue"/>
            <w:tcBorders>
              <w:top w:val="dotted" w:color="auto" w:sz="4" w:space="0"/>
              <w:left w:val="nil"/>
              <w:bottom w:val="dotted" w:color="auto" w:sz="4" w:space="0"/>
              <w:right w:val="dotted" w:color="auto" w:sz="4" w:space="0"/>
            </w:tcBorders>
            <w:vAlign w:val="center"/>
          </w:tcPr>
          <w:p>
            <w:pPr>
              <w:widowControl/>
              <w:ind w:firstLine="0" w:firstLineChars="0"/>
              <w:jc w:val="left"/>
              <w:rPr>
                <w:sz w:val="21"/>
              </w:rPr>
            </w:pPr>
          </w:p>
        </w:tc>
        <w:tc>
          <w:tcPr>
            <w:tcW w:w="708" w:type="dxa"/>
            <w:vMerge w:val="continue"/>
            <w:tcBorders>
              <w:top w:val="dotted" w:color="auto" w:sz="4" w:space="0"/>
              <w:left w:val="dotted" w:color="auto" w:sz="4" w:space="0"/>
              <w:bottom w:val="dotted" w:color="auto" w:sz="4" w:space="0"/>
              <w:right w:val="dotted" w:color="auto" w:sz="4" w:space="0"/>
            </w:tcBorders>
            <w:vAlign w:val="center"/>
          </w:tcPr>
          <w:p>
            <w:pPr>
              <w:widowControl/>
              <w:ind w:firstLine="0" w:firstLineChars="0"/>
              <w:jc w:val="left"/>
              <w:rPr>
                <w:kern w:val="0"/>
                <w:sz w:val="21"/>
              </w:rPr>
            </w:pPr>
          </w:p>
        </w:tc>
        <w:tc>
          <w:tcPr>
            <w:tcW w:w="861"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kern w:val="0"/>
              </w:rPr>
              <w:t>次要道路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路幅宽度为</w:t>
            </w:r>
            <w:r>
              <w:rPr>
                <w:spacing w:val="2"/>
                <w:sz w:val="21"/>
              </w:rPr>
              <w:t>5m</w:t>
            </w:r>
            <w:r>
              <w:rPr>
                <w:rFonts w:hint="eastAsia"/>
                <w:spacing w:val="2"/>
                <w:sz w:val="21"/>
              </w:rPr>
              <w:t>，路面结构为：</w:t>
            </w:r>
            <w:r>
              <w:rPr>
                <w:spacing w:val="2"/>
                <w:sz w:val="21"/>
              </w:rPr>
              <w:t>C35</w:t>
            </w:r>
            <w:r>
              <w:rPr>
                <w:rFonts w:hint="eastAsia"/>
                <w:spacing w:val="2"/>
                <w:sz w:val="21"/>
              </w:rPr>
              <w:t>混凝土面层，厚度</w:t>
            </w:r>
            <w:r>
              <w:rPr>
                <w:spacing w:val="2"/>
                <w:sz w:val="21"/>
              </w:rPr>
              <w:t>22cm</w:t>
            </w:r>
            <w:r>
              <w:rPr>
                <w:rFonts w:hint="eastAsia"/>
                <w:spacing w:val="2"/>
                <w:sz w:val="21"/>
              </w:rPr>
              <w:t>；</w:t>
            </w:r>
            <w:r>
              <w:rPr>
                <w:spacing w:val="2"/>
                <w:sz w:val="21"/>
              </w:rPr>
              <w:t>5%</w:t>
            </w:r>
            <w:r>
              <w:rPr>
                <w:rFonts w:hint="eastAsia"/>
                <w:spacing w:val="2"/>
                <w:sz w:val="21"/>
              </w:rPr>
              <w:t>水泥稳定碎石基层，厚度</w:t>
            </w:r>
            <w:r>
              <w:rPr>
                <w:spacing w:val="2"/>
                <w:sz w:val="21"/>
              </w:rPr>
              <w:t>18cm</w:t>
            </w:r>
            <w:r>
              <w:rPr>
                <w:rFonts w:hint="eastAsia"/>
                <w:spacing w:val="2"/>
                <w:sz w:val="21"/>
              </w:rPr>
              <w:t>；碎石垫层，厚度</w:t>
            </w:r>
            <w:r>
              <w:rPr>
                <w:spacing w:val="2"/>
                <w:sz w:val="21"/>
              </w:rPr>
              <w:t>17cm</w:t>
            </w:r>
            <w:r>
              <w:rPr>
                <w:rFonts w:hint="eastAsia"/>
                <w:spacing w:val="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vMerge w:val="continue"/>
            <w:tcBorders>
              <w:top w:val="dotted" w:color="auto" w:sz="4" w:space="0"/>
              <w:left w:val="nil"/>
              <w:bottom w:val="dotted" w:color="auto" w:sz="4" w:space="0"/>
              <w:right w:val="dotted" w:color="auto" w:sz="4" w:space="0"/>
            </w:tcBorders>
            <w:vAlign w:val="center"/>
          </w:tcPr>
          <w:p>
            <w:pPr>
              <w:widowControl/>
              <w:ind w:firstLine="0" w:firstLineChars="0"/>
              <w:jc w:val="left"/>
              <w:rPr>
                <w:sz w:val="21"/>
              </w:rPr>
            </w:pPr>
          </w:p>
        </w:tc>
        <w:tc>
          <w:tcPr>
            <w:tcW w:w="708" w:type="dxa"/>
            <w:vMerge w:val="continue"/>
            <w:tcBorders>
              <w:top w:val="dotted" w:color="auto" w:sz="4" w:space="0"/>
              <w:left w:val="dotted" w:color="auto" w:sz="4" w:space="0"/>
              <w:bottom w:val="dotted" w:color="auto" w:sz="4" w:space="0"/>
              <w:right w:val="dotted" w:color="auto" w:sz="4" w:space="0"/>
            </w:tcBorders>
            <w:vAlign w:val="center"/>
          </w:tcPr>
          <w:p>
            <w:pPr>
              <w:widowControl/>
              <w:ind w:firstLine="0" w:firstLineChars="0"/>
              <w:jc w:val="left"/>
              <w:rPr>
                <w:kern w:val="0"/>
                <w:sz w:val="21"/>
              </w:rPr>
            </w:pPr>
          </w:p>
        </w:tc>
        <w:tc>
          <w:tcPr>
            <w:tcW w:w="861"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kern w:val="0"/>
              </w:rPr>
              <w:t>人行道路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采用</w:t>
            </w:r>
            <w:r>
              <w:rPr>
                <w:spacing w:val="2"/>
                <w:sz w:val="21"/>
              </w:rPr>
              <w:t>C25</w:t>
            </w:r>
            <w:r>
              <w:rPr>
                <w:rFonts w:hint="eastAsia"/>
                <w:spacing w:val="2"/>
                <w:sz w:val="21"/>
              </w:rPr>
              <w:t>混凝土路面砖，规格</w:t>
            </w:r>
            <w:r>
              <w:rPr>
                <w:spacing w:val="2"/>
                <w:sz w:val="21"/>
              </w:rPr>
              <w:t>25×25×5cm</w:t>
            </w:r>
            <w:r>
              <w:rPr>
                <w:rFonts w:hint="eastAsia"/>
                <w:spacing w:val="2"/>
                <w:sz w:val="21"/>
              </w:rPr>
              <w:t>；</w:t>
            </w:r>
            <w:r>
              <w:rPr>
                <w:spacing w:val="2"/>
                <w:sz w:val="21"/>
              </w:rPr>
              <w:t>M10</w:t>
            </w:r>
            <w:r>
              <w:rPr>
                <w:rFonts w:hint="eastAsia"/>
                <w:spacing w:val="2"/>
                <w:sz w:val="21"/>
              </w:rPr>
              <w:t>水泥砂浆，厚度</w:t>
            </w:r>
            <w:r>
              <w:rPr>
                <w:spacing w:val="2"/>
                <w:sz w:val="21"/>
              </w:rPr>
              <w:t>3cm</w:t>
            </w:r>
            <w:r>
              <w:rPr>
                <w:rFonts w:hint="eastAsia"/>
                <w:spacing w:val="2"/>
                <w:sz w:val="21"/>
              </w:rPr>
              <w:t>；</w:t>
            </w:r>
            <w:r>
              <w:rPr>
                <w:spacing w:val="2"/>
                <w:sz w:val="21"/>
              </w:rPr>
              <w:t>3%</w:t>
            </w:r>
            <w:r>
              <w:rPr>
                <w:rFonts w:hint="eastAsia"/>
                <w:spacing w:val="2"/>
                <w:sz w:val="21"/>
              </w:rPr>
              <w:t>水泥稳定沙砾垫层，厚度</w:t>
            </w:r>
            <w:r>
              <w:rPr>
                <w:spacing w:val="2"/>
                <w:sz w:val="21"/>
              </w:rPr>
              <w:t>15cm</w:t>
            </w:r>
            <w:r>
              <w:rPr>
                <w:rFonts w:hint="eastAsia"/>
                <w:spacing w:val="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vMerge w:val="restart"/>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2.10</w:t>
            </w:r>
          </w:p>
        </w:tc>
        <w:tc>
          <w:tcPr>
            <w:tcW w:w="708" w:type="dxa"/>
            <w:vMerge w:val="restart"/>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安全填埋场道路</w:t>
            </w:r>
          </w:p>
        </w:tc>
        <w:tc>
          <w:tcPr>
            <w:tcW w:w="861"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kern w:val="0"/>
              </w:rPr>
            </w:pPr>
            <w:r>
              <w:rPr>
                <w:rFonts w:hint="eastAsia"/>
                <w:kern w:val="0"/>
              </w:rPr>
              <w:t>围堤道路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spacing w:val="2"/>
                <w:sz w:val="21"/>
              </w:rPr>
            </w:pPr>
            <w:r>
              <w:rPr>
                <w:rFonts w:hint="eastAsia"/>
                <w:spacing w:val="2"/>
                <w:sz w:val="21"/>
              </w:rPr>
              <w:t>路面结构采用砼路面。路面结构至上而下依次为：</w:t>
            </w:r>
            <w:r>
              <w:rPr>
                <w:spacing w:val="2"/>
                <w:sz w:val="21"/>
              </w:rPr>
              <w:t xml:space="preserve">20cmC30 </w:t>
            </w:r>
            <w:r>
              <w:rPr>
                <w:rFonts w:hint="eastAsia"/>
                <w:spacing w:val="2"/>
                <w:sz w:val="21"/>
              </w:rPr>
              <w:t>混凝土路面；</w:t>
            </w:r>
            <w:r>
              <w:rPr>
                <w:spacing w:val="2"/>
                <w:sz w:val="21"/>
              </w:rPr>
              <w:t xml:space="preserve">30cm </w:t>
            </w:r>
            <w:r>
              <w:rPr>
                <w:rFonts w:hint="eastAsia"/>
                <w:spacing w:val="2"/>
                <w:sz w:val="21"/>
              </w:rPr>
              <w:t>二灰碎石基层；</w:t>
            </w:r>
            <w:r>
              <w:rPr>
                <w:spacing w:val="2"/>
                <w:sz w:val="21"/>
              </w:rPr>
              <w:t xml:space="preserve">150mm </w:t>
            </w:r>
            <w:r>
              <w:rPr>
                <w:rFonts w:hint="eastAsia"/>
                <w:spacing w:val="2"/>
                <w:sz w:val="21"/>
              </w:rPr>
              <w:t>石灰土垫层。</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vMerge w:val="continue"/>
            <w:tcBorders>
              <w:top w:val="dotted" w:color="auto" w:sz="4" w:space="0"/>
              <w:left w:val="nil"/>
              <w:bottom w:val="dotted" w:color="auto" w:sz="4" w:space="0"/>
              <w:right w:val="dotted" w:color="auto" w:sz="4" w:space="0"/>
            </w:tcBorders>
            <w:vAlign w:val="center"/>
          </w:tcPr>
          <w:p>
            <w:pPr>
              <w:widowControl/>
              <w:ind w:firstLine="0" w:firstLineChars="0"/>
              <w:jc w:val="left"/>
              <w:rPr>
                <w:sz w:val="21"/>
              </w:rPr>
            </w:pPr>
          </w:p>
        </w:tc>
        <w:tc>
          <w:tcPr>
            <w:tcW w:w="708" w:type="dxa"/>
            <w:vMerge w:val="continue"/>
            <w:tcBorders>
              <w:top w:val="dotted" w:color="auto" w:sz="4" w:space="0"/>
              <w:left w:val="dotted" w:color="auto" w:sz="4" w:space="0"/>
              <w:bottom w:val="dotted" w:color="auto" w:sz="4" w:space="0"/>
              <w:right w:val="dotted" w:color="auto" w:sz="4" w:space="0"/>
            </w:tcBorders>
            <w:vAlign w:val="center"/>
          </w:tcPr>
          <w:p>
            <w:pPr>
              <w:widowControl/>
              <w:ind w:firstLine="0" w:firstLineChars="0"/>
              <w:jc w:val="left"/>
              <w:rPr>
                <w:kern w:val="0"/>
                <w:sz w:val="21"/>
              </w:rPr>
            </w:pPr>
          </w:p>
        </w:tc>
        <w:tc>
          <w:tcPr>
            <w:tcW w:w="861"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kern w:val="0"/>
              </w:rPr>
            </w:pPr>
            <w:r>
              <w:rPr>
                <w:rFonts w:hint="eastAsia"/>
                <w:kern w:val="0"/>
              </w:rPr>
              <w:t>作业道路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spacing w:val="2"/>
                <w:sz w:val="21"/>
              </w:rPr>
            </w:pPr>
            <w:r>
              <w:rPr>
                <w:rFonts w:hint="eastAsia"/>
                <w:spacing w:val="2"/>
                <w:sz w:val="21"/>
              </w:rPr>
              <w:t>作业干道的宽度为</w:t>
            </w:r>
            <w:r>
              <w:rPr>
                <w:spacing w:val="2"/>
                <w:sz w:val="21"/>
              </w:rPr>
              <w:t>4m</w:t>
            </w:r>
            <w:r>
              <w:rPr>
                <w:rFonts w:hint="eastAsia"/>
                <w:spacing w:val="2"/>
                <w:sz w:val="21"/>
              </w:rPr>
              <w:t>，最大爬坡不超过</w:t>
            </w:r>
            <w:r>
              <w:rPr>
                <w:spacing w:val="2"/>
                <w:sz w:val="21"/>
              </w:rPr>
              <w:t>7.0</w:t>
            </w:r>
            <w:r>
              <w:rPr>
                <w:rFonts w:hint="eastAsia"/>
                <w:spacing w:val="2"/>
                <w:sz w:val="21"/>
              </w:rPr>
              <w:t>％，采用石粉＋</w:t>
            </w:r>
            <w:r>
              <w:rPr>
                <w:spacing w:val="2"/>
                <w:sz w:val="21"/>
              </w:rPr>
              <w:t>8%</w:t>
            </w:r>
            <w:r>
              <w:rPr>
                <w:rFonts w:hint="eastAsia"/>
                <w:spacing w:val="2"/>
                <w:sz w:val="21"/>
              </w:rPr>
              <w:t>水泥拌掺碎石路面。</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48" w:hRule="atLeast"/>
          <w:jc w:val="center"/>
        </w:trPr>
        <w:tc>
          <w:tcPr>
            <w:tcW w:w="426" w:type="dxa"/>
            <w:vMerge w:val="restart"/>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2.11</w:t>
            </w:r>
          </w:p>
        </w:tc>
        <w:tc>
          <w:tcPr>
            <w:tcW w:w="708" w:type="dxa"/>
            <w:vMerge w:val="restart"/>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仓储设施</w:t>
            </w:r>
          </w:p>
        </w:tc>
        <w:tc>
          <w:tcPr>
            <w:tcW w:w="861"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1#</w:t>
            </w:r>
          </w:p>
          <w:p>
            <w:pPr>
              <w:pStyle w:val="187"/>
              <w:spacing w:line="240" w:lineRule="exact"/>
              <w:rPr>
                <w:rFonts w:ascii="Times New Roman"/>
                <w:color w:val="auto"/>
              </w:rPr>
            </w:pPr>
            <w:r>
              <w:rPr>
                <w:rFonts w:hint="eastAsia" w:ascii="Times New Roman"/>
                <w:color w:val="auto"/>
              </w:rPr>
              <w:t>仓库</w:t>
            </w:r>
          </w:p>
        </w:tc>
        <w:tc>
          <w:tcPr>
            <w:tcW w:w="7643" w:type="dxa"/>
            <w:tcBorders>
              <w:top w:val="dotted" w:color="auto" w:sz="4" w:space="0"/>
              <w:left w:val="dotted" w:color="auto" w:sz="4" w:space="0"/>
              <w:bottom w:val="dotted" w:color="auto" w:sz="4" w:space="0"/>
              <w:right w:val="nil"/>
            </w:tcBorders>
            <w:vAlign w:val="center"/>
          </w:tcPr>
          <w:p>
            <w:pPr>
              <w:pStyle w:val="187"/>
              <w:spacing w:line="240" w:lineRule="exact"/>
              <w:jc w:val="both"/>
              <w:rPr>
                <w:rFonts w:ascii="Times New Roman"/>
                <w:color w:val="auto"/>
              </w:rPr>
            </w:pPr>
            <w:r>
              <w:rPr>
                <w:rFonts w:hint="eastAsia" w:ascii="Times New Roman"/>
                <w:color w:val="auto"/>
              </w:rPr>
              <w:t>建设规模为</w:t>
            </w:r>
            <w:r>
              <w:rPr>
                <w:rFonts w:ascii="Times New Roman"/>
                <w:color w:val="auto"/>
              </w:rPr>
              <w:t>1584m</w:t>
            </w:r>
            <w:r>
              <w:rPr>
                <w:rFonts w:ascii="Times New Roman"/>
                <w:color w:val="auto"/>
                <w:vertAlign w:val="superscript"/>
              </w:rPr>
              <w:t>2</w:t>
            </w:r>
            <w:r>
              <w:rPr>
                <w:rFonts w:ascii="Times New Roman"/>
                <w:color w:val="auto"/>
              </w:rPr>
              <w:t>×8.35m</w:t>
            </w:r>
            <w:r>
              <w:rPr>
                <w:rFonts w:hint="eastAsia" w:ascii="Times New Roman"/>
                <w:color w:val="auto"/>
              </w:rPr>
              <w:t>，</w:t>
            </w:r>
            <w:r>
              <w:rPr>
                <w:rFonts w:hint="eastAsia"/>
              </w:rPr>
              <w:t>主要用于储存外来及本项目产生的送至焚烧车间的危废以及废碱渣</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4" w:hRule="atLeast"/>
          <w:jc w:val="center"/>
        </w:trPr>
        <w:tc>
          <w:tcPr>
            <w:tcW w:w="426" w:type="dxa"/>
            <w:vMerge w:val="continue"/>
            <w:tcBorders>
              <w:top w:val="dotted" w:color="auto" w:sz="4" w:space="0"/>
              <w:left w:val="nil"/>
              <w:bottom w:val="single" w:color="auto" w:sz="12" w:space="0"/>
              <w:right w:val="dotted" w:color="auto" w:sz="4" w:space="0"/>
            </w:tcBorders>
            <w:vAlign w:val="center"/>
          </w:tcPr>
          <w:p>
            <w:pPr>
              <w:widowControl/>
              <w:ind w:firstLine="0" w:firstLineChars="0"/>
              <w:jc w:val="left"/>
              <w:rPr>
                <w:sz w:val="21"/>
              </w:rPr>
            </w:pPr>
          </w:p>
        </w:tc>
        <w:tc>
          <w:tcPr>
            <w:tcW w:w="708"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0" w:firstLineChars="0"/>
              <w:jc w:val="left"/>
              <w:rPr>
                <w:sz w:val="21"/>
              </w:rPr>
            </w:pPr>
          </w:p>
        </w:tc>
        <w:tc>
          <w:tcPr>
            <w:tcW w:w="861"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w:t>
            </w:r>
          </w:p>
          <w:p>
            <w:pPr>
              <w:pStyle w:val="187"/>
              <w:spacing w:line="240" w:lineRule="exact"/>
              <w:rPr>
                <w:rFonts w:ascii="Times New Roman"/>
                <w:color w:val="auto"/>
              </w:rPr>
            </w:pPr>
            <w:r>
              <w:rPr>
                <w:rFonts w:hint="eastAsia" w:ascii="Times New Roman"/>
                <w:color w:val="auto"/>
              </w:rPr>
              <w:t>仓库</w:t>
            </w:r>
          </w:p>
        </w:tc>
        <w:tc>
          <w:tcPr>
            <w:tcW w:w="7643" w:type="dxa"/>
            <w:tcBorders>
              <w:top w:val="dotted" w:color="auto" w:sz="4" w:space="0"/>
              <w:left w:val="dotted" w:color="auto" w:sz="4" w:space="0"/>
              <w:bottom w:val="dotted" w:color="auto" w:sz="4" w:space="0"/>
              <w:right w:val="nil"/>
            </w:tcBorders>
            <w:vAlign w:val="center"/>
          </w:tcPr>
          <w:p>
            <w:pPr>
              <w:pStyle w:val="187"/>
              <w:spacing w:line="240" w:lineRule="exact"/>
              <w:jc w:val="both"/>
              <w:rPr>
                <w:rFonts w:ascii="Times New Roman"/>
                <w:color w:val="auto"/>
              </w:rPr>
            </w:pPr>
            <w:r>
              <w:rPr>
                <w:rFonts w:hint="eastAsia" w:ascii="Times New Roman"/>
                <w:color w:val="auto"/>
              </w:rPr>
              <w:t>建设规模为</w:t>
            </w:r>
            <w:r>
              <w:rPr>
                <w:rFonts w:ascii="Times New Roman"/>
                <w:color w:val="auto"/>
              </w:rPr>
              <w:t>1458m</w:t>
            </w:r>
            <w:r>
              <w:rPr>
                <w:rFonts w:ascii="Times New Roman"/>
                <w:color w:val="auto"/>
                <w:vertAlign w:val="superscript"/>
              </w:rPr>
              <w:t>2</w:t>
            </w:r>
            <w:r>
              <w:rPr>
                <w:rFonts w:ascii="Times New Roman"/>
                <w:color w:val="auto"/>
              </w:rPr>
              <w:t>×8.35m</w:t>
            </w:r>
            <w:r>
              <w:rPr>
                <w:rFonts w:hint="eastAsia" w:ascii="Times New Roman"/>
                <w:color w:val="auto"/>
              </w:rPr>
              <w:t>，</w:t>
            </w:r>
            <w:r>
              <w:rPr>
                <w:rFonts w:hint="eastAsia"/>
              </w:rPr>
              <w:t>主要用于储存外来及本项目产生的送至固化/稳定化车间的危废</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21" w:hRule="atLeast"/>
          <w:jc w:val="center"/>
        </w:trPr>
        <w:tc>
          <w:tcPr>
            <w:tcW w:w="426" w:type="dxa"/>
            <w:vMerge w:val="continue"/>
            <w:tcBorders>
              <w:top w:val="dotted" w:color="auto" w:sz="4" w:space="0"/>
              <w:left w:val="nil"/>
              <w:bottom w:val="single" w:color="auto" w:sz="12" w:space="0"/>
              <w:right w:val="dotted" w:color="auto" w:sz="4" w:space="0"/>
            </w:tcBorders>
            <w:vAlign w:val="center"/>
          </w:tcPr>
          <w:p>
            <w:pPr>
              <w:widowControl/>
              <w:ind w:firstLine="0" w:firstLineChars="0"/>
              <w:jc w:val="left"/>
              <w:rPr>
                <w:sz w:val="21"/>
              </w:rPr>
            </w:pPr>
          </w:p>
        </w:tc>
        <w:tc>
          <w:tcPr>
            <w:tcW w:w="708"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0" w:firstLineChars="0"/>
              <w:jc w:val="left"/>
              <w:rPr>
                <w:sz w:val="21"/>
              </w:rPr>
            </w:pPr>
          </w:p>
        </w:tc>
        <w:tc>
          <w:tcPr>
            <w:tcW w:w="861"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危废罐区</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jc w:val="center"/>
              <w:rPr>
                <w:sz w:val="21"/>
              </w:rPr>
            </w:pPr>
            <w:r>
              <w:rPr>
                <w:sz w:val="21"/>
              </w:rPr>
              <w:t>4</w:t>
            </w:r>
            <w:r>
              <w:rPr>
                <w:rFonts w:hint="eastAsia"/>
                <w:sz w:val="21"/>
              </w:rPr>
              <w:t>个</w:t>
            </w:r>
            <w:r>
              <w:rPr>
                <w:sz w:val="21"/>
              </w:rPr>
              <w:t>23m</w:t>
            </w:r>
            <w:r>
              <w:rPr>
                <w:sz w:val="21"/>
                <w:vertAlign w:val="superscript"/>
              </w:rPr>
              <w:t>3</w:t>
            </w:r>
            <w:r>
              <w:rPr>
                <w:rFonts w:hint="eastAsia"/>
                <w:sz w:val="21"/>
              </w:rPr>
              <w:t>废酸储罐、</w:t>
            </w:r>
            <w:r>
              <w:rPr>
                <w:sz w:val="21"/>
              </w:rPr>
              <w:t>2</w:t>
            </w:r>
            <w:r>
              <w:rPr>
                <w:rFonts w:hint="eastAsia"/>
                <w:sz w:val="21"/>
              </w:rPr>
              <w:t>个</w:t>
            </w:r>
            <w:r>
              <w:rPr>
                <w:sz w:val="21"/>
              </w:rPr>
              <w:t>23m</w:t>
            </w:r>
            <w:r>
              <w:rPr>
                <w:sz w:val="21"/>
                <w:vertAlign w:val="superscript"/>
              </w:rPr>
              <w:t>3</w:t>
            </w:r>
            <w:r>
              <w:rPr>
                <w:rFonts w:hint="eastAsia"/>
                <w:sz w:val="21"/>
              </w:rPr>
              <w:t>废乳化液储罐、</w:t>
            </w:r>
            <w:r>
              <w:rPr>
                <w:sz w:val="21"/>
              </w:rPr>
              <w:t>6</w:t>
            </w:r>
            <w:r>
              <w:rPr>
                <w:rFonts w:hint="eastAsia"/>
                <w:sz w:val="21"/>
              </w:rPr>
              <w:t>个</w:t>
            </w:r>
            <w:r>
              <w:rPr>
                <w:sz w:val="21"/>
              </w:rPr>
              <w:t>48.5m</w:t>
            </w:r>
            <w:r>
              <w:rPr>
                <w:sz w:val="21"/>
                <w:vertAlign w:val="superscript"/>
              </w:rPr>
              <w:t>3</w:t>
            </w:r>
            <w:r>
              <w:rPr>
                <w:rFonts w:hint="eastAsia"/>
                <w:sz w:val="21"/>
              </w:rPr>
              <w:t>废液储罐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87" w:hRule="atLeast"/>
          <w:jc w:val="center"/>
        </w:trPr>
        <w:tc>
          <w:tcPr>
            <w:tcW w:w="426" w:type="dxa"/>
            <w:vMerge w:val="continue"/>
            <w:tcBorders>
              <w:top w:val="dotted" w:color="auto" w:sz="4" w:space="0"/>
              <w:left w:val="nil"/>
              <w:bottom w:val="single" w:color="auto" w:sz="12" w:space="0"/>
              <w:right w:val="dotted" w:color="auto" w:sz="4" w:space="0"/>
            </w:tcBorders>
            <w:vAlign w:val="center"/>
          </w:tcPr>
          <w:p>
            <w:pPr>
              <w:widowControl/>
              <w:ind w:firstLine="0" w:firstLineChars="0"/>
              <w:jc w:val="left"/>
              <w:rPr>
                <w:sz w:val="21"/>
              </w:rPr>
            </w:pPr>
          </w:p>
        </w:tc>
        <w:tc>
          <w:tcPr>
            <w:tcW w:w="708"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0" w:firstLineChars="0"/>
              <w:jc w:val="left"/>
              <w:rPr>
                <w:sz w:val="21"/>
              </w:rPr>
            </w:pPr>
          </w:p>
        </w:tc>
        <w:tc>
          <w:tcPr>
            <w:tcW w:w="861"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综合仓库</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jc w:val="center"/>
              <w:rPr>
                <w:sz w:val="21"/>
              </w:rPr>
            </w:pPr>
            <w:r>
              <w:rPr>
                <w:sz w:val="21"/>
              </w:rPr>
              <w:t>1</w:t>
            </w:r>
            <w:r>
              <w:rPr>
                <w:rFonts w:hint="eastAsia"/>
                <w:sz w:val="21"/>
              </w:rPr>
              <w:t>座</w:t>
            </w:r>
            <w:r>
              <w:rPr>
                <w:sz w:val="21"/>
              </w:rPr>
              <w:t>696m</w:t>
            </w:r>
            <w:r>
              <w:rPr>
                <w:sz w:val="21"/>
                <w:vertAlign w:val="superscript"/>
              </w:rPr>
              <w:t>2</w:t>
            </w:r>
            <w:r>
              <w:rPr>
                <w:sz w:val="21"/>
              </w:rPr>
              <w:t>×6.5m</w:t>
            </w:r>
            <w:r>
              <w:rPr>
                <w:rFonts w:hint="eastAsia"/>
                <w:sz w:val="21"/>
              </w:rPr>
              <w:t>的综合仓库，用来贮存消石灰、氢氧化钠等辅助材料</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23" w:hRule="atLeast"/>
          <w:jc w:val="center"/>
        </w:trPr>
        <w:tc>
          <w:tcPr>
            <w:tcW w:w="426" w:type="dxa"/>
            <w:vMerge w:val="continue"/>
            <w:tcBorders>
              <w:top w:val="dotted" w:color="auto" w:sz="4" w:space="0"/>
              <w:left w:val="nil"/>
              <w:bottom w:val="single" w:color="auto" w:sz="12" w:space="0"/>
              <w:right w:val="dotted" w:color="auto" w:sz="4" w:space="0"/>
            </w:tcBorders>
            <w:vAlign w:val="center"/>
          </w:tcPr>
          <w:p>
            <w:pPr>
              <w:widowControl/>
              <w:ind w:firstLine="0" w:firstLineChars="0"/>
              <w:jc w:val="left"/>
              <w:rPr>
                <w:sz w:val="21"/>
              </w:rPr>
            </w:pPr>
          </w:p>
        </w:tc>
        <w:tc>
          <w:tcPr>
            <w:tcW w:w="708"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0" w:firstLineChars="0"/>
              <w:jc w:val="left"/>
              <w:rPr>
                <w:sz w:val="21"/>
              </w:rPr>
            </w:pPr>
          </w:p>
        </w:tc>
        <w:tc>
          <w:tcPr>
            <w:tcW w:w="861"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柴油储罐</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jc w:val="center"/>
              <w:rPr>
                <w:sz w:val="21"/>
              </w:rPr>
            </w:pPr>
            <w:r>
              <w:rPr>
                <w:sz w:val="21"/>
              </w:rPr>
              <w:t>2</w:t>
            </w:r>
            <w:r>
              <w:rPr>
                <w:rFonts w:hint="eastAsia"/>
                <w:sz w:val="21"/>
              </w:rPr>
              <w:t>座</w:t>
            </w:r>
            <w:r>
              <w:rPr>
                <w:sz w:val="21"/>
              </w:rPr>
              <w:t>18.3m</w:t>
            </w:r>
            <w:r>
              <w:rPr>
                <w:sz w:val="21"/>
                <w:vertAlign w:val="superscript"/>
              </w:rPr>
              <w:t>3</w:t>
            </w:r>
            <w:r>
              <w:rPr>
                <w:rFonts w:hint="eastAsia"/>
                <w:sz w:val="21"/>
              </w:rPr>
              <w:t>的柴油储罐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99" w:hRule="atLeast"/>
          <w:jc w:val="center"/>
        </w:trPr>
        <w:tc>
          <w:tcPr>
            <w:tcW w:w="426" w:type="dxa"/>
            <w:vMerge w:val="continue"/>
            <w:tcBorders>
              <w:top w:val="dotted" w:color="auto" w:sz="4" w:space="0"/>
              <w:left w:val="nil"/>
              <w:bottom w:val="single" w:color="auto" w:sz="12" w:space="0"/>
              <w:right w:val="dotted" w:color="auto" w:sz="4" w:space="0"/>
            </w:tcBorders>
            <w:vAlign w:val="center"/>
          </w:tcPr>
          <w:p>
            <w:pPr>
              <w:widowControl/>
              <w:ind w:firstLine="0" w:firstLineChars="0"/>
              <w:jc w:val="left"/>
              <w:rPr>
                <w:sz w:val="21"/>
              </w:rPr>
            </w:pPr>
          </w:p>
        </w:tc>
        <w:tc>
          <w:tcPr>
            <w:tcW w:w="708"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0" w:firstLineChars="0"/>
              <w:jc w:val="left"/>
              <w:rPr>
                <w:sz w:val="21"/>
              </w:rPr>
            </w:pPr>
          </w:p>
        </w:tc>
        <w:tc>
          <w:tcPr>
            <w:tcW w:w="861" w:type="dxa"/>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飞灰筒仓</w:t>
            </w:r>
          </w:p>
        </w:tc>
        <w:tc>
          <w:tcPr>
            <w:tcW w:w="7643" w:type="dxa"/>
            <w:tcBorders>
              <w:top w:val="dotted" w:color="auto" w:sz="4" w:space="0"/>
              <w:left w:val="dotted" w:color="auto" w:sz="4" w:space="0"/>
              <w:bottom w:val="single" w:color="auto" w:sz="12" w:space="0"/>
              <w:right w:val="nil"/>
            </w:tcBorders>
            <w:vAlign w:val="center"/>
          </w:tcPr>
          <w:p>
            <w:pPr>
              <w:pStyle w:val="187"/>
              <w:spacing w:line="240" w:lineRule="exact"/>
              <w:rPr>
                <w:rFonts w:ascii="Times New Roman"/>
                <w:color w:val="auto"/>
              </w:rPr>
            </w:pPr>
            <w:r>
              <w:rPr>
                <w:rFonts w:ascii="Times New Roman"/>
                <w:color w:val="auto"/>
              </w:rPr>
              <w:t>1</w:t>
            </w:r>
            <w:r>
              <w:rPr>
                <w:rFonts w:hint="eastAsia" w:ascii="Times New Roman"/>
                <w:color w:val="auto"/>
              </w:rPr>
              <w:t>座</w:t>
            </w:r>
            <w:r>
              <w:rPr>
                <w:rFonts w:ascii="Times New Roman"/>
                <w:color w:val="auto"/>
              </w:rPr>
              <w:t>30m</w:t>
            </w:r>
            <w:r>
              <w:rPr>
                <w:rFonts w:ascii="Times New Roman"/>
                <w:color w:val="auto"/>
                <w:vertAlign w:val="superscript"/>
              </w:rPr>
              <w:t>3</w:t>
            </w:r>
            <w:r>
              <w:rPr>
                <w:rFonts w:hint="eastAsia" w:ascii="Times New Roman"/>
                <w:color w:val="auto"/>
              </w:rPr>
              <w:t>的飞灰筒仓</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22" w:hRule="atLeast"/>
          <w:jc w:val="center"/>
        </w:trPr>
        <w:tc>
          <w:tcPr>
            <w:tcW w:w="426"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3</w:t>
            </w:r>
          </w:p>
        </w:tc>
        <w:tc>
          <w:tcPr>
            <w:tcW w:w="9212" w:type="dxa"/>
            <w:gridSpan w:val="3"/>
            <w:tcBorders>
              <w:top w:val="dotted" w:color="auto" w:sz="4" w:space="0"/>
              <w:left w:val="dotted" w:color="auto" w:sz="4" w:space="0"/>
              <w:bottom w:val="single" w:color="auto" w:sz="12" w:space="0"/>
              <w:right w:val="nil"/>
            </w:tcBorders>
            <w:vAlign w:val="center"/>
          </w:tcPr>
          <w:p>
            <w:pPr>
              <w:pStyle w:val="187"/>
              <w:spacing w:line="240" w:lineRule="exact"/>
              <w:rPr>
                <w:rFonts w:ascii="Times New Roman"/>
                <w:color w:val="auto"/>
              </w:rPr>
            </w:pPr>
            <w:r>
              <w:rPr>
                <w:rFonts w:hint="eastAsia" w:ascii="Times New Roman"/>
                <w:color w:val="auto"/>
              </w:rPr>
              <w:t>环保工程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426" w:type="dxa"/>
            <w:tcBorders>
              <w:top w:val="single" w:color="auto" w:sz="12"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3.1</w:t>
            </w:r>
          </w:p>
        </w:tc>
        <w:tc>
          <w:tcPr>
            <w:tcW w:w="1569" w:type="dxa"/>
            <w:gridSpan w:val="2"/>
            <w:tcBorders>
              <w:top w:val="single" w:color="auto" w:sz="12"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废气治理</w:t>
            </w:r>
          </w:p>
        </w:tc>
        <w:tc>
          <w:tcPr>
            <w:tcW w:w="7643" w:type="dxa"/>
            <w:tcBorders>
              <w:top w:val="single" w:color="auto" w:sz="12" w:space="0"/>
              <w:left w:val="dotted" w:color="auto" w:sz="4" w:space="0"/>
              <w:bottom w:val="dotted" w:color="auto" w:sz="4" w:space="0"/>
              <w:right w:val="nil"/>
            </w:tcBorders>
            <w:vAlign w:val="center"/>
          </w:tcPr>
          <w:p>
            <w:pPr>
              <w:pStyle w:val="187"/>
              <w:snapToGrid w:val="0"/>
              <w:spacing w:line="240" w:lineRule="exact"/>
              <w:jc w:val="both"/>
              <w:rPr>
                <w:rFonts w:ascii="Times New Roman"/>
                <w:color w:val="auto"/>
              </w:rPr>
            </w:pPr>
            <w:r>
              <w:rPr>
                <w:rFonts w:hint="eastAsia" w:ascii="Times New Roman"/>
              </w:rPr>
              <w:t>危废暂存库有组织废气经紫外光系统</w:t>
            </w:r>
            <w:r>
              <w:rPr>
                <w:rFonts w:ascii="Times New Roman"/>
              </w:rPr>
              <w:t>+</w:t>
            </w:r>
            <w:r>
              <w:rPr>
                <w:rFonts w:hint="eastAsia" w:ascii="Times New Roman"/>
              </w:rPr>
              <w:t>活性炭纤维有机废气净化器处理后，由</w:t>
            </w:r>
            <w:r>
              <w:rPr>
                <w:rFonts w:ascii="Times New Roman"/>
              </w:rPr>
              <w:t>20m</w:t>
            </w:r>
            <w:r>
              <w:rPr>
                <w:rFonts w:hint="eastAsia" w:ascii="Times New Roman"/>
              </w:rPr>
              <w:t>烟囱排放。物化车间中和反应池排气送至酸雾吸收塔与碱液充分反应后，由</w:t>
            </w:r>
            <w:r>
              <w:rPr>
                <w:rFonts w:ascii="Times New Roman"/>
              </w:rPr>
              <w:t>20m</w:t>
            </w:r>
            <w:r>
              <w:rPr>
                <w:rFonts w:hint="eastAsia" w:ascii="Times New Roman"/>
              </w:rPr>
              <w:t>烟囱排放。焚烧车间焚烧废气经</w:t>
            </w:r>
            <w:r>
              <w:rPr>
                <w:rFonts w:ascii="Times New Roman"/>
              </w:rPr>
              <w:t>SNCR</w:t>
            </w:r>
            <w:r>
              <w:rPr>
                <w:rFonts w:hint="eastAsia" w:ascii="Times New Roman"/>
              </w:rPr>
              <w:t>脱硝系统</w:t>
            </w:r>
            <w:r>
              <w:rPr>
                <w:rFonts w:ascii="Times New Roman"/>
              </w:rPr>
              <w:t>+</w:t>
            </w:r>
            <w:r>
              <w:rPr>
                <w:rFonts w:hint="eastAsia" w:ascii="Times New Roman"/>
              </w:rPr>
              <w:t>旋风收尘器</w:t>
            </w:r>
            <w:r>
              <w:rPr>
                <w:rFonts w:ascii="Times New Roman"/>
              </w:rPr>
              <w:t>+</w:t>
            </w:r>
            <w:r>
              <w:rPr>
                <w:rFonts w:hint="eastAsia" w:ascii="Times New Roman"/>
              </w:rPr>
              <w:t>余热锅炉</w:t>
            </w:r>
            <w:r>
              <w:rPr>
                <w:rFonts w:ascii="Times New Roman"/>
              </w:rPr>
              <w:t>+</w:t>
            </w:r>
            <w:r>
              <w:rPr>
                <w:rFonts w:hint="eastAsia" w:ascii="Times New Roman"/>
              </w:rPr>
              <w:t>急冷脱酸塔</w:t>
            </w:r>
            <w:r>
              <w:rPr>
                <w:rFonts w:ascii="Times New Roman"/>
              </w:rPr>
              <w:t>+</w:t>
            </w:r>
            <w:r>
              <w:rPr>
                <w:rFonts w:hint="eastAsia" w:ascii="Times New Roman"/>
              </w:rPr>
              <w:t>干式反应器</w:t>
            </w:r>
            <w:r>
              <w:rPr>
                <w:rFonts w:ascii="Times New Roman"/>
              </w:rPr>
              <w:t>+</w:t>
            </w:r>
            <w:r>
              <w:rPr>
                <w:rFonts w:hint="eastAsia" w:ascii="Times New Roman"/>
              </w:rPr>
              <w:t>袋式除尘器</w:t>
            </w:r>
            <w:r>
              <w:rPr>
                <w:rFonts w:ascii="Times New Roman"/>
              </w:rPr>
              <w:t>+</w:t>
            </w:r>
            <w:r>
              <w:rPr>
                <w:rFonts w:hint="eastAsia" w:ascii="Times New Roman"/>
              </w:rPr>
              <w:t>喷淋洗涤塔</w:t>
            </w:r>
            <w:r>
              <w:rPr>
                <w:rFonts w:ascii="Times New Roman"/>
              </w:rPr>
              <w:t>+</w:t>
            </w:r>
            <w:r>
              <w:rPr>
                <w:rFonts w:hint="eastAsia" w:ascii="Times New Roman"/>
              </w:rPr>
              <w:t>尾气加热后，由</w:t>
            </w:r>
            <w:r>
              <w:rPr>
                <w:rFonts w:ascii="Times New Roman"/>
              </w:rPr>
              <w:t>45m</w:t>
            </w:r>
            <w:r>
              <w:rPr>
                <w:rFonts w:hint="eastAsia" w:ascii="Times New Roman"/>
              </w:rPr>
              <w:t>烟囱排放。固化车间转运及上料系统排气经布袋除尘器除尘后，由</w:t>
            </w:r>
            <w:r>
              <w:rPr>
                <w:rFonts w:ascii="Times New Roman"/>
              </w:rPr>
              <w:t>20m</w:t>
            </w:r>
            <w:r>
              <w:rPr>
                <w:rFonts w:hint="eastAsia" w:ascii="Times New Roman"/>
              </w:rPr>
              <w:t>烟囱排放。污水处理系统强制循环蒸发器排气经活性炭纤维有机废气净化器处理后，由</w:t>
            </w:r>
            <w:r>
              <w:rPr>
                <w:rFonts w:ascii="Times New Roman"/>
              </w:rPr>
              <w:t>15m</w:t>
            </w:r>
            <w:r>
              <w:rPr>
                <w:rFonts w:hint="eastAsia" w:ascii="Times New Roman"/>
              </w:rPr>
              <w:t>烟囱排放。</w:t>
            </w:r>
            <w:r>
              <w:rPr>
                <w:rFonts w:hint="eastAsia" w:ascii="Times New Roman"/>
                <w:color w:val="auto"/>
              </w:rPr>
              <w:t>填埋库区设置气体收集排气系统，导排采用导气竖井的方式，导气竖井间距按</w:t>
            </w:r>
            <w:r>
              <w:rPr>
                <w:rFonts w:ascii="Times New Roman"/>
                <w:color w:val="auto"/>
              </w:rPr>
              <w:t>50m</w:t>
            </w:r>
            <w:r>
              <w:rPr>
                <w:rFonts w:hint="eastAsia" w:ascii="Times New Roman"/>
                <w:color w:val="auto"/>
              </w:rPr>
              <w:t>考虑。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426"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3.2</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废水治理</w:t>
            </w:r>
          </w:p>
        </w:tc>
        <w:tc>
          <w:tcPr>
            <w:tcW w:w="7643" w:type="dxa"/>
            <w:tcBorders>
              <w:top w:val="dotted" w:color="auto" w:sz="4" w:space="0"/>
              <w:left w:val="dotted" w:color="auto" w:sz="4" w:space="0"/>
              <w:bottom w:val="dotted" w:color="auto" w:sz="4" w:space="0"/>
              <w:right w:val="nil"/>
            </w:tcBorders>
            <w:vAlign w:val="center"/>
          </w:tcPr>
          <w:p>
            <w:pPr>
              <w:pStyle w:val="187"/>
              <w:spacing w:line="240" w:lineRule="exact"/>
              <w:jc w:val="both"/>
              <w:rPr>
                <w:rFonts w:ascii="Times New Roman"/>
                <w:color w:val="auto"/>
              </w:rPr>
            </w:pPr>
            <w:r>
              <w:rPr>
                <w:rFonts w:hint="eastAsia" w:ascii="Times New Roman"/>
              </w:rPr>
              <w:t>本项目焚烧车间喷淋洗涤塔排水</w:t>
            </w:r>
            <w:r>
              <w:rPr>
                <w:rFonts w:hint="eastAsia" w:ascii="Times New Roman" w:hAnsi="宋体"/>
              </w:rPr>
              <w:t>由本车间污水处理模块经</w:t>
            </w:r>
            <w:r>
              <w:rPr>
                <w:rFonts w:ascii="Times New Roman"/>
              </w:rPr>
              <w:t>“</w:t>
            </w:r>
            <w:r>
              <w:rPr>
                <w:rFonts w:hint="eastAsia" w:ascii="Times New Roman" w:hAnsi="宋体"/>
              </w:rPr>
              <w:t>絮凝沉淀</w:t>
            </w:r>
            <w:r>
              <w:rPr>
                <w:rFonts w:ascii="Times New Roman"/>
              </w:rPr>
              <w:t>”</w:t>
            </w:r>
            <w:r>
              <w:rPr>
                <w:rFonts w:hint="eastAsia" w:ascii="Times New Roman" w:hAnsi="宋体"/>
              </w:rPr>
              <w:t>处理后送至物化车间污水处理模块</w:t>
            </w:r>
            <w:r>
              <w:rPr>
                <w:rFonts w:hint="eastAsia" w:ascii="Times New Roman"/>
              </w:rPr>
              <w:t>；物化车间澄清池排水</w:t>
            </w:r>
            <w:r>
              <w:rPr>
                <w:rFonts w:hint="eastAsia" w:ascii="Times New Roman" w:hAnsi="宋体"/>
              </w:rPr>
              <w:t>和</w:t>
            </w:r>
            <w:r>
              <w:rPr>
                <w:rFonts w:hint="eastAsia" w:ascii="Times New Roman"/>
              </w:rPr>
              <w:t>沉淀池废水</w:t>
            </w:r>
            <w:r>
              <w:rPr>
                <w:rFonts w:hint="eastAsia" w:ascii="Times New Roman" w:hAnsi="宋体"/>
              </w:rPr>
              <w:t>经</w:t>
            </w:r>
            <w:r>
              <w:rPr>
                <w:rFonts w:ascii="Times New Roman"/>
              </w:rPr>
              <w:t>“</w:t>
            </w:r>
            <w:r>
              <w:rPr>
                <w:rFonts w:hint="eastAsia" w:ascii="Times New Roman" w:hAnsi="宋体"/>
              </w:rPr>
              <w:t>絮凝沉淀</w:t>
            </w:r>
            <w:r>
              <w:rPr>
                <w:rFonts w:ascii="Times New Roman"/>
              </w:rPr>
              <w:t>”</w:t>
            </w:r>
            <w:r>
              <w:rPr>
                <w:rFonts w:hint="eastAsia" w:ascii="Times New Roman" w:hAnsi="宋体"/>
              </w:rPr>
              <w:t>处理后</w:t>
            </w:r>
            <w:r>
              <w:rPr>
                <w:rFonts w:hint="eastAsia" w:ascii="Times New Roman"/>
              </w:rPr>
              <w:t>，与焚烧车间污水处理模块排水</w:t>
            </w:r>
            <w:r>
              <w:rPr>
                <w:rFonts w:hint="eastAsia" w:ascii="Times New Roman" w:hAnsi="宋体"/>
              </w:rPr>
              <w:t>、</w:t>
            </w:r>
            <w:r>
              <w:rPr>
                <w:rFonts w:hint="eastAsia" w:ascii="Times New Roman"/>
              </w:rPr>
              <w:t>污水处理站排浓水采用</w:t>
            </w:r>
            <w:r>
              <w:rPr>
                <w:rFonts w:ascii="Times New Roman"/>
              </w:rPr>
              <w:t>“Fenton+</w:t>
            </w:r>
            <w:r>
              <w:rPr>
                <w:rFonts w:hint="eastAsia" w:ascii="Times New Roman"/>
              </w:rPr>
              <w:t>强制循环蒸发</w:t>
            </w:r>
            <w:r>
              <w:rPr>
                <w:rFonts w:ascii="Times New Roman"/>
              </w:rPr>
              <w:t>”</w:t>
            </w:r>
            <w:r>
              <w:rPr>
                <w:rFonts w:hint="eastAsia" w:ascii="Times New Roman"/>
              </w:rPr>
              <w:t>的方法进行处理，处理后的冷凝液与冲洗废水、化验用水、安全填埋场渗滤液</w:t>
            </w:r>
            <w:r>
              <w:rPr>
                <w:rFonts w:hint="eastAsia" w:ascii="Times New Roman" w:hAnsi="宋体"/>
              </w:rPr>
              <w:t>以及生活污水送至全厂污水处理站，</w:t>
            </w:r>
            <w:r>
              <w:rPr>
                <w:rFonts w:hint="eastAsia" w:ascii="Times New Roman"/>
              </w:rPr>
              <w:t>经</w:t>
            </w:r>
            <w:r>
              <w:rPr>
                <w:rFonts w:ascii="Times New Roman"/>
              </w:rPr>
              <w:t>“</w:t>
            </w:r>
            <w:r>
              <w:rPr>
                <w:rFonts w:hint="eastAsia" w:ascii="Times New Roman"/>
              </w:rPr>
              <w:t>絮凝沉淀</w:t>
            </w:r>
            <w:r>
              <w:rPr>
                <w:rFonts w:ascii="Times New Roman"/>
              </w:rPr>
              <w:t>+</w:t>
            </w:r>
            <w:r>
              <w:rPr>
                <w:rFonts w:hint="eastAsia" w:ascii="Times New Roman"/>
              </w:rPr>
              <w:t>水解酸化</w:t>
            </w:r>
            <w:r>
              <w:rPr>
                <w:rFonts w:ascii="Times New Roman"/>
              </w:rPr>
              <w:t>+MBR+</w:t>
            </w:r>
            <w:r>
              <w:rPr>
                <w:rFonts w:hint="eastAsia" w:ascii="Times New Roman"/>
              </w:rPr>
              <w:t>回用系统</w:t>
            </w:r>
            <w:r>
              <w:rPr>
                <w:rFonts w:ascii="Times New Roman"/>
              </w:rPr>
              <w:t>”</w:t>
            </w:r>
            <w:r>
              <w:rPr>
                <w:rFonts w:hint="eastAsia" w:ascii="Times New Roman"/>
              </w:rPr>
              <w:t>处理后</w:t>
            </w:r>
            <w:r>
              <w:rPr>
                <w:rFonts w:hint="eastAsia" w:ascii="Times New Roman" w:hAnsi="宋体"/>
              </w:rPr>
              <w:t>，出水部分回用至固化车间，其余回用至焚烧车间，浓水送至物化车间污水处理模块。本项目循环水系统排水、物化车间酸雾吸收塔排水、余热锅炉排水及软化水系统排水等直接送至焚烧车间进行综合利用。</w:t>
            </w:r>
            <w:r>
              <w:rPr>
                <w:rFonts w:hint="eastAsia" w:ascii="Times New Roman"/>
                <w:lang w:val="pt-BR"/>
              </w:rPr>
              <w:t>本项目处理后的废水全部回用于各生产工段，全厂无废水外排。</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426"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3.3</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地下水防治</w:t>
            </w:r>
          </w:p>
        </w:tc>
        <w:tc>
          <w:tcPr>
            <w:tcW w:w="7643" w:type="dxa"/>
            <w:tcBorders>
              <w:top w:val="dotted" w:color="auto" w:sz="4" w:space="0"/>
              <w:left w:val="dotted" w:color="auto" w:sz="4" w:space="0"/>
              <w:bottom w:val="dotted" w:color="auto" w:sz="4" w:space="0"/>
              <w:right w:val="nil"/>
            </w:tcBorders>
            <w:vAlign w:val="center"/>
          </w:tcPr>
          <w:p>
            <w:pPr>
              <w:snapToGrid w:val="0"/>
              <w:spacing w:line="280" w:lineRule="exact"/>
              <w:ind w:firstLine="0" w:firstLineChars="0"/>
              <w:rPr>
                <w:rFonts w:cs="Times New Roman"/>
                <w:sz w:val="21"/>
              </w:rPr>
            </w:pPr>
            <w:r>
              <w:rPr>
                <w:rFonts w:hint="eastAsia"/>
                <w:sz w:val="21"/>
              </w:rPr>
              <w:t>安全填埋场防渗层具体构造由下到上依此为：</w:t>
            </w:r>
            <w:r>
              <w:rPr>
                <w:sz w:val="21"/>
              </w:rPr>
              <w:t>1m</w:t>
            </w:r>
            <w:r>
              <w:rPr>
                <w:rFonts w:hint="eastAsia"/>
                <w:sz w:val="21"/>
              </w:rPr>
              <w:t>厚的压实粘土层</w:t>
            </w:r>
            <w:r>
              <w:rPr>
                <w:sz w:val="21"/>
              </w:rPr>
              <w:t>+6.0mmGCL</w:t>
            </w:r>
            <w:r>
              <w:rPr>
                <w:rFonts w:hint="eastAsia"/>
                <w:sz w:val="21"/>
              </w:rPr>
              <w:t>特种钠基膨润土垫</w:t>
            </w:r>
            <w:r>
              <w:rPr>
                <w:sz w:val="21"/>
              </w:rPr>
              <w:t>+2.0mmHDPE</w:t>
            </w:r>
            <w:r>
              <w:rPr>
                <w:rFonts w:hint="eastAsia"/>
                <w:sz w:val="21"/>
              </w:rPr>
              <w:t>土工膜</w:t>
            </w:r>
            <w:r>
              <w:rPr>
                <w:sz w:val="21"/>
              </w:rPr>
              <w:t>+6.3mm</w:t>
            </w:r>
            <w:r>
              <w:rPr>
                <w:rFonts w:hint="eastAsia"/>
                <w:sz w:val="21"/>
              </w:rPr>
              <w:t>土工复合排水网</w:t>
            </w:r>
            <w:r>
              <w:rPr>
                <w:sz w:val="21"/>
              </w:rPr>
              <w:t>+2.0mmHDPE</w:t>
            </w:r>
            <w:r>
              <w:rPr>
                <w:rFonts w:hint="eastAsia"/>
                <w:sz w:val="21"/>
              </w:rPr>
              <w:t>土工膜</w:t>
            </w:r>
            <w:r>
              <w:rPr>
                <w:sz w:val="21"/>
              </w:rPr>
              <w:t>+600g/m</w:t>
            </w:r>
            <w:r>
              <w:rPr>
                <w:sz w:val="21"/>
                <w:vertAlign w:val="superscript"/>
              </w:rPr>
              <w:t>2</w:t>
            </w:r>
            <w:r>
              <w:rPr>
                <w:rFonts w:hint="eastAsia"/>
                <w:sz w:val="21"/>
              </w:rPr>
              <w:t>无纺土工布</w:t>
            </w:r>
            <w:r>
              <w:rPr>
                <w:sz w:val="21"/>
              </w:rPr>
              <w:t>+40-60mm</w:t>
            </w:r>
            <w:r>
              <w:rPr>
                <w:rFonts w:hint="eastAsia"/>
                <w:sz w:val="21"/>
              </w:rPr>
              <w:t>卵石导排层</w:t>
            </w:r>
            <w:r>
              <w:rPr>
                <w:sz w:val="21"/>
              </w:rPr>
              <w:t>+120g/m</w:t>
            </w:r>
            <w:r>
              <w:rPr>
                <w:sz w:val="21"/>
                <w:vertAlign w:val="superscript"/>
              </w:rPr>
              <w:t>2</w:t>
            </w:r>
            <w:r>
              <w:rPr>
                <w:rFonts w:hint="eastAsia"/>
                <w:sz w:val="21"/>
              </w:rPr>
              <w:t>有纺土工布。安全填埋场侧壁防渗层具体构造由内到外依此为：</w:t>
            </w:r>
            <w:r>
              <w:rPr>
                <w:sz w:val="21"/>
              </w:rPr>
              <w:t>600g/m</w:t>
            </w:r>
            <w:r>
              <w:rPr>
                <w:sz w:val="21"/>
                <w:vertAlign w:val="superscript"/>
              </w:rPr>
              <w:t>2</w:t>
            </w:r>
            <w:r>
              <w:rPr>
                <w:rFonts w:hint="eastAsia"/>
                <w:sz w:val="21"/>
              </w:rPr>
              <w:t>无纺土工布保护层</w:t>
            </w:r>
            <w:r>
              <w:rPr>
                <w:sz w:val="21"/>
              </w:rPr>
              <w:t>+2.0mmHDPE</w:t>
            </w:r>
            <w:r>
              <w:rPr>
                <w:rFonts w:hint="eastAsia"/>
                <w:sz w:val="21"/>
              </w:rPr>
              <w:t>土工膜</w:t>
            </w:r>
            <w:r>
              <w:rPr>
                <w:sz w:val="21"/>
              </w:rPr>
              <w:t>+6.3mm</w:t>
            </w:r>
            <w:r>
              <w:rPr>
                <w:rFonts w:hint="eastAsia"/>
                <w:sz w:val="21"/>
              </w:rPr>
              <w:t>土工复合排水网</w:t>
            </w:r>
            <w:r>
              <w:rPr>
                <w:sz w:val="21"/>
              </w:rPr>
              <w:t>+2.0mmHDPE</w:t>
            </w:r>
            <w:r>
              <w:rPr>
                <w:rFonts w:hint="eastAsia"/>
                <w:sz w:val="21"/>
              </w:rPr>
              <w:t>土工膜</w:t>
            </w:r>
            <w:r>
              <w:rPr>
                <w:sz w:val="21"/>
              </w:rPr>
              <w:t>+6.0mmGCL</w:t>
            </w:r>
            <w:r>
              <w:rPr>
                <w:rFonts w:hint="eastAsia"/>
                <w:sz w:val="21"/>
              </w:rPr>
              <w:t>特种钠基膨润土垫</w:t>
            </w:r>
            <w:r>
              <w:rPr>
                <w:sz w:val="21"/>
              </w:rPr>
              <w:t>+500mm</w:t>
            </w:r>
            <w:r>
              <w:rPr>
                <w:rFonts w:hint="eastAsia"/>
                <w:sz w:val="21"/>
              </w:rPr>
              <w:t>压实粘土</w:t>
            </w:r>
            <w:r>
              <w:rPr>
                <w:sz w:val="21"/>
              </w:rPr>
              <w:t>+</w:t>
            </w:r>
            <w:r>
              <w:rPr>
                <w:rFonts w:hint="eastAsia"/>
                <w:sz w:val="21"/>
              </w:rPr>
              <w:t>双向拉伸土工格栅</w:t>
            </w:r>
            <w:r>
              <w:rPr>
                <w:sz w:val="21"/>
              </w:rPr>
              <w:t>+1.0m</w:t>
            </w:r>
            <w:r>
              <w:rPr>
                <w:rFonts w:hint="eastAsia"/>
                <w:sz w:val="21"/>
              </w:rPr>
              <w:t>厚的压实粘土层。</w:t>
            </w:r>
          </w:p>
          <w:p>
            <w:pPr>
              <w:pStyle w:val="187"/>
              <w:spacing w:line="240" w:lineRule="exact"/>
              <w:jc w:val="both"/>
              <w:rPr>
                <w:rFonts w:ascii="Times New Roman"/>
                <w:color w:val="auto"/>
              </w:rPr>
            </w:pPr>
            <w:r>
              <w:rPr>
                <w:rFonts w:hint="eastAsia" w:ascii="Times New Roman"/>
                <w:color w:val="auto"/>
              </w:rPr>
              <w:t>本项目危废综合处置厂区分为重点污染防治区和一般污染防治区，重点污染防治区设置防渗层，防渗性能应不低于</w:t>
            </w:r>
            <w:r>
              <w:rPr>
                <w:rFonts w:ascii="Times New Roman"/>
                <w:color w:val="auto"/>
              </w:rPr>
              <w:t>6.0m</w:t>
            </w:r>
            <w:r>
              <w:rPr>
                <w:rFonts w:hint="eastAsia" w:ascii="Times New Roman"/>
                <w:color w:val="auto"/>
              </w:rPr>
              <w:t>厚渗透系数为</w:t>
            </w:r>
            <w:r>
              <w:rPr>
                <w:rFonts w:ascii="Times New Roman"/>
                <w:color w:val="auto"/>
              </w:rPr>
              <w:t>1.0×10</w:t>
            </w:r>
            <w:r>
              <w:rPr>
                <w:rFonts w:ascii="Times New Roman"/>
                <w:color w:val="auto"/>
                <w:vertAlign w:val="superscript"/>
              </w:rPr>
              <w:t>-7</w:t>
            </w:r>
            <w:r>
              <w:rPr>
                <w:rFonts w:ascii="Times New Roman"/>
                <w:color w:val="auto"/>
              </w:rPr>
              <w:t>cm/s</w:t>
            </w:r>
            <w:r>
              <w:rPr>
                <w:rFonts w:hint="eastAsia" w:ascii="Times New Roman"/>
                <w:color w:val="auto"/>
              </w:rPr>
              <w:t>的黏土层；一般污染防治区设置防渗层，防渗性能应不低于</w:t>
            </w:r>
            <w:r>
              <w:rPr>
                <w:rFonts w:ascii="Times New Roman"/>
                <w:color w:val="auto"/>
              </w:rPr>
              <w:t>1.5m</w:t>
            </w:r>
            <w:r>
              <w:rPr>
                <w:rFonts w:hint="eastAsia" w:ascii="Times New Roman"/>
                <w:color w:val="auto"/>
              </w:rPr>
              <w:t>厚渗透系数为</w:t>
            </w:r>
            <w:r>
              <w:rPr>
                <w:rFonts w:ascii="Times New Roman"/>
                <w:color w:val="auto"/>
              </w:rPr>
              <w:t>1.0×10</w:t>
            </w:r>
            <w:r>
              <w:rPr>
                <w:rFonts w:ascii="Times New Roman"/>
                <w:color w:val="auto"/>
                <w:vertAlign w:val="superscript"/>
              </w:rPr>
              <w:t>-7</w:t>
            </w:r>
            <w:r>
              <w:rPr>
                <w:rFonts w:ascii="Times New Roman"/>
                <w:color w:val="auto"/>
              </w:rPr>
              <w:t>cm/s</w:t>
            </w:r>
            <w:r>
              <w:rPr>
                <w:rFonts w:hint="eastAsia" w:ascii="Times New Roman"/>
                <w:color w:val="auto"/>
              </w:rPr>
              <w:t>的黏土层。全厂污染防渗层内设置渗漏污染物收集系统。</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426"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3.4</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废渣治理</w:t>
            </w:r>
          </w:p>
        </w:tc>
        <w:tc>
          <w:tcPr>
            <w:tcW w:w="7643" w:type="dxa"/>
            <w:tcBorders>
              <w:top w:val="dotted" w:color="auto" w:sz="4" w:space="0"/>
              <w:left w:val="dotted" w:color="auto" w:sz="4" w:space="0"/>
              <w:bottom w:val="dotted" w:color="auto" w:sz="4" w:space="0"/>
              <w:right w:val="nil"/>
            </w:tcBorders>
            <w:vAlign w:val="center"/>
          </w:tcPr>
          <w:p>
            <w:pPr>
              <w:pStyle w:val="187"/>
              <w:spacing w:line="240" w:lineRule="exact"/>
              <w:jc w:val="both"/>
              <w:rPr>
                <w:rFonts w:ascii="Times New Roman"/>
                <w:color w:val="auto"/>
              </w:rPr>
            </w:pPr>
            <w:r>
              <w:rPr>
                <w:rFonts w:hint="eastAsia"/>
                <w:kern w:val="0"/>
              </w:rPr>
              <w:t>有机废气净化器产生的废物送至回转窑进行焚烧处理；物化车间澄清池废渣送至固化车间经固化后安全填埋；物化车间隔油池产生的废油送至回转窑进行焚烧处理；物化车间沉淀池废渣送至固化车间经固化后安全填埋；焚烧车间产生的焚烧炉炉渣、飞灰和喷淋洗涤塔滤渣送至固化车间经固化后安全填埋；厂区污水处理站污泥送至固化车间经固化后安全填埋；强制循环蒸发系统产生盐泥送至固化车间经固化后安全填埋；强制循环蒸发系统净化器产生的废物送至回转窑进行焚烧处理；</w:t>
            </w:r>
            <w:r>
              <w:rPr>
                <w:rFonts w:hint="eastAsia"/>
              </w:rPr>
              <w:t>生活垃圾由当地环卫部门进行统一处理。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71" w:hRule="atLeast"/>
          <w:jc w:val="center"/>
        </w:trPr>
        <w:tc>
          <w:tcPr>
            <w:tcW w:w="426"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3.5</w:t>
            </w:r>
          </w:p>
        </w:tc>
        <w:tc>
          <w:tcPr>
            <w:tcW w:w="1569" w:type="dxa"/>
            <w:gridSpan w:val="2"/>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噪声治理</w:t>
            </w:r>
          </w:p>
        </w:tc>
        <w:tc>
          <w:tcPr>
            <w:tcW w:w="7643" w:type="dxa"/>
            <w:tcBorders>
              <w:top w:val="dotted" w:color="auto" w:sz="4" w:space="0"/>
              <w:left w:val="dotted" w:color="auto" w:sz="4" w:space="0"/>
              <w:bottom w:val="single" w:color="auto" w:sz="12" w:space="0"/>
              <w:right w:val="nil"/>
            </w:tcBorders>
            <w:vAlign w:val="center"/>
          </w:tcPr>
          <w:p>
            <w:pPr>
              <w:pStyle w:val="187"/>
              <w:spacing w:line="240" w:lineRule="exact"/>
              <w:rPr>
                <w:rFonts w:ascii="Times New Roman"/>
                <w:color w:val="auto"/>
              </w:rPr>
            </w:pPr>
            <w:r>
              <w:rPr>
                <w:rFonts w:hint="eastAsia" w:ascii="Times New Roman"/>
                <w:color w:val="auto"/>
              </w:rPr>
              <w:t>各噪声源均采用相应的隔声、基础减震设备。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4</w:t>
            </w:r>
          </w:p>
        </w:tc>
        <w:tc>
          <w:tcPr>
            <w:tcW w:w="9212" w:type="dxa"/>
            <w:gridSpan w:val="3"/>
            <w:tcBorders>
              <w:top w:val="dotted" w:color="auto" w:sz="4" w:space="0"/>
              <w:left w:val="dotted" w:color="auto" w:sz="4" w:space="0"/>
              <w:bottom w:val="single" w:color="auto" w:sz="12" w:space="0"/>
              <w:right w:val="nil"/>
            </w:tcBorders>
            <w:vAlign w:val="center"/>
          </w:tcPr>
          <w:p>
            <w:pPr>
              <w:pStyle w:val="187"/>
              <w:spacing w:line="240" w:lineRule="exact"/>
              <w:rPr>
                <w:rFonts w:ascii="Times New Roman"/>
                <w:color w:val="auto"/>
              </w:rPr>
            </w:pPr>
            <w:r>
              <w:rPr>
                <w:rFonts w:hint="eastAsia" w:ascii="Times New Roman"/>
                <w:color w:val="auto"/>
              </w:rPr>
              <w:t>生活设施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single" w:color="auto" w:sz="12"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4.1</w:t>
            </w:r>
          </w:p>
        </w:tc>
        <w:tc>
          <w:tcPr>
            <w:tcW w:w="1569" w:type="dxa"/>
            <w:gridSpan w:val="2"/>
            <w:tcBorders>
              <w:top w:val="single" w:color="auto" w:sz="12"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综合楼</w:t>
            </w:r>
          </w:p>
        </w:tc>
        <w:tc>
          <w:tcPr>
            <w:tcW w:w="7643" w:type="dxa"/>
            <w:vMerge w:val="restart"/>
            <w:tcBorders>
              <w:top w:val="single" w:color="auto" w:sz="12" w:space="0"/>
              <w:left w:val="dotted" w:color="auto" w:sz="4" w:space="0"/>
              <w:bottom w:val="single" w:color="auto" w:sz="12" w:space="0"/>
              <w:right w:val="nil"/>
            </w:tcBorders>
            <w:vAlign w:val="center"/>
          </w:tcPr>
          <w:p>
            <w:pPr>
              <w:pStyle w:val="187"/>
              <w:spacing w:line="240" w:lineRule="exact"/>
              <w:rPr>
                <w:rFonts w:ascii="Times New Roman"/>
                <w:color w:val="auto"/>
              </w:rPr>
            </w:pPr>
            <w:r>
              <w:rPr>
                <w:rFonts w:hint="eastAsia" w:ascii="Times New Roman"/>
                <w:color w:val="auto"/>
              </w:rPr>
              <w:t>均位于厂前区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4.2</w:t>
            </w:r>
          </w:p>
        </w:tc>
        <w:tc>
          <w:tcPr>
            <w:tcW w:w="1569"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jc w:val="both"/>
              <w:rPr>
                <w:rFonts w:ascii="Times New Roman"/>
                <w:color w:val="auto"/>
              </w:rPr>
            </w:pPr>
            <w:r>
              <w:rPr>
                <w:rFonts w:hint="eastAsia" w:ascii="Times New Roman"/>
                <w:color w:val="auto"/>
              </w:rPr>
              <w:t>职工宿舍及食堂</w:t>
            </w:r>
          </w:p>
        </w:tc>
        <w:tc>
          <w:tcPr>
            <w:tcW w:w="7643" w:type="dxa"/>
            <w:vMerge w:val="continue"/>
            <w:tcBorders>
              <w:top w:val="single" w:color="auto" w:sz="12" w:space="0"/>
              <w:left w:val="dotted" w:color="auto" w:sz="4" w:space="0"/>
              <w:bottom w:val="single" w:color="auto" w:sz="12" w:space="0"/>
              <w:right w:val="nil"/>
            </w:tcBorders>
            <w:vAlign w:val="center"/>
          </w:tcPr>
          <w:p>
            <w:pPr>
              <w:widowControl/>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426"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4.3</w:t>
            </w:r>
          </w:p>
        </w:tc>
        <w:tc>
          <w:tcPr>
            <w:tcW w:w="1569" w:type="dxa"/>
            <w:gridSpan w:val="2"/>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活动场地</w:t>
            </w:r>
          </w:p>
        </w:tc>
        <w:tc>
          <w:tcPr>
            <w:tcW w:w="7643" w:type="dxa"/>
            <w:vMerge w:val="continue"/>
            <w:tcBorders>
              <w:top w:val="single" w:color="auto" w:sz="12" w:space="0"/>
              <w:left w:val="dotted" w:color="auto" w:sz="4" w:space="0"/>
              <w:bottom w:val="single" w:color="auto" w:sz="12" w:space="0"/>
              <w:right w:val="nil"/>
            </w:tcBorders>
            <w:vAlign w:val="center"/>
          </w:tcPr>
          <w:p>
            <w:pPr>
              <w:widowControl/>
              <w:ind w:firstLine="0" w:firstLineChars="0"/>
              <w:jc w:val="left"/>
              <w:rPr>
                <w:sz w:val="21"/>
              </w:rPr>
            </w:pPr>
          </w:p>
        </w:tc>
      </w:tr>
    </w:tbl>
    <w:p>
      <w:pPr>
        <w:ind w:firstLine="480"/>
      </w:pPr>
    </w:p>
    <w:p>
      <w:pPr>
        <w:pStyle w:val="4"/>
      </w:pPr>
      <w:bookmarkStart w:id="151" w:name="_Toc13760110"/>
      <w:r>
        <w:rPr>
          <w:rFonts w:hint="eastAsia"/>
        </w:rPr>
        <w:t>3.3平面布置</w:t>
      </w:r>
      <w:bookmarkEnd w:id="151"/>
    </w:p>
    <w:p>
      <w:pPr>
        <w:pStyle w:val="161"/>
        <w:ind w:firstLine="480"/>
        <w:outlineLvl w:val="0"/>
        <w:rPr>
          <w:snapToGrid w:val="0"/>
          <w:kern w:val="0"/>
        </w:rPr>
      </w:pPr>
      <w:r>
        <w:rPr>
          <w:snapToGrid w:val="0"/>
          <w:kern w:val="0"/>
        </w:rPr>
        <w:fldChar w:fldCharType="begin"/>
      </w:r>
      <w:r>
        <w:rPr>
          <w:rFonts w:hint="eastAsia"/>
          <w:snapToGrid w:val="0"/>
          <w:kern w:val="0"/>
        </w:rPr>
        <w:instrText xml:space="preserve">= 1 \* GB2</w:instrText>
      </w:r>
      <w:r>
        <w:rPr>
          <w:snapToGrid w:val="0"/>
          <w:kern w:val="0"/>
        </w:rPr>
        <w:fldChar w:fldCharType="separate"/>
      </w:r>
      <w:bookmarkStart w:id="152" w:name="_Toc13760111"/>
      <w:bookmarkStart w:id="153" w:name="_Toc13582064"/>
      <w:r>
        <w:rPr>
          <w:rFonts w:hint="eastAsia"/>
          <w:snapToGrid w:val="0"/>
          <w:kern w:val="0"/>
        </w:rPr>
        <w:t>⑴</w:t>
      </w:r>
      <w:r>
        <w:rPr>
          <w:snapToGrid w:val="0"/>
          <w:kern w:val="0"/>
        </w:rPr>
        <w:fldChar w:fldCharType="end"/>
      </w:r>
      <w:r>
        <w:rPr>
          <w:rFonts w:hint="eastAsia"/>
          <w:snapToGrid w:val="0"/>
          <w:kern w:val="0"/>
        </w:rPr>
        <w:t>危废综合处置厂总平面布置</w:t>
      </w:r>
      <w:bookmarkEnd w:id="152"/>
      <w:bookmarkEnd w:id="153"/>
    </w:p>
    <w:p>
      <w:pPr>
        <w:ind w:firstLine="480"/>
        <w:rPr>
          <w:kern w:val="0"/>
        </w:rPr>
      </w:pPr>
      <w:r>
        <w:rPr>
          <w:rFonts w:hint="eastAsia"/>
        </w:rPr>
        <w:t>本项目将全厂划分为仓储及公用部分、生产部分、给排水部分、厂前区四大部分，总平面布置方案如下：</w:t>
      </w:r>
    </w:p>
    <w:p>
      <w:pPr>
        <w:ind w:firstLine="480"/>
      </w:pPr>
      <w:r>
        <w:rPr>
          <w:rFonts w:hint="eastAsia" w:ascii="宋体" w:hAnsi="宋体" w:cs="宋体"/>
        </w:rPr>
        <w:t>①</w:t>
      </w:r>
      <w:r>
        <w:rPr>
          <w:rFonts w:hint="eastAsia"/>
        </w:rPr>
        <w:t>仓储及公用部分</w:t>
      </w:r>
    </w:p>
    <w:p>
      <w:pPr>
        <w:ind w:firstLine="480"/>
      </w:pPr>
      <w:r>
        <w:rPr>
          <w:rFonts w:hint="eastAsia"/>
        </w:rPr>
        <w:t>本区域主要由车库及喷淋消毒间、地磅房、变配电室、备用锅炉房、综合仓库、柴油储罐、危废暂存罐区、</w:t>
      </w:r>
      <w:r>
        <w:t>1#</w:t>
      </w:r>
      <w:r>
        <w:rPr>
          <w:rFonts w:hint="eastAsia"/>
        </w:rPr>
        <w:t>废物暂存库和</w:t>
      </w:r>
      <w:r>
        <w:t>2#</w:t>
      </w:r>
      <w:r>
        <w:rPr>
          <w:rFonts w:hint="eastAsia"/>
        </w:rPr>
        <w:t>废物暂存库等组成。</w:t>
      </w:r>
    </w:p>
    <w:p>
      <w:pPr>
        <w:ind w:firstLine="480"/>
      </w:pPr>
      <w:r>
        <w:rPr>
          <w:rFonts w:hint="eastAsia" w:ascii="宋体" w:hAnsi="宋体" w:cs="宋体"/>
        </w:rPr>
        <w:t>②</w:t>
      </w:r>
      <w:r>
        <w:rPr>
          <w:rFonts w:hint="eastAsia"/>
        </w:rPr>
        <w:t>生产区</w:t>
      </w:r>
    </w:p>
    <w:p>
      <w:pPr>
        <w:ind w:firstLine="480"/>
      </w:pPr>
      <w:r>
        <w:rPr>
          <w:rFonts w:hint="eastAsia"/>
        </w:rPr>
        <w:t>本区域主要物化车间、焚烧车间，固化车间等组成。该区布置在厂区的西北和中部。</w:t>
      </w:r>
    </w:p>
    <w:p>
      <w:pPr>
        <w:ind w:firstLine="480"/>
      </w:pPr>
      <w:r>
        <w:rPr>
          <w:rFonts w:hint="eastAsia" w:ascii="宋体" w:hAnsi="宋体" w:cs="宋体"/>
        </w:rPr>
        <w:t>③</w:t>
      </w:r>
      <w:r>
        <w:rPr>
          <w:rFonts w:hint="eastAsia"/>
        </w:rPr>
        <w:t>水处理区</w:t>
      </w:r>
    </w:p>
    <w:p>
      <w:pPr>
        <w:ind w:firstLine="480"/>
      </w:pPr>
      <w:r>
        <w:rPr>
          <w:rFonts w:hint="eastAsia"/>
        </w:rPr>
        <w:t>本区域主要由生产及消防水池，废水处理系统、回用水池和事故水池、初期雨水池等组成。区域布置在厂区的中部及西南部。</w:t>
      </w:r>
    </w:p>
    <w:p>
      <w:pPr>
        <w:ind w:firstLine="480"/>
      </w:pPr>
      <w:r>
        <w:rPr>
          <w:rFonts w:hint="eastAsia" w:ascii="宋体" w:hAnsi="宋体" w:cs="宋体"/>
        </w:rPr>
        <w:t>④</w:t>
      </w:r>
      <w:r>
        <w:rPr>
          <w:rFonts w:hint="eastAsia"/>
        </w:rPr>
        <w:t>厂前区</w:t>
      </w:r>
    </w:p>
    <w:p>
      <w:pPr>
        <w:ind w:firstLine="480"/>
      </w:pPr>
      <w:r>
        <w:rPr>
          <w:rFonts w:hint="eastAsia"/>
        </w:rPr>
        <w:t>本区域主要由综合楼和职工宿舍及食堂等组成。本区域布置在厂区东部。在该区域办公楼周边的室外场地设置小汽车停车位，方便办公车辆和员工上下班车辆停车。</w:t>
      </w:r>
    </w:p>
    <w:p>
      <w:pPr>
        <w:ind w:firstLine="480"/>
      </w:pPr>
      <w:r>
        <w:rPr>
          <w:rFonts w:hint="eastAsia" w:hAnsi="宋体"/>
        </w:rPr>
        <w:t>⑤</w:t>
      </w:r>
      <w:r>
        <w:rPr>
          <w:rFonts w:hint="eastAsia"/>
        </w:rPr>
        <w:t>厂区绿化</w:t>
      </w:r>
    </w:p>
    <w:p>
      <w:pPr>
        <w:ind w:firstLine="480"/>
      </w:pPr>
      <w:r>
        <w:rPr>
          <w:rFonts w:hint="eastAsia"/>
        </w:rPr>
        <w:t>为美化厂区，减少污染，为职工创造优美的工作环境，宜对厂区进行植树绿化，树种以常青树种为宜，项目绿化率为</w:t>
      </w:r>
      <w:r>
        <w:t>30%</w:t>
      </w:r>
      <w:r>
        <w:rPr>
          <w:rFonts w:hint="eastAsia"/>
        </w:rPr>
        <w:t>。</w:t>
      </w:r>
    </w:p>
    <w:p>
      <w:pPr>
        <w:pStyle w:val="161"/>
        <w:ind w:firstLine="480"/>
        <w:outlineLvl w:val="0"/>
      </w:pPr>
      <w:r>
        <w:rPr>
          <w:rFonts w:hint="eastAsia"/>
        </w:rPr>
        <w:fldChar w:fldCharType="begin"/>
      </w:r>
      <w:r>
        <w:instrText xml:space="preserve"> = 2 \* GB2 </w:instrText>
      </w:r>
      <w:r>
        <w:rPr>
          <w:rFonts w:hint="eastAsia"/>
        </w:rPr>
        <w:fldChar w:fldCharType="separate"/>
      </w:r>
      <w:bookmarkStart w:id="154" w:name="_Toc13760112"/>
      <w:bookmarkStart w:id="155" w:name="_Toc13582065"/>
      <w:r>
        <w:rPr>
          <w:rFonts w:hint="eastAsia"/>
        </w:rPr>
        <w:t>⑵</w:t>
      </w:r>
      <w:r>
        <w:rPr>
          <w:rFonts w:hint="eastAsia"/>
        </w:rPr>
        <w:fldChar w:fldCharType="end"/>
      </w:r>
      <w:r>
        <w:rPr>
          <w:rFonts w:hint="eastAsia"/>
        </w:rPr>
        <w:t>安全填埋场总平面布置</w:t>
      </w:r>
      <w:bookmarkEnd w:id="154"/>
      <w:bookmarkEnd w:id="155"/>
    </w:p>
    <w:p>
      <w:pPr>
        <w:ind w:firstLine="480"/>
      </w:pPr>
      <w:r>
        <w:rPr>
          <w:rFonts w:hint="eastAsia"/>
        </w:rPr>
        <w:t>安全填埋场包括填埋库区，填埋坝、渗滤液调节池、洗车台、办公室、变配电室、停车场等组成。其中填埋区位于安全填埋场的东部，由西向东设置</w:t>
      </w:r>
      <w:r>
        <w:t>5</w:t>
      </w:r>
      <w:r>
        <w:rPr>
          <w:rFonts w:hint="eastAsia"/>
        </w:rPr>
        <w:t>个填埋区，渗滤液收集池位于填埋区的西侧，安全填埋场的渗滤液通过泵房和管道输送至调节池。其他辅助设施位于安全填埋场东部，运输车辆的出入口位于厂址区西部，填埋区设计为环形平台，环绕平台修建排水渠，将可能产生的进入填埋区域的径流和降水引出填埋区。修建危废坝及边坡支护工程，确保边坡的稳定。</w:t>
      </w:r>
    </w:p>
    <w:p>
      <w:pPr>
        <w:ind w:firstLine="480"/>
      </w:pPr>
      <w:r>
        <w:rPr>
          <w:rFonts w:hint="eastAsia"/>
        </w:rPr>
        <w:t>本项目危废综合处置厂总平图见图</w:t>
      </w:r>
      <w:r>
        <w:t>3.</w:t>
      </w:r>
      <w:r>
        <w:rPr>
          <w:rFonts w:hint="eastAsia"/>
        </w:rPr>
        <w:t>3—1，安全填埋场总平面布置图见图</w:t>
      </w:r>
      <w:r>
        <w:t>3.</w:t>
      </w:r>
      <w:r>
        <w:rPr>
          <w:rFonts w:hint="eastAsia"/>
        </w:rPr>
        <w:t>3—</w:t>
      </w:r>
      <w:r>
        <w:t>2</w:t>
      </w:r>
      <w:r>
        <w:rPr>
          <w:rFonts w:hint="eastAsia"/>
        </w:rPr>
        <w:t>。</w:t>
      </w:r>
    </w:p>
    <w:p>
      <w:pPr>
        <w:pStyle w:val="4"/>
      </w:pPr>
      <w:bookmarkStart w:id="156" w:name="_Toc461101805"/>
      <w:bookmarkStart w:id="157" w:name="_Toc13760113"/>
      <w:bookmarkStart w:id="158" w:name="_Toc503368862"/>
      <w:r>
        <w:rPr>
          <w:lang w:val="zh-CN"/>
        </w:rPr>
        <w:t>3.4</w:t>
      </w:r>
      <w:r>
        <w:rPr>
          <w:rFonts w:hint="eastAsia"/>
          <w:lang w:val="zh-CN"/>
        </w:rPr>
        <w:t>处理规模、</w:t>
      </w:r>
      <w:bookmarkEnd w:id="156"/>
      <w:r>
        <w:rPr>
          <w:rFonts w:hint="eastAsia"/>
          <w:lang w:val="zh-CN"/>
        </w:rPr>
        <w:t>辅助材料和能源消耗</w:t>
      </w:r>
      <w:bookmarkEnd w:id="157"/>
      <w:bookmarkEnd w:id="158"/>
    </w:p>
    <w:p>
      <w:pPr>
        <w:pStyle w:val="178"/>
        <w:snapToGrid w:val="0"/>
        <w:ind w:firstLine="480"/>
        <w:rPr>
          <w:rFonts w:ascii="Times New Roman" w:hAnsi="Times New Roman"/>
        </w:rPr>
      </w:pPr>
      <w:r>
        <w:rPr>
          <w:rFonts w:ascii="Times New Roman" w:hAnsi="Times New Roman"/>
        </w:rPr>
        <w:fldChar w:fldCharType="begin"/>
      </w:r>
      <w:r>
        <w:rPr>
          <w:rFonts w:hint="eastAsia" w:ascii="Times New Roman" w:hAnsi="Times New Roman"/>
        </w:rPr>
        <w:instrText xml:space="preserve">= 1 \* GB2</w:instrText>
      </w:r>
      <w:r>
        <w:rPr>
          <w:rFonts w:ascii="Times New Roman" w:hAnsi="Times New Roman"/>
        </w:rPr>
        <w:fldChar w:fldCharType="separate"/>
      </w:r>
      <w:r>
        <w:rPr>
          <w:rFonts w:hint="eastAsia" w:ascii="Times New Roman" w:hAnsi="Times New Roman"/>
        </w:rPr>
        <w:t>⑴</w:t>
      </w:r>
      <w:r>
        <w:rPr>
          <w:rFonts w:ascii="Times New Roman" w:hAnsi="Times New Roman"/>
        </w:rPr>
        <w:fldChar w:fldCharType="end"/>
      </w:r>
      <w:r>
        <w:rPr>
          <w:rFonts w:hint="eastAsia" w:ascii="Times New Roman" w:hAnsi="Times New Roman"/>
        </w:rPr>
        <w:t>处理规模</w:t>
      </w:r>
    </w:p>
    <w:p>
      <w:pPr>
        <w:pStyle w:val="178"/>
        <w:snapToGrid w:val="0"/>
        <w:ind w:firstLine="480"/>
        <w:rPr>
          <w:rFonts w:ascii="Times New Roman" w:hAnsi="Times New Roman"/>
        </w:rPr>
      </w:pPr>
      <w:r>
        <w:rPr>
          <w:rFonts w:hint="eastAsia" w:ascii="Times New Roman" w:hAnsi="Times New Roman"/>
        </w:rPr>
        <w:t>本项目主要处置腾格里经济技术开发区各企业产生的特定危险废物及周边相关地区</w:t>
      </w:r>
      <w:r>
        <w:rPr>
          <w:rFonts w:ascii="Times New Roman" w:hAnsi="Times New Roman"/>
        </w:rPr>
        <w:t>(</w:t>
      </w:r>
      <w:r>
        <w:rPr>
          <w:rFonts w:hint="eastAsia" w:ascii="Times New Roman" w:hAnsi="Times New Roman"/>
        </w:rPr>
        <w:t>如</w:t>
      </w:r>
      <w:bookmarkStart w:id="159" w:name="OLE_LINK13"/>
      <w:bookmarkStart w:id="160" w:name="OLE_LINK16"/>
      <w:r>
        <w:rPr>
          <w:rFonts w:hint="eastAsia" w:ascii="Times New Roman" w:hAnsi="Times New Roman"/>
        </w:rPr>
        <w:t>阿拉善经济技术开发区、中卫市各工业企业</w:t>
      </w:r>
      <w:bookmarkEnd w:id="159"/>
      <w:bookmarkEnd w:id="160"/>
      <w:r>
        <w:rPr>
          <w:rFonts w:hint="eastAsia" w:ascii="Times New Roman" w:hAnsi="Times New Roman"/>
        </w:rPr>
        <w:t>等</w:t>
      </w:r>
      <w:r>
        <w:rPr>
          <w:rFonts w:ascii="Times New Roman" w:hAnsi="Times New Roman"/>
        </w:rPr>
        <w:t>)</w:t>
      </w:r>
      <w:r>
        <w:rPr>
          <w:rFonts w:hint="eastAsia" w:ascii="Times New Roman" w:hAnsi="Times New Roman"/>
        </w:rPr>
        <w:t>产生的特定危险废物。本项目拟处置的危险废物处理能力、处置类别和方式见表</w:t>
      </w:r>
      <w:r>
        <w:rPr>
          <w:rFonts w:ascii="Times New Roman" w:hAnsi="Times New Roman"/>
        </w:rPr>
        <w:t>3.4</w:t>
      </w:r>
      <w:r>
        <w:rPr>
          <w:rFonts w:hint="eastAsia" w:ascii="Times New Roman" w:hAnsi="Times New Roman"/>
        </w:rPr>
        <w:t>—1。</w:t>
      </w:r>
    </w:p>
    <w:p>
      <w:pPr>
        <w:ind w:firstLine="480"/>
      </w:pPr>
    </w:p>
    <w:p>
      <w:pPr>
        <w:ind w:firstLine="480"/>
      </w:pPr>
    </w:p>
    <w:p>
      <w:pPr>
        <w:ind w:firstLine="480"/>
      </w:pPr>
    </w:p>
    <w:p>
      <w:pPr>
        <w:widowControl/>
        <w:ind w:firstLine="480"/>
        <w:jc w:val="left"/>
        <w:rPr>
          <w:rFonts w:ascii="宋体" w:hAnsi="Courier New"/>
          <w:kern w:val="0"/>
        </w:rPr>
        <w:sectPr>
          <w:pgSz w:w="11906" w:h="16838"/>
          <w:pgMar w:top="1418" w:right="1134" w:bottom="1418" w:left="1134" w:header="850" w:footer="850" w:gutter="0"/>
          <w:cols w:space="720" w:num="1"/>
          <w:docGrid w:linePitch="326" w:charSpace="0"/>
        </w:sectPr>
      </w:pPr>
    </w:p>
    <w:p>
      <w:pPr>
        <w:ind w:firstLine="480"/>
      </w:pPr>
      <w:r>
        <w:rPr>
          <w:rFonts w:hint="eastAsia"/>
        </w:rPr>
        <w:t>表</w:t>
      </w:r>
      <w:r>
        <w:t>3.4</w:t>
      </w:r>
      <w:r>
        <w:rPr>
          <w:rFonts w:hint="eastAsia"/>
        </w:rPr>
        <w:t>—1外来危险废物处理量、处置类别和方式一览表</w:t>
      </w:r>
    </w:p>
    <w:tbl>
      <w:tblPr>
        <w:tblStyle w:val="88"/>
        <w:tblW w:w="14786" w:type="dxa"/>
        <w:tblInd w:w="0" w:type="dxa"/>
        <w:tblLayout w:type="fixed"/>
        <w:tblCellMar>
          <w:top w:w="0" w:type="dxa"/>
          <w:left w:w="108" w:type="dxa"/>
          <w:bottom w:w="0" w:type="dxa"/>
          <w:right w:w="108" w:type="dxa"/>
        </w:tblCellMar>
      </w:tblPr>
      <w:tblGrid>
        <w:gridCol w:w="1753"/>
        <w:gridCol w:w="637"/>
        <w:gridCol w:w="994"/>
        <w:gridCol w:w="12"/>
        <w:gridCol w:w="1990"/>
        <w:gridCol w:w="1641"/>
        <w:gridCol w:w="4139"/>
        <w:gridCol w:w="1206"/>
        <w:gridCol w:w="1447"/>
        <w:gridCol w:w="967"/>
      </w:tblGrid>
      <w:tr>
        <w:tblPrEx>
          <w:tblCellMar>
            <w:top w:w="0" w:type="dxa"/>
            <w:left w:w="108" w:type="dxa"/>
            <w:bottom w:w="0" w:type="dxa"/>
            <w:right w:w="108" w:type="dxa"/>
          </w:tblCellMar>
        </w:tblPrEx>
        <w:trPr>
          <w:trHeight w:val="284" w:hRule="atLeast"/>
        </w:trPr>
        <w:tc>
          <w:tcPr>
            <w:tcW w:w="1753" w:type="dxa"/>
            <w:tcBorders>
              <w:top w:val="single" w:color="000000" w:sz="12" w:space="0"/>
              <w:bottom w:val="single" w:color="auto" w:sz="12" w:space="0"/>
              <w:right w:val="dotted" w:color="auto" w:sz="4" w:space="0"/>
            </w:tcBorders>
          </w:tcPr>
          <w:p>
            <w:pPr>
              <w:snapToGrid w:val="0"/>
              <w:spacing w:line="240" w:lineRule="atLeast"/>
              <w:ind w:firstLine="0" w:firstLineChars="0"/>
              <w:rPr>
                <w:sz w:val="21"/>
              </w:rPr>
            </w:pPr>
            <w:r>
              <w:rPr>
                <w:rFonts w:hint="eastAsia"/>
                <w:sz w:val="21"/>
              </w:rPr>
              <w:t>处置方式</w:t>
            </w:r>
          </w:p>
        </w:tc>
        <w:tc>
          <w:tcPr>
            <w:tcW w:w="637" w:type="dxa"/>
            <w:tcBorders>
              <w:top w:val="single" w:color="000000" w:sz="12" w:space="0"/>
              <w:left w:val="dotted" w:color="auto" w:sz="4" w:space="0"/>
              <w:bottom w:val="single" w:color="auto" w:sz="12" w:space="0"/>
              <w:right w:val="dotted" w:color="auto" w:sz="4" w:space="0"/>
            </w:tcBorders>
          </w:tcPr>
          <w:p>
            <w:pPr>
              <w:snapToGrid w:val="0"/>
              <w:spacing w:line="240" w:lineRule="atLeast"/>
              <w:ind w:firstLine="0" w:firstLineChars="0"/>
              <w:rPr>
                <w:sz w:val="21"/>
              </w:rPr>
            </w:pPr>
            <w:r>
              <w:rPr>
                <w:rFonts w:hint="eastAsia"/>
                <w:sz w:val="21"/>
              </w:rPr>
              <w:t>序号</w:t>
            </w:r>
          </w:p>
        </w:tc>
        <w:tc>
          <w:tcPr>
            <w:tcW w:w="994" w:type="dxa"/>
            <w:tcBorders>
              <w:top w:val="single" w:color="000000" w:sz="12" w:space="0"/>
              <w:left w:val="dotted" w:color="auto" w:sz="4" w:space="0"/>
              <w:bottom w:val="single" w:color="auto" w:sz="12" w:space="0"/>
              <w:right w:val="dotted" w:color="auto" w:sz="4" w:space="0"/>
            </w:tcBorders>
          </w:tcPr>
          <w:p>
            <w:pPr>
              <w:snapToGrid w:val="0"/>
              <w:spacing w:line="240" w:lineRule="atLeast"/>
              <w:ind w:firstLine="0" w:firstLineChars="0"/>
              <w:rPr>
                <w:sz w:val="21"/>
              </w:rPr>
            </w:pPr>
            <w:r>
              <w:rPr>
                <w:rFonts w:hint="eastAsia"/>
                <w:sz w:val="21"/>
              </w:rPr>
              <w:t>废物编号</w:t>
            </w:r>
          </w:p>
        </w:tc>
        <w:tc>
          <w:tcPr>
            <w:tcW w:w="2002" w:type="dxa"/>
            <w:gridSpan w:val="2"/>
            <w:tcBorders>
              <w:top w:val="single" w:color="000000" w:sz="12" w:space="0"/>
              <w:left w:val="dotted" w:color="auto" w:sz="4" w:space="0"/>
              <w:bottom w:val="single" w:color="auto" w:sz="12" w:space="0"/>
              <w:right w:val="dotted" w:color="auto" w:sz="4" w:space="0"/>
            </w:tcBorders>
          </w:tcPr>
          <w:p>
            <w:pPr>
              <w:snapToGrid w:val="0"/>
              <w:spacing w:line="240" w:lineRule="atLeast"/>
              <w:ind w:firstLine="0" w:firstLineChars="0"/>
              <w:rPr>
                <w:sz w:val="21"/>
              </w:rPr>
            </w:pPr>
            <w:r>
              <w:rPr>
                <w:rFonts w:hint="eastAsia"/>
                <w:sz w:val="21"/>
              </w:rPr>
              <w:t>废物类别</w:t>
            </w:r>
          </w:p>
        </w:tc>
        <w:tc>
          <w:tcPr>
            <w:tcW w:w="1641" w:type="dxa"/>
            <w:tcBorders>
              <w:top w:val="single" w:color="000000" w:sz="12" w:space="0"/>
              <w:left w:val="dotted" w:color="auto" w:sz="4" w:space="0"/>
              <w:bottom w:val="single" w:color="auto" w:sz="12" w:space="0"/>
              <w:right w:val="dotted" w:color="auto" w:sz="4" w:space="0"/>
            </w:tcBorders>
          </w:tcPr>
          <w:p>
            <w:pPr>
              <w:snapToGrid w:val="0"/>
              <w:spacing w:line="240" w:lineRule="atLeast"/>
              <w:ind w:firstLine="0" w:firstLineChars="0"/>
              <w:rPr>
                <w:sz w:val="21"/>
              </w:rPr>
            </w:pPr>
            <w:r>
              <w:rPr>
                <w:rFonts w:hint="eastAsia"/>
                <w:sz w:val="21"/>
              </w:rPr>
              <w:t>本项目处理能力</w:t>
            </w:r>
          </w:p>
          <w:p>
            <w:pPr>
              <w:snapToGrid w:val="0"/>
              <w:spacing w:line="240" w:lineRule="atLeast"/>
              <w:ind w:firstLine="0" w:firstLineChars="0"/>
              <w:rPr>
                <w:sz w:val="21"/>
              </w:rPr>
            </w:pPr>
            <w:r>
              <w:rPr>
                <w:sz w:val="21"/>
              </w:rPr>
              <w:t>(t/a)</w:t>
            </w:r>
          </w:p>
        </w:tc>
        <w:tc>
          <w:tcPr>
            <w:tcW w:w="4139" w:type="dxa"/>
            <w:tcBorders>
              <w:top w:val="single" w:color="000000" w:sz="12" w:space="0"/>
              <w:left w:val="dotted" w:color="auto" w:sz="4" w:space="0"/>
              <w:bottom w:val="single" w:color="auto" w:sz="12" w:space="0"/>
              <w:right w:val="dotted" w:color="auto" w:sz="4" w:space="0"/>
            </w:tcBorders>
          </w:tcPr>
          <w:p>
            <w:pPr>
              <w:snapToGrid w:val="0"/>
              <w:spacing w:line="240" w:lineRule="atLeast"/>
              <w:ind w:firstLine="0" w:firstLineChars="0"/>
              <w:rPr>
                <w:sz w:val="21"/>
              </w:rPr>
            </w:pPr>
            <w:r>
              <w:rPr>
                <w:rFonts w:hint="eastAsia"/>
                <w:sz w:val="21"/>
              </w:rPr>
              <w:t>来源</w:t>
            </w:r>
          </w:p>
        </w:tc>
        <w:tc>
          <w:tcPr>
            <w:tcW w:w="1206" w:type="dxa"/>
            <w:tcBorders>
              <w:top w:val="single" w:color="000000" w:sz="12" w:space="0"/>
              <w:left w:val="dotted" w:color="auto" w:sz="4" w:space="0"/>
              <w:bottom w:val="single" w:color="auto" w:sz="12" w:space="0"/>
              <w:right w:val="dotted" w:color="auto" w:sz="4" w:space="0"/>
            </w:tcBorders>
          </w:tcPr>
          <w:p>
            <w:pPr>
              <w:snapToGrid w:val="0"/>
              <w:spacing w:line="240" w:lineRule="atLeast"/>
              <w:ind w:firstLine="0" w:firstLineChars="0"/>
              <w:rPr>
                <w:sz w:val="21"/>
              </w:rPr>
            </w:pPr>
            <w:r>
              <w:rPr>
                <w:rFonts w:hint="eastAsia"/>
                <w:sz w:val="21"/>
              </w:rPr>
              <w:t>形态</w:t>
            </w:r>
          </w:p>
        </w:tc>
        <w:tc>
          <w:tcPr>
            <w:tcW w:w="1447" w:type="dxa"/>
            <w:tcBorders>
              <w:top w:val="single" w:color="000000" w:sz="12" w:space="0"/>
              <w:left w:val="dotted" w:color="auto" w:sz="4" w:space="0"/>
              <w:bottom w:val="single" w:color="auto" w:sz="12" w:space="0"/>
              <w:right w:val="dotted" w:color="auto" w:sz="4" w:space="0"/>
            </w:tcBorders>
          </w:tcPr>
          <w:p>
            <w:pPr>
              <w:snapToGrid w:val="0"/>
              <w:spacing w:line="240" w:lineRule="atLeast"/>
              <w:ind w:firstLine="0" w:firstLineChars="0"/>
              <w:rPr>
                <w:sz w:val="21"/>
              </w:rPr>
            </w:pPr>
            <w:r>
              <w:rPr>
                <w:rFonts w:hint="eastAsia"/>
                <w:sz w:val="21"/>
              </w:rPr>
              <w:t>性质</w:t>
            </w:r>
          </w:p>
        </w:tc>
        <w:tc>
          <w:tcPr>
            <w:tcW w:w="967" w:type="dxa"/>
            <w:tcBorders>
              <w:top w:val="single" w:color="000000" w:sz="12" w:space="0"/>
              <w:left w:val="dotted" w:color="auto" w:sz="4" w:space="0"/>
              <w:bottom w:val="single" w:color="auto" w:sz="12" w:space="0"/>
            </w:tcBorders>
          </w:tcPr>
          <w:p>
            <w:pPr>
              <w:snapToGrid w:val="0"/>
              <w:spacing w:line="240" w:lineRule="atLeast"/>
              <w:ind w:firstLine="0" w:firstLineChars="0"/>
              <w:rPr>
                <w:sz w:val="21"/>
              </w:rPr>
            </w:pPr>
            <w:r>
              <w:rPr>
                <w:rFonts w:hint="eastAsia"/>
                <w:sz w:val="21"/>
              </w:rPr>
              <w:t>备注</w:t>
            </w:r>
          </w:p>
        </w:tc>
      </w:tr>
      <w:tr>
        <w:tblPrEx>
          <w:tblCellMar>
            <w:top w:w="0" w:type="dxa"/>
            <w:left w:w="108" w:type="dxa"/>
            <w:bottom w:w="0" w:type="dxa"/>
            <w:right w:w="108" w:type="dxa"/>
          </w:tblCellMar>
        </w:tblPrEx>
        <w:trPr>
          <w:trHeight w:val="284" w:hRule="atLeast"/>
        </w:trPr>
        <w:tc>
          <w:tcPr>
            <w:tcW w:w="1753" w:type="dxa"/>
            <w:vMerge w:val="restart"/>
            <w:tcBorders>
              <w:top w:val="dotted" w:color="auto" w:sz="4" w:space="0"/>
              <w:left w:val="nil"/>
              <w:bottom w:val="dotted" w:color="auto" w:sz="4" w:space="0"/>
              <w:right w:val="dotted" w:color="auto" w:sz="4" w:space="0"/>
            </w:tcBorders>
          </w:tcPr>
          <w:p>
            <w:pPr>
              <w:snapToGrid w:val="0"/>
              <w:spacing w:line="240" w:lineRule="atLeast"/>
              <w:ind w:firstLine="0" w:firstLineChars="0"/>
              <w:rPr>
                <w:sz w:val="21"/>
              </w:rPr>
            </w:pPr>
            <w:r>
              <w:rPr>
                <w:rFonts w:hint="eastAsia"/>
                <w:sz w:val="21"/>
              </w:rPr>
              <w:t>物化</w:t>
            </w: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HW34</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废酸</w:t>
            </w:r>
          </w:p>
        </w:tc>
        <w:tc>
          <w:tcPr>
            <w:tcW w:w="1641"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1000</w:t>
            </w:r>
          </w:p>
        </w:tc>
        <w:tc>
          <w:tcPr>
            <w:tcW w:w="4139" w:type="dxa"/>
            <w:tcBorders>
              <w:top w:val="dotted" w:color="auto" w:sz="4" w:space="0"/>
              <w:left w:val="dotted" w:color="auto" w:sz="4" w:space="0"/>
              <w:bottom w:val="dotted" w:color="auto" w:sz="4" w:space="0"/>
              <w:right w:val="dotted" w:color="auto" w:sz="4" w:space="0"/>
            </w:tcBorders>
          </w:tcPr>
          <w:p>
            <w:pPr>
              <w:adjustRightInd w:val="0"/>
              <w:snapToGrid w:val="0"/>
              <w:spacing w:line="240" w:lineRule="atLeast"/>
              <w:ind w:firstLine="0" w:firstLineChars="0"/>
              <w:rPr>
                <w:sz w:val="21"/>
              </w:rPr>
            </w:pPr>
            <w:r>
              <w:rPr>
                <w:rFonts w:hint="eastAsia"/>
                <w:sz w:val="21"/>
              </w:rPr>
              <w:t>来自化学品制造、</w:t>
            </w:r>
            <w:r>
              <w:rPr>
                <w:sz w:val="21"/>
              </w:rPr>
              <w:t>PVC</w:t>
            </w:r>
            <w:r>
              <w:rPr>
                <w:rFonts w:hint="eastAsia"/>
                <w:sz w:val="21"/>
              </w:rPr>
              <w:t>制造等行业的各类废酸</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液态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反应性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HW35</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废碱</w:t>
            </w:r>
          </w:p>
        </w:tc>
        <w:tc>
          <w:tcPr>
            <w:tcW w:w="1641"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1000</w:t>
            </w:r>
          </w:p>
        </w:tc>
        <w:tc>
          <w:tcPr>
            <w:tcW w:w="4139" w:type="dxa"/>
            <w:tcBorders>
              <w:top w:val="dotted" w:color="auto" w:sz="4" w:space="0"/>
              <w:left w:val="dotted" w:color="auto" w:sz="4" w:space="0"/>
              <w:bottom w:val="dotted" w:color="auto" w:sz="4" w:space="0"/>
              <w:right w:val="dotted" w:color="auto" w:sz="4" w:space="0"/>
            </w:tcBorders>
          </w:tcPr>
          <w:p>
            <w:pPr>
              <w:adjustRightInd w:val="0"/>
              <w:snapToGrid w:val="0"/>
              <w:spacing w:line="240" w:lineRule="atLeast"/>
              <w:ind w:firstLine="0" w:firstLineChars="0"/>
              <w:rPr>
                <w:sz w:val="21"/>
              </w:rPr>
            </w:pPr>
            <w:r>
              <w:rPr>
                <w:rFonts w:hint="eastAsia"/>
                <w:sz w:val="21"/>
              </w:rPr>
              <w:t>来自化学品制造、造纸等行业产生的各类废碱</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反应性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HW09</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废乳化液</w:t>
            </w:r>
          </w:p>
        </w:tc>
        <w:tc>
          <w:tcPr>
            <w:tcW w:w="1641"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200</w:t>
            </w: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非特定行业生产过程中产生的废乳化液</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液态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restart"/>
            <w:tcBorders>
              <w:top w:val="dotted" w:color="auto" w:sz="4" w:space="0"/>
              <w:left w:val="nil"/>
              <w:bottom w:val="dotted" w:color="auto" w:sz="4" w:space="0"/>
              <w:right w:val="dotted" w:color="auto" w:sz="4" w:space="0"/>
            </w:tcBorders>
          </w:tcPr>
          <w:p>
            <w:pPr>
              <w:snapToGrid w:val="0"/>
              <w:spacing w:line="240" w:lineRule="atLeast"/>
              <w:ind w:firstLine="0" w:firstLineChars="0"/>
              <w:rPr>
                <w:sz w:val="21"/>
              </w:rPr>
            </w:pPr>
            <w:r>
              <w:rPr>
                <w:rFonts w:hint="eastAsia"/>
                <w:sz w:val="21"/>
              </w:rPr>
              <w:t>焚烧</w:t>
            </w: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4</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HW02</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医药废物</w:t>
            </w:r>
          </w:p>
        </w:tc>
        <w:tc>
          <w:tcPr>
            <w:tcW w:w="1641" w:type="dxa"/>
            <w:vMerge w:val="restart"/>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4950</w:t>
            </w: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化学及生物药品制造过程中产生的废物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5</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HW03</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废药物、药品</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rFonts w:ascii="宋体" w:cs="宋体"/>
                <w:sz w:val="21"/>
              </w:rPr>
            </w:pPr>
            <w:r>
              <w:rPr>
                <w:rFonts w:hint="eastAsia" w:ascii="宋体" w:cs="宋体"/>
                <w:sz w:val="21"/>
              </w:rPr>
              <w:t>生产、销售及使用过程中产生的失效、变质、不合格、淘汰的药物及药品</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6</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HW04</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农药废物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农药生产过程产生的固体废物、报废药品及过期原料</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7</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HW05</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木材防腐剂废物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专用化学品制造过程或销售及使用过程中产生的</w:t>
            </w:r>
            <w:r>
              <w:rPr>
                <w:rFonts w:hint="eastAsia" w:ascii="宋体" w:cs="宋体"/>
                <w:sz w:val="21"/>
              </w:rPr>
              <w:t>失效、变质、不合格、淘汰、伪劣的木材防腐剂产品</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8</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HW06</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废有机溶剂</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基础化学原料制造过程产生的固体废物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液态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易燃性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9</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HW08</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废矿物油</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炼油、油墨、粘合剂生产及非特定行业产生的废矿物油、油脂、油泥等</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半固态</w:t>
            </w:r>
            <w:r>
              <w:rPr>
                <w:sz w:val="21"/>
              </w:rPr>
              <w:t>/</w:t>
            </w:r>
            <w:r>
              <w:rPr>
                <w:rFonts w:hint="eastAsia"/>
                <w:sz w:val="21"/>
              </w:rPr>
              <w:t>液态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易燃性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10</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HW09</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油</w:t>
            </w:r>
            <w:r>
              <w:rPr>
                <w:sz w:val="21"/>
              </w:rPr>
              <w:t>/</w:t>
            </w:r>
            <w:r>
              <w:rPr>
                <w:rFonts w:hint="eastAsia"/>
                <w:sz w:val="21"/>
              </w:rPr>
              <w:t>水、烃</w:t>
            </w:r>
            <w:r>
              <w:rPr>
                <w:sz w:val="21"/>
              </w:rPr>
              <w:t>/</w:t>
            </w:r>
            <w:r>
              <w:rPr>
                <w:rFonts w:hint="eastAsia"/>
                <w:sz w:val="21"/>
              </w:rPr>
              <w:t>水混合物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非特定行业产生的各种油水、烃水混合物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液态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易燃性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11</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HW11</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精馏残渣</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石油炼制、炼焦、废油再生及其他精炼等行业产生的焦油、馏分等物质</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r>
              <w:rPr>
                <w:sz w:val="21"/>
              </w:rPr>
              <w:t>/</w:t>
            </w:r>
            <w:r>
              <w:rPr>
                <w:rFonts w:hint="eastAsia"/>
                <w:sz w:val="21"/>
              </w:rPr>
              <w:t>半固态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易燃性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12</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HW12</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染料、涂料废物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化学品原料生产、制造及非特定行业产生的废料</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易燃性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13</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HW13</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有机树脂废物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树脂、乳胶、增塑剂、胶水</w:t>
            </w:r>
            <w:r>
              <w:rPr>
                <w:sz w:val="21"/>
              </w:rPr>
              <w:t>/</w:t>
            </w:r>
            <w:r>
              <w:rPr>
                <w:rFonts w:hint="eastAsia" w:ascii="宋体" w:cs="宋体"/>
                <w:sz w:val="21"/>
              </w:rPr>
              <w:t>胶合剂及非特定行业制造中产生的废物、废液及不合格品等</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r>
              <w:rPr>
                <w:sz w:val="21"/>
              </w:rPr>
              <w:t>/</w:t>
            </w:r>
            <w:r>
              <w:rPr>
                <w:rFonts w:hint="eastAsia"/>
                <w:sz w:val="21"/>
              </w:rPr>
              <w:t>半固态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易燃性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14</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HW14</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新化学物质废物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rFonts w:ascii="宋体" w:cs="宋体"/>
                <w:sz w:val="21"/>
              </w:rPr>
            </w:pPr>
            <w:r>
              <w:rPr>
                <w:rFonts w:hint="eastAsia" w:ascii="宋体" w:cs="宋体"/>
                <w:sz w:val="21"/>
              </w:rPr>
              <w:t>研究、开发和教学活动中产生的对人类或环境影响不明的化学物质废物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r>
              <w:rPr>
                <w:sz w:val="21"/>
              </w:rPr>
              <w:t>/</w:t>
            </w:r>
            <w:r>
              <w:rPr>
                <w:rFonts w:hint="eastAsia"/>
                <w:sz w:val="21"/>
              </w:rPr>
              <w:t>半固态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易燃性</w:t>
            </w:r>
            <w:r>
              <w:rPr>
                <w:sz w:val="21"/>
              </w:rPr>
              <w:t>/</w:t>
            </w:r>
            <w:r>
              <w:rPr>
                <w:rFonts w:hint="eastAsia"/>
                <w:sz w:val="21"/>
              </w:rPr>
              <w:t>反应性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15</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HW37</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有机磷化合物废物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化学品制造及非特定行业产生的含有机磷的反应残余物、燃油等</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r>
              <w:rPr>
                <w:sz w:val="21"/>
              </w:rPr>
              <w:t>/</w:t>
            </w:r>
            <w:r>
              <w:rPr>
                <w:rFonts w:hint="eastAsia"/>
                <w:sz w:val="21"/>
              </w:rPr>
              <w:t>半固态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16</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HW38</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有机氰化物废物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化学品制造业产生的含有机氰化物的反应残余物、介质及残渣等</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r>
              <w:rPr>
                <w:sz w:val="21"/>
              </w:rPr>
              <w:t>/</w:t>
            </w:r>
            <w:r>
              <w:rPr>
                <w:rFonts w:hint="eastAsia"/>
                <w:sz w:val="21"/>
              </w:rPr>
              <w:t>半固态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17</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HW39</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含酚废物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化学品制造业产生的含酚的反应残余物、介质及残渣等</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r>
              <w:rPr>
                <w:sz w:val="21"/>
              </w:rPr>
              <w:t>/</w:t>
            </w:r>
            <w:r>
              <w:rPr>
                <w:rFonts w:hint="eastAsia"/>
                <w:sz w:val="21"/>
              </w:rPr>
              <w:t>半固态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18</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HW40</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含醚废物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化学品制造业产生的含酚的反应残余物、介质及残渣等</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液态</w:t>
            </w:r>
            <w:r>
              <w:rPr>
                <w:sz w:val="21"/>
              </w:rPr>
              <w:t>/</w:t>
            </w:r>
            <w:r>
              <w:rPr>
                <w:rFonts w:hint="eastAsia"/>
                <w:sz w:val="21"/>
              </w:rPr>
              <w:t>半固态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19</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HW45</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含有机卤化物废物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含卤化有机溶剂废液、废渣、污泥等</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r>
              <w:rPr>
                <w:sz w:val="21"/>
              </w:rPr>
              <w:t>/</w:t>
            </w:r>
            <w:r>
              <w:rPr>
                <w:rFonts w:hint="eastAsia"/>
                <w:sz w:val="21"/>
              </w:rPr>
              <w:t>液态</w:t>
            </w:r>
            <w:r>
              <w:rPr>
                <w:sz w:val="21"/>
              </w:rPr>
              <w:t>/</w:t>
            </w:r>
            <w:r>
              <w:rPr>
                <w:rFonts w:hint="eastAsia"/>
                <w:sz w:val="21"/>
              </w:rPr>
              <w:t>半固态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易燃性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dotted" w:color="auto" w:sz="4"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20</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HW49</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其他废物</w:t>
            </w:r>
          </w:p>
        </w:tc>
        <w:tc>
          <w:tcPr>
            <w:tcW w:w="1641" w:type="dxa"/>
            <w:vMerge w:val="continue"/>
            <w:tcBorders>
              <w:top w:val="dotted" w:color="auto" w:sz="4" w:space="0"/>
              <w:left w:val="dotted" w:color="auto" w:sz="4" w:space="0"/>
              <w:bottom w:val="dotted" w:color="auto" w:sz="4"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化工行业产生的废活性炭</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r>
              <w:rPr>
                <w:sz w:val="21"/>
              </w:rPr>
              <w:t>/</w:t>
            </w:r>
            <w:r>
              <w:rPr>
                <w:rFonts w:hint="eastAsia"/>
                <w:sz w:val="21"/>
              </w:rPr>
              <w:t>易燃性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347" w:hRule="atLeast"/>
        </w:trPr>
        <w:tc>
          <w:tcPr>
            <w:tcW w:w="1753" w:type="dxa"/>
            <w:vMerge w:val="restart"/>
            <w:tcBorders>
              <w:top w:val="dotted" w:color="auto" w:sz="4" w:space="0"/>
              <w:left w:val="nil"/>
              <w:bottom w:val="single" w:color="000000" w:sz="12" w:space="0"/>
              <w:right w:val="dotted" w:color="auto" w:sz="4" w:space="0"/>
            </w:tcBorders>
          </w:tcPr>
          <w:p>
            <w:pPr>
              <w:snapToGrid w:val="0"/>
              <w:spacing w:line="240" w:lineRule="atLeast"/>
              <w:ind w:firstLine="0" w:firstLineChars="0"/>
              <w:rPr>
                <w:sz w:val="21"/>
              </w:rPr>
            </w:pPr>
            <w:r>
              <w:rPr>
                <w:rFonts w:hint="eastAsia"/>
                <w:sz w:val="21"/>
              </w:rPr>
              <w:t>固化</w:t>
            </w: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21</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HW17</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表面处理废物</w:t>
            </w:r>
          </w:p>
        </w:tc>
        <w:tc>
          <w:tcPr>
            <w:tcW w:w="1641" w:type="dxa"/>
            <w:vMerge w:val="restart"/>
            <w:tcBorders>
              <w:top w:val="dotted" w:color="auto" w:sz="4" w:space="0"/>
              <w:left w:val="dotted" w:color="auto" w:sz="4" w:space="0"/>
              <w:bottom w:val="single" w:color="000000" w:sz="12" w:space="0"/>
              <w:right w:val="dotted" w:color="auto" w:sz="4" w:space="0"/>
            </w:tcBorders>
          </w:tcPr>
          <w:p>
            <w:pPr>
              <w:snapToGrid w:val="0"/>
              <w:spacing w:line="240" w:lineRule="atLeast"/>
              <w:ind w:firstLine="0" w:firstLineChars="0"/>
              <w:rPr>
                <w:sz w:val="21"/>
              </w:rPr>
            </w:pPr>
            <w:r>
              <w:rPr>
                <w:sz w:val="21"/>
              </w:rPr>
              <w:t>19800</w:t>
            </w: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rFonts w:ascii="宋体" w:cs="宋体"/>
                <w:sz w:val="21"/>
              </w:rPr>
            </w:pPr>
            <w:r>
              <w:rPr>
                <w:rFonts w:hint="eastAsia" w:ascii="宋体" w:cs="宋体"/>
                <w:sz w:val="21"/>
              </w:rPr>
              <w:t>金属表面处理及热处理加工行业产生的废水处理污泥</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347"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22</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HW18</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焚烧处置残渣</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rFonts w:ascii="宋体" w:cs="宋体"/>
                <w:sz w:val="21"/>
              </w:rPr>
            </w:pPr>
            <w:r>
              <w:rPr>
                <w:rFonts w:hint="eastAsia" w:ascii="宋体" w:cs="宋体"/>
                <w:sz w:val="21"/>
              </w:rPr>
              <w:t>生活垃圾焚烧产生的废灰，以及危废焚烧、热解过程中产生的灰渣及玻璃态物质</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23</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HW19</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含金属羰基化合物废物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金属羰基化合物生产、使用过程中产生的含有羰基化合物成分的废物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24</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HW20</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含铍废物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铍及化合物生产过程中产生的熔渣、粉尘和废水处理污泥</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25</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HW21</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含铬废物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毛皮制品、印刷品、化学原料制造、合金制造和金属表面加工产生的含铬废物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26</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HW22</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含铜废物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各类含铜固体废物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27</w:t>
            </w:r>
          </w:p>
        </w:tc>
        <w:tc>
          <w:tcPr>
            <w:tcW w:w="994"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HW23</w:t>
            </w:r>
          </w:p>
        </w:tc>
        <w:tc>
          <w:tcPr>
            <w:tcW w:w="2002"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含锌废物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热镀锌助焊剂，废锌浆，使用氢氧化钠、锌粉进行贵金属沉淀过程中产生的废液及废水处理污泥</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28</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HW24</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含砷废物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含砷化合物金属矿石采选过程中产生的粉尘</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29</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HW25</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含硒废物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硒化合物生产过程中产生的熔渣粉尘及水处理污泥</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30</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HW26</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含镉废物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镉镍电池生产产生的废渣和水处理污泥</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31</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HW27</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w:t>
            </w:r>
            <w:r>
              <w:rPr>
                <w:rFonts w:hint="eastAsia" w:ascii="宋体" w:cs="宋体"/>
                <w:sz w:val="21"/>
              </w:rPr>
              <w:t>锑</w:t>
            </w:r>
            <w:r>
              <w:rPr>
                <w:rFonts w:hint="eastAsia"/>
                <w:sz w:val="21"/>
              </w:rPr>
              <w:t>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氧化锑、锑金属及粗氧化锑生产过程中产生的粉尘及熔渣</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32</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HW28</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含碲废物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碲化合物生产过程中产生的熔渣粉尘及水处理污泥</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33</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HW29</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含汞废物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各类含汞固体废物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34</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HW30</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含铊废物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铊及化合物生产过程中产生的粉尘及水处理污泥</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91"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35</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HW31</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含铅废物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各类含铅固体废物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36</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HW36</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石棉废物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各类石棉固体废物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37</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HW46</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含镍废物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镍化合物合成产生的废物</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38</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HW47</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含钡废物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钡化合物生产过程中产生的熔渣粉尘残余物及水处理污泥</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39</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HW48</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有机金属冶炼废物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ascii="宋体" w:cs="宋体"/>
                <w:sz w:val="21"/>
              </w:rPr>
              <w:t>各类金属冶炼、贵金属冶炼产生的废液废渣污泥</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40</w:t>
            </w:r>
          </w:p>
        </w:tc>
        <w:tc>
          <w:tcPr>
            <w:tcW w:w="1006" w:type="dxa"/>
            <w:gridSpan w:val="2"/>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sz w:val="21"/>
              </w:rPr>
              <w:t>HW50</w:t>
            </w:r>
          </w:p>
        </w:tc>
        <w:tc>
          <w:tcPr>
            <w:tcW w:w="1990"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废催化剂</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各类废催化剂</w:t>
            </w:r>
          </w:p>
        </w:tc>
        <w:tc>
          <w:tcPr>
            <w:tcW w:w="1206"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dotted" w:color="auto" w:sz="4"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dotted" w:color="auto" w:sz="4" w:space="0"/>
              <w:right w:val="nil"/>
            </w:tcBorders>
          </w:tcPr>
          <w:p>
            <w:pPr>
              <w:snapToGrid w:val="0"/>
              <w:spacing w:line="240" w:lineRule="atLeast"/>
              <w:ind w:firstLine="0" w:firstLineChars="0"/>
              <w:rPr>
                <w:sz w:val="21"/>
              </w:rPr>
            </w:pPr>
          </w:p>
        </w:tc>
      </w:tr>
      <w:tr>
        <w:tblPrEx>
          <w:tblCellMar>
            <w:top w:w="0" w:type="dxa"/>
            <w:left w:w="108" w:type="dxa"/>
            <w:bottom w:w="0" w:type="dxa"/>
            <w:right w:w="108" w:type="dxa"/>
          </w:tblCellMar>
        </w:tblPrEx>
        <w:trPr>
          <w:trHeight w:val="284" w:hRule="atLeast"/>
        </w:trPr>
        <w:tc>
          <w:tcPr>
            <w:tcW w:w="1753" w:type="dxa"/>
            <w:vMerge w:val="continue"/>
            <w:tcBorders>
              <w:top w:val="dotted" w:color="auto" w:sz="4" w:space="0"/>
              <w:left w:val="nil"/>
              <w:bottom w:val="single" w:color="000000" w:sz="12" w:space="0"/>
              <w:right w:val="dotted" w:color="auto" w:sz="4" w:space="0"/>
            </w:tcBorders>
          </w:tcPr>
          <w:p>
            <w:pPr>
              <w:widowControl/>
              <w:spacing w:line="240" w:lineRule="atLeast"/>
              <w:ind w:firstLine="0" w:firstLineChars="0"/>
              <w:jc w:val="left"/>
              <w:rPr>
                <w:sz w:val="21"/>
              </w:rPr>
            </w:pPr>
          </w:p>
        </w:tc>
        <w:tc>
          <w:tcPr>
            <w:tcW w:w="637" w:type="dxa"/>
            <w:tcBorders>
              <w:top w:val="dotted" w:color="auto" w:sz="4" w:space="0"/>
              <w:left w:val="dotted" w:color="auto" w:sz="4" w:space="0"/>
              <w:bottom w:val="single" w:color="000000" w:sz="12" w:space="0"/>
              <w:right w:val="dotted" w:color="auto" w:sz="4" w:space="0"/>
            </w:tcBorders>
          </w:tcPr>
          <w:p>
            <w:pPr>
              <w:snapToGrid w:val="0"/>
              <w:spacing w:line="240" w:lineRule="atLeast"/>
              <w:ind w:firstLine="0" w:firstLineChars="0"/>
              <w:rPr>
                <w:sz w:val="21"/>
              </w:rPr>
            </w:pPr>
            <w:r>
              <w:rPr>
                <w:sz w:val="21"/>
              </w:rPr>
              <w:t>41</w:t>
            </w:r>
          </w:p>
        </w:tc>
        <w:tc>
          <w:tcPr>
            <w:tcW w:w="1006" w:type="dxa"/>
            <w:gridSpan w:val="2"/>
            <w:tcBorders>
              <w:top w:val="dotted" w:color="auto" w:sz="4" w:space="0"/>
              <w:left w:val="dotted" w:color="auto" w:sz="4" w:space="0"/>
              <w:bottom w:val="single" w:color="000000" w:sz="12" w:space="0"/>
              <w:right w:val="dotted" w:color="auto" w:sz="4" w:space="0"/>
            </w:tcBorders>
          </w:tcPr>
          <w:p>
            <w:pPr>
              <w:snapToGrid w:val="0"/>
              <w:spacing w:line="240" w:lineRule="atLeast"/>
              <w:ind w:firstLine="0" w:firstLineChars="0"/>
              <w:rPr>
                <w:sz w:val="21"/>
              </w:rPr>
            </w:pPr>
            <w:r>
              <w:rPr>
                <w:sz w:val="21"/>
              </w:rPr>
              <w:t>HW49</w:t>
            </w:r>
          </w:p>
        </w:tc>
        <w:tc>
          <w:tcPr>
            <w:tcW w:w="1990" w:type="dxa"/>
            <w:tcBorders>
              <w:top w:val="dotted" w:color="auto" w:sz="4" w:space="0"/>
              <w:left w:val="dotted" w:color="auto" w:sz="4" w:space="0"/>
              <w:bottom w:val="single" w:color="000000" w:sz="12" w:space="0"/>
              <w:right w:val="dotted" w:color="auto" w:sz="4" w:space="0"/>
            </w:tcBorders>
          </w:tcPr>
          <w:p>
            <w:pPr>
              <w:snapToGrid w:val="0"/>
              <w:spacing w:line="240" w:lineRule="atLeast"/>
              <w:ind w:firstLine="0" w:firstLineChars="0"/>
              <w:rPr>
                <w:sz w:val="21"/>
              </w:rPr>
            </w:pPr>
            <w:r>
              <w:rPr>
                <w:rFonts w:hint="eastAsia"/>
                <w:sz w:val="21"/>
              </w:rPr>
              <w:t>其他废物</w:t>
            </w:r>
          </w:p>
        </w:tc>
        <w:tc>
          <w:tcPr>
            <w:tcW w:w="1641" w:type="dxa"/>
            <w:vMerge w:val="continue"/>
            <w:tcBorders>
              <w:top w:val="dotted" w:color="auto" w:sz="4" w:space="0"/>
              <w:left w:val="dotted" w:color="auto" w:sz="4" w:space="0"/>
              <w:bottom w:val="single" w:color="000000" w:sz="12" w:space="0"/>
              <w:right w:val="dotted" w:color="auto" w:sz="4" w:space="0"/>
            </w:tcBorders>
          </w:tcPr>
          <w:p>
            <w:pPr>
              <w:widowControl/>
              <w:spacing w:line="240" w:lineRule="atLeast"/>
              <w:ind w:firstLine="0" w:firstLineChars="0"/>
              <w:jc w:val="left"/>
              <w:rPr>
                <w:sz w:val="21"/>
              </w:rPr>
            </w:pPr>
          </w:p>
        </w:tc>
        <w:tc>
          <w:tcPr>
            <w:tcW w:w="4139" w:type="dxa"/>
            <w:tcBorders>
              <w:top w:val="dotted" w:color="auto" w:sz="4" w:space="0"/>
              <w:left w:val="dotted" w:color="auto" w:sz="4" w:space="0"/>
              <w:bottom w:val="single" w:color="000000" w:sz="12" w:space="0"/>
              <w:right w:val="dotted" w:color="auto" w:sz="4" w:space="0"/>
            </w:tcBorders>
          </w:tcPr>
          <w:p>
            <w:pPr>
              <w:snapToGrid w:val="0"/>
              <w:spacing w:line="240" w:lineRule="atLeast"/>
              <w:ind w:firstLine="0" w:firstLineChars="0"/>
              <w:rPr>
                <w:sz w:val="21"/>
              </w:rPr>
            </w:pPr>
            <w:r>
              <w:rPr>
                <w:rFonts w:hint="eastAsia"/>
                <w:sz w:val="21"/>
              </w:rPr>
              <w:t>部分化学品制造业污水处理产生的污泥</w:t>
            </w:r>
          </w:p>
        </w:tc>
        <w:tc>
          <w:tcPr>
            <w:tcW w:w="1206" w:type="dxa"/>
            <w:tcBorders>
              <w:top w:val="dotted" w:color="auto" w:sz="4" w:space="0"/>
              <w:left w:val="dotted" w:color="auto" w:sz="4" w:space="0"/>
              <w:bottom w:val="single" w:color="000000" w:sz="12" w:space="0"/>
              <w:right w:val="dotted" w:color="auto" w:sz="4" w:space="0"/>
            </w:tcBorders>
          </w:tcPr>
          <w:p>
            <w:pPr>
              <w:snapToGrid w:val="0"/>
              <w:spacing w:line="240" w:lineRule="atLeast"/>
              <w:ind w:firstLine="0" w:firstLineChars="0"/>
              <w:rPr>
                <w:sz w:val="21"/>
              </w:rPr>
            </w:pPr>
            <w:r>
              <w:rPr>
                <w:rFonts w:hint="eastAsia"/>
                <w:sz w:val="21"/>
              </w:rPr>
              <w:t>固态</w:t>
            </w:r>
          </w:p>
        </w:tc>
        <w:tc>
          <w:tcPr>
            <w:tcW w:w="1447" w:type="dxa"/>
            <w:tcBorders>
              <w:top w:val="dotted" w:color="auto" w:sz="4" w:space="0"/>
              <w:left w:val="dotted" w:color="auto" w:sz="4" w:space="0"/>
              <w:bottom w:val="single" w:color="000000" w:sz="12" w:space="0"/>
              <w:right w:val="dotted" w:color="auto" w:sz="4" w:space="0"/>
            </w:tcBorders>
          </w:tcPr>
          <w:p>
            <w:pPr>
              <w:snapToGrid w:val="0"/>
              <w:spacing w:line="240" w:lineRule="atLeast"/>
              <w:ind w:firstLine="0" w:firstLineChars="0"/>
              <w:rPr>
                <w:sz w:val="21"/>
              </w:rPr>
            </w:pPr>
            <w:r>
              <w:rPr>
                <w:rFonts w:hint="eastAsia"/>
                <w:sz w:val="21"/>
              </w:rPr>
              <w:t>毒性</w:t>
            </w:r>
          </w:p>
        </w:tc>
        <w:tc>
          <w:tcPr>
            <w:tcW w:w="967" w:type="dxa"/>
            <w:tcBorders>
              <w:top w:val="dotted" w:color="auto" w:sz="4" w:space="0"/>
              <w:left w:val="dotted" w:color="auto" w:sz="4" w:space="0"/>
              <w:bottom w:val="single" w:color="000000" w:sz="12" w:space="0"/>
              <w:right w:val="nil"/>
            </w:tcBorders>
          </w:tcPr>
          <w:p>
            <w:pPr>
              <w:snapToGrid w:val="0"/>
              <w:spacing w:line="240" w:lineRule="atLeast"/>
              <w:ind w:firstLine="0" w:firstLineChars="0"/>
              <w:rPr>
                <w:sz w:val="21"/>
              </w:rPr>
            </w:pPr>
          </w:p>
        </w:tc>
      </w:tr>
    </w:tbl>
    <w:p>
      <w:pPr>
        <w:pStyle w:val="178"/>
        <w:snapToGrid w:val="0"/>
        <w:ind w:firstLine="480"/>
        <w:rPr>
          <w:rFonts w:cs="Times New Roman"/>
          <w:kern w:val="0"/>
          <w:szCs w:val="20"/>
        </w:rPr>
      </w:pPr>
    </w:p>
    <w:p>
      <w:pPr>
        <w:widowControl/>
        <w:ind w:firstLine="480"/>
        <w:jc w:val="left"/>
        <w:rPr>
          <w:rFonts w:ascii="宋体" w:hAnsi="Courier New"/>
          <w:kern w:val="0"/>
        </w:rPr>
        <w:sectPr>
          <w:pgSz w:w="16838" w:h="11906" w:orient="landscape"/>
          <w:pgMar w:top="1418" w:right="1134" w:bottom="1418" w:left="1134" w:header="850" w:footer="850" w:gutter="0"/>
          <w:cols w:space="720" w:num="1"/>
          <w:docGrid w:linePitch="326" w:charSpace="0"/>
        </w:sectPr>
      </w:pPr>
    </w:p>
    <w:p>
      <w:pPr>
        <w:ind w:firstLine="480"/>
      </w:pPr>
      <w:r>
        <w:rPr>
          <w:rFonts w:hint="eastAsia"/>
        </w:rPr>
        <w:t>另外，本项目日常运行过程中产生的危险废物亦由本项目各处置设施进行处理，本项目产生的固体废物处理量、处置类别和方式见表</w:t>
      </w:r>
      <w:r>
        <w:t>3.4</w:t>
      </w:r>
      <w:r>
        <w:rPr>
          <w:rFonts w:hint="eastAsia"/>
        </w:rPr>
        <w:t>—2。</w:t>
      </w:r>
    </w:p>
    <w:p>
      <w:pPr>
        <w:ind w:firstLine="480"/>
      </w:pPr>
      <w:r>
        <w:rPr>
          <w:rFonts w:hint="eastAsia"/>
        </w:rPr>
        <w:t>表</w:t>
      </w:r>
      <w:r>
        <w:t>3.4</w:t>
      </w:r>
      <w:r>
        <w:rPr>
          <w:rFonts w:hint="eastAsia"/>
        </w:rPr>
        <w:t>—2本项目产生的危险废物处理量、处置类别和方式一览表</w:t>
      </w:r>
    </w:p>
    <w:tbl>
      <w:tblPr>
        <w:tblStyle w:val="88"/>
        <w:tblpPr w:leftFromText="180" w:rightFromText="180" w:vertAnchor="text" w:tblpX="142" w:tblpY="1"/>
        <w:tblOverlap w:val="never"/>
        <w:tblW w:w="9630"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64"/>
        <w:gridCol w:w="3192"/>
        <w:gridCol w:w="1111"/>
        <w:gridCol w:w="2261"/>
        <w:gridCol w:w="2402"/>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single" w:color="000000"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编号</w:t>
            </w:r>
          </w:p>
        </w:tc>
        <w:tc>
          <w:tcPr>
            <w:tcW w:w="3192"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污染源名称</w:t>
            </w:r>
          </w:p>
        </w:tc>
        <w:tc>
          <w:tcPr>
            <w:tcW w:w="1111"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cs="Times New Roman"/>
                <w:sz w:val="21"/>
              </w:rPr>
            </w:pPr>
            <w:r>
              <w:rPr>
                <w:rFonts w:hint="eastAsia" w:hAnsi="宋体"/>
                <w:sz w:val="21"/>
              </w:rPr>
              <w:t>产生量</w:t>
            </w:r>
          </w:p>
          <w:p>
            <w:pPr>
              <w:adjustRightInd w:val="0"/>
              <w:snapToGrid w:val="0"/>
              <w:spacing w:line="240" w:lineRule="atLeast"/>
              <w:ind w:firstLine="0" w:firstLineChars="0"/>
              <w:jc w:val="center"/>
              <w:rPr>
                <w:sz w:val="21"/>
              </w:rPr>
            </w:pPr>
            <w:r>
              <w:rPr>
                <w:rFonts w:hAnsi="宋体"/>
                <w:sz w:val="21"/>
              </w:rPr>
              <w:t>(t/a)</w:t>
            </w:r>
          </w:p>
        </w:tc>
        <w:tc>
          <w:tcPr>
            <w:tcW w:w="2261"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主要成分</w:t>
            </w:r>
          </w:p>
        </w:tc>
        <w:tc>
          <w:tcPr>
            <w:tcW w:w="2402" w:type="dxa"/>
            <w:tcBorders>
              <w:top w:val="single" w:color="000000"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sz w:val="21"/>
              </w:rPr>
            </w:pPr>
            <w:r>
              <w:rPr>
                <w:rFonts w:hint="eastAsia" w:hAnsi="宋体"/>
                <w:sz w:val="21"/>
              </w:rPr>
              <w:t>治理措施</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w:t>
            </w:r>
          </w:p>
        </w:tc>
        <w:tc>
          <w:tcPr>
            <w:tcW w:w="3192" w:type="dxa"/>
            <w:tcBorders>
              <w:top w:val="single" w:color="auto" w:sz="12"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hAnsi="宋体"/>
                <w:sz w:val="21"/>
              </w:rPr>
              <w:t>有机废气净化器废渣</w:t>
            </w:r>
          </w:p>
        </w:tc>
        <w:tc>
          <w:tcPr>
            <w:tcW w:w="1111" w:type="dxa"/>
            <w:tcBorders>
              <w:top w:val="single" w:color="auto" w:sz="12"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19.7</w:t>
            </w:r>
          </w:p>
        </w:tc>
        <w:tc>
          <w:tcPr>
            <w:tcW w:w="2261" w:type="dxa"/>
            <w:tcBorders>
              <w:top w:val="single" w:color="auto" w:sz="12"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kern w:val="0"/>
                <w:sz w:val="21"/>
              </w:rPr>
              <w:t>废活性炭</w:t>
            </w:r>
          </w:p>
        </w:tc>
        <w:tc>
          <w:tcPr>
            <w:tcW w:w="2402"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2</w:t>
            </w:r>
          </w:p>
        </w:tc>
        <w:tc>
          <w:tcPr>
            <w:tcW w:w="3192"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物化车间澄清池废渣</w:t>
            </w:r>
          </w:p>
        </w:tc>
        <w:tc>
          <w:tcPr>
            <w:tcW w:w="111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798.6</w:t>
            </w:r>
          </w:p>
        </w:tc>
        <w:tc>
          <w:tcPr>
            <w:tcW w:w="226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硫酸钙等</w:t>
            </w:r>
          </w:p>
        </w:tc>
        <w:tc>
          <w:tcPr>
            <w:tcW w:w="240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3</w:t>
            </w:r>
          </w:p>
        </w:tc>
        <w:tc>
          <w:tcPr>
            <w:tcW w:w="3192"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物化车间隔油池废油</w:t>
            </w:r>
          </w:p>
        </w:tc>
        <w:tc>
          <w:tcPr>
            <w:tcW w:w="111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5.61</w:t>
            </w:r>
          </w:p>
        </w:tc>
        <w:tc>
          <w:tcPr>
            <w:tcW w:w="226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废油等</w:t>
            </w:r>
          </w:p>
        </w:tc>
        <w:tc>
          <w:tcPr>
            <w:tcW w:w="240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4</w:t>
            </w:r>
          </w:p>
        </w:tc>
        <w:tc>
          <w:tcPr>
            <w:tcW w:w="3192"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物化车间沉淀池废渣</w:t>
            </w:r>
          </w:p>
        </w:tc>
        <w:tc>
          <w:tcPr>
            <w:tcW w:w="111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5.94</w:t>
            </w:r>
          </w:p>
        </w:tc>
        <w:tc>
          <w:tcPr>
            <w:tcW w:w="226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含重沉淀物等</w:t>
            </w:r>
          </w:p>
        </w:tc>
        <w:tc>
          <w:tcPr>
            <w:tcW w:w="240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5</w:t>
            </w:r>
          </w:p>
        </w:tc>
        <w:tc>
          <w:tcPr>
            <w:tcW w:w="31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焚烧炉炉渣</w:t>
            </w:r>
          </w:p>
        </w:tc>
        <w:tc>
          <w:tcPr>
            <w:tcW w:w="111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590.2</w:t>
            </w:r>
          </w:p>
        </w:tc>
        <w:tc>
          <w:tcPr>
            <w:tcW w:w="226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8"/>
                <w:sz w:val="21"/>
                <w:lang w:val="pt-BR"/>
              </w:rPr>
            </w:pPr>
            <w:r>
              <w:rPr>
                <w:rFonts w:hint="eastAsia"/>
                <w:spacing w:val="-8"/>
                <w:sz w:val="21"/>
                <w:lang w:val="pt-BR"/>
              </w:rPr>
              <w:t>焚烧残渣</w:t>
            </w:r>
          </w:p>
        </w:tc>
        <w:tc>
          <w:tcPr>
            <w:tcW w:w="240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6</w:t>
            </w:r>
          </w:p>
        </w:tc>
        <w:tc>
          <w:tcPr>
            <w:tcW w:w="31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焚烧炉飞灰</w:t>
            </w:r>
          </w:p>
        </w:tc>
        <w:tc>
          <w:tcPr>
            <w:tcW w:w="111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263.8</w:t>
            </w:r>
          </w:p>
        </w:tc>
        <w:tc>
          <w:tcPr>
            <w:tcW w:w="226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8"/>
                <w:sz w:val="21"/>
                <w:lang w:val="pt-BR"/>
              </w:rPr>
            </w:pPr>
            <w:r>
              <w:rPr>
                <w:rFonts w:hint="eastAsia"/>
                <w:spacing w:val="-8"/>
                <w:sz w:val="21"/>
                <w:lang w:val="pt-BR"/>
              </w:rPr>
              <w:t>颗粒物及重金属等</w:t>
            </w:r>
          </w:p>
        </w:tc>
        <w:tc>
          <w:tcPr>
            <w:tcW w:w="240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7</w:t>
            </w:r>
          </w:p>
        </w:tc>
        <w:tc>
          <w:tcPr>
            <w:tcW w:w="31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喷淋洗涤塔滤渣</w:t>
            </w:r>
          </w:p>
        </w:tc>
        <w:tc>
          <w:tcPr>
            <w:tcW w:w="111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8.9</w:t>
            </w:r>
          </w:p>
        </w:tc>
        <w:tc>
          <w:tcPr>
            <w:tcW w:w="226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spacing w:val="-8"/>
                <w:sz w:val="21"/>
                <w:lang w:val="pt-BR"/>
              </w:rPr>
              <w:t>颗粒物及重金属等</w:t>
            </w:r>
          </w:p>
        </w:tc>
        <w:tc>
          <w:tcPr>
            <w:tcW w:w="240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8</w:t>
            </w:r>
          </w:p>
        </w:tc>
        <w:tc>
          <w:tcPr>
            <w:tcW w:w="319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厂区污水处理站污泥</w:t>
            </w:r>
          </w:p>
        </w:tc>
        <w:tc>
          <w:tcPr>
            <w:tcW w:w="111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12.54</w:t>
            </w:r>
          </w:p>
        </w:tc>
        <w:tc>
          <w:tcPr>
            <w:tcW w:w="226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hAnsi="宋体"/>
                <w:sz w:val="21"/>
              </w:rPr>
              <w:t>有机质、重金属等</w:t>
            </w:r>
          </w:p>
        </w:tc>
        <w:tc>
          <w:tcPr>
            <w:tcW w:w="240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9</w:t>
            </w:r>
          </w:p>
        </w:tc>
        <w:tc>
          <w:tcPr>
            <w:tcW w:w="319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强制循环蒸发系统盐泥</w:t>
            </w:r>
          </w:p>
        </w:tc>
        <w:tc>
          <w:tcPr>
            <w:tcW w:w="1111"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409.2</w:t>
            </w:r>
          </w:p>
        </w:tc>
        <w:tc>
          <w:tcPr>
            <w:tcW w:w="226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盐类、重金属等</w:t>
            </w:r>
          </w:p>
        </w:tc>
        <w:tc>
          <w:tcPr>
            <w:tcW w:w="240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64"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sz w:val="21"/>
              </w:rPr>
              <w:t>10</w:t>
            </w:r>
          </w:p>
        </w:tc>
        <w:tc>
          <w:tcPr>
            <w:tcW w:w="3192"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强制循环蒸发系统净化器废渣</w:t>
            </w:r>
          </w:p>
        </w:tc>
        <w:tc>
          <w:tcPr>
            <w:tcW w:w="1111" w:type="dxa"/>
            <w:tcBorders>
              <w:top w:val="dotted" w:color="auto" w:sz="4" w:space="0"/>
              <w:left w:val="dotted" w:color="auto" w:sz="4" w:space="0"/>
              <w:bottom w:val="single" w:color="auto" w:sz="12" w:space="0"/>
              <w:right w:val="dotted" w:color="auto" w:sz="4" w:space="0"/>
            </w:tcBorders>
            <w:vAlign w:val="center"/>
          </w:tcPr>
          <w:p>
            <w:pPr>
              <w:adjustRightInd w:val="0"/>
              <w:spacing w:line="240" w:lineRule="atLeast"/>
              <w:ind w:firstLine="0" w:firstLineChars="0"/>
              <w:jc w:val="center"/>
              <w:rPr>
                <w:sz w:val="21"/>
              </w:rPr>
            </w:pPr>
            <w:r>
              <w:rPr>
                <w:sz w:val="21"/>
              </w:rPr>
              <w:t>1.6</w:t>
            </w:r>
          </w:p>
        </w:tc>
        <w:tc>
          <w:tcPr>
            <w:tcW w:w="2261"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废活性炭</w:t>
            </w:r>
          </w:p>
        </w:tc>
        <w:tc>
          <w:tcPr>
            <w:tcW w:w="2402"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送至焚烧车间</w:t>
            </w:r>
          </w:p>
        </w:tc>
      </w:tr>
    </w:tbl>
    <w:p>
      <w:pPr>
        <w:pStyle w:val="178"/>
        <w:snapToGrid w:val="0"/>
        <w:ind w:firstLine="480"/>
        <w:rPr>
          <w:rFonts w:ascii="Times New Roman" w:hAnsi="Times New Roman"/>
        </w:rPr>
      </w:pPr>
    </w:p>
    <w:p>
      <w:pPr>
        <w:pStyle w:val="178"/>
        <w:snapToGrid w:val="0"/>
        <w:ind w:firstLine="480"/>
        <w:rPr>
          <w:rFonts w:ascii="Times New Roman" w:hAnsi="Times New Roman" w:cs="Times New Roman"/>
          <w:kern w:val="0"/>
          <w:szCs w:val="20"/>
        </w:rPr>
      </w:pPr>
      <w:r>
        <w:rPr>
          <w:rFonts w:hint="eastAsia" w:ascii="Times New Roman" w:hAnsi="Times New Roman"/>
        </w:rPr>
        <w:t>本项目各车间的处理能力和处理量见表</w:t>
      </w:r>
      <w:r>
        <w:rPr>
          <w:rFonts w:ascii="Times New Roman" w:hAnsi="Times New Roman"/>
        </w:rPr>
        <w:t>3.4</w:t>
      </w:r>
      <w:r>
        <w:rPr>
          <w:rFonts w:hint="eastAsia" w:ascii="Times New Roman" w:hAnsi="Times New Roman"/>
        </w:rPr>
        <w:t>—3。</w:t>
      </w:r>
    </w:p>
    <w:p>
      <w:pPr>
        <w:pStyle w:val="178"/>
        <w:snapToGrid w:val="0"/>
        <w:ind w:firstLine="480"/>
        <w:rPr>
          <w:rFonts w:ascii="Times New Roman" w:hAnsi="Times New Roman"/>
        </w:rPr>
      </w:pPr>
      <w:r>
        <w:rPr>
          <w:rFonts w:hint="eastAsia" w:ascii="Times New Roman" w:hAnsi="Times New Roman"/>
        </w:rPr>
        <w:t>表</w:t>
      </w:r>
      <w:r>
        <w:rPr>
          <w:rFonts w:ascii="Times New Roman" w:hAnsi="Times New Roman"/>
        </w:rPr>
        <w:t>3.4</w:t>
      </w:r>
      <w:r>
        <w:rPr>
          <w:rFonts w:hint="eastAsia" w:ascii="Times New Roman" w:hAnsi="Times New Roman"/>
        </w:rPr>
        <w:t>—3本项目各车间处理能力及处理量</w:t>
      </w:r>
    </w:p>
    <w:tbl>
      <w:tblPr>
        <w:tblStyle w:val="88"/>
        <w:tblpPr w:leftFromText="180" w:rightFromText="180" w:vertAnchor="text" w:tblpX="142" w:tblpY="1"/>
        <w:tblOverlap w:val="never"/>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548"/>
        <w:gridCol w:w="3730"/>
        <w:gridCol w:w="916"/>
        <w:gridCol w:w="1149"/>
        <w:gridCol w:w="1320"/>
        <w:gridCol w:w="1975"/>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548" w:type="dxa"/>
            <w:tcBorders>
              <w:top w:val="single" w:color="000000"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编号</w:t>
            </w:r>
          </w:p>
        </w:tc>
        <w:tc>
          <w:tcPr>
            <w:tcW w:w="3730"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车间名称</w:t>
            </w:r>
          </w:p>
        </w:tc>
        <w:tc>
          <w:tcPr>
            <w:tcW w:w="916"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单位</w:t>
            </w:r>
          </w:p>
        </w:tc>
        <w:tc>
          <w:tcPr>
            <w:tcW w:w="1149"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处理能力</w:t>
            </w:r>
          </w:p>
        </w:tc>
        <w:tc>
          <w:tcPr>
            <w:tcW w:w="1320"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处理量</w:t>
            </w:r>
          </w:p>
        </w:tc>
        <w:tc>
          <w:tcPr>
            <w:tcW w:w="1975" w:type="dxa"/>
            <w:tcBorders>
              <w:top w:val="single" w:color="000000"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sz w:val="21"/>
              </w:rPr>
            </w:pPr>
            <w:r>
              <w:rPr>
                <w:rFonts w:hint="eastAsia"/>
                <w:sz w:val="21"/>
              </w:rPr>
              <w:t>备注</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548"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w:t>
            </w:r>
          </w:p>
        </w:tc>
        <w:tc>
          <w:tcPr>
            <w:tcW w:w="373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物化车间</w:t>
            </w:r>
          </w:p>
        </w:tc>
        <w:tc>
          <w:tcPr>
            <w:tcW w:w="91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Ansi="宋体"/>
                <w:sz w:val="21"/>
              </w:rPr>
              <w:t>t/a</w:t>
            </w:r>
          </w:p>
        </w:tc>
        <w:tc>
          <w:tcPr>
            <w:tcW w:w="1149"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2200</w:t>
            </w:r>
          </w:p>
        </w:tc>
        <w:tc>
          <w:tcPr>
            <w:tcW w:w="132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2200</w:t>
            </w:r>
          </w:p>
        </w:tc>
        <w:tc>
          <w:tcPr>
            <w:tcW w:w="1975"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548"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2</w:t>
            </w:r>
          </w:p>
        </w:tc>
        <w:tc>
          <w:tcPr>
            <w:tcW w:w="373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焚烧车间</w:t>
            </w:r>
          </w:p>
        </w:tc>
        <w:tc>
          <w:tcPr>
            <w:tcW w:w="91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Ansi="宋体"/>
                <w:sz w:val="21"/>
              </w:rPr>
              <w:t>t/a</w:t>
            </w:r>
          </w:p>
        </w:tc>
        <w:tc>
          <w:tcPr>
            <w:tcW w:w="1149"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4950</w:t>
            </w:r>
          </w:p>
        </w:tc>
        <w:tc>
          <w:tcPr>
            <w:tcW w:w="132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4950</w:t>
            </w:r>
          </w:p>
        </w:tc>
        <w:tc>
          <w:tcPr>
            <w:tcW w:w="1975"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548"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3</w:t>
            </w:r>
          </w:p>
        </w:tc>
        <w:tc>
          <w:tcPr>
            <w:tcW w:w="373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固化车间</w:t>
            </w:r>
          </w:p>
        </w:tc>
        <w:tc>
          <w:tcPr>
            <w:tcW w:w="91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Ansi="宋体"/>
                <w:sz w:val="21"/>
              </w:rPr>
              <w:t>t/a</w:t>
            </w:r>
          </w:p>
        </w:tc>
        <w:tc>
          <w:tcPr>
            <w:tcW w:w="1149"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19800</w:t>
            </w:r>
          </w:p>
        </w:tc>
        <w:tc>
          <w:tcPr>
            <w:tcW w:w="132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19777.18</w:t>
            </w:r>
          </w:p>
        </w:tc>
        <w:tc>
          <w:tcPr>
            <w:tcW w:w="1975"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548" w:type="dxa"/>
            <w:tcBorders>
              <w:top w:val="dotted" w:color="auto" w:sz="4" w:space="0"/>
              <w:left w:val="nil"/>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sz w:val="21"/>
              </w:rPr>
              <w:t>4</w:t>
            </w:r>
          </w:p>
        </w:tc>
        <w:tc>
          <w:tcPr>
            <w:tcW w:w="373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安全填埋场</w:t>
            </w:r>
          </w:p>
        </w:tc>
        <w:tc>
          <w:tcPr>
            <w:tcW w:w="916"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Ansi="宋体"/>
                <w:sz w:val="21"/>
              </w:rPr>
              <w:t>m</w:t>
            </w:r>
            <w:r>
              <w:rPr>
                <w:rFonts w:hAnsi="宋体"/>
                <w:sz w:val="21"/>
                <w:vertAlign w:val="superscript"/>
              </w:rPr>
              <w:t>3</w:t>
            </w:r>
          </w:p>
        </w:tc>
        <w:tc>
          <w:tcPr>
            <w:tcW w:w="1149"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300000</w:t>
            </w:r>
          </w:p>
        </w:tc>
        <w:tc>
          <w:tcPr>
            <w:tcW w:w="132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300000</w:t>
            </w:r>
          </w:p>
        </w:tc>
        <w:tc>
          <w:tcPr>
            <w:tcW w:w="1975"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rPr>
                <w:rFonts w:hAnsi="宋体"/>
                <w:sz w:val="21"/>
              </w:rPr>
            </w:pPr>
            <w:r>
              <w:rPr>
                <w:rFonts w:hint="eastAsia" w:hAnsi="宋体"/>
                <w:sz w:val="21"/>
              </w:rPr>
              <w:t>指安全填埋场</w:t>
            </w:r>
            <w:r>
              <w:rPr>
                <w:rFonts w:hAnsi="宋体"/>
                <w:sz w:val="21"/>
              </w:rPr>
              <w:t>20a</w:t>
            </w:r>
            <w:r>
              <w:rPr>
                <w:rFonts w:hint="eastAsia" w:hAnsi="宋体"/>
                <w:sz w:val="21"/>
              </w:rPr>
              <w:t>总处置能力。</w:t>
            </w:r>
          </w:p>
        </w:tc>
      </w:tr>
    </w:tbl>
    <w:p>
      <w:pPr>
        <w:pStyle w:val="178"/>
        <w:snapToGrid w:val="0"/>
        <w:ind w:firstLine="480"/>
        <w:rPr>
          <w:rFonts w:ascii="Times New Roman" w:hAnsi="Times New Roman"/>
        </w:rPr>
      </w:pPr>
    </w:p>
    <w:p>
      <w:pPr>
        <w:pStyle w:val="178"/>
        <w:snapToGrid w:val="0"/>
        <w:ind w:firstLine="480"/>
        <w:rPr>
          <w:rFonts w:ascii="Times New Roman" w:hAnsi="Times New Roman" w:cs="Times New Roman"/>
          <w:kern w:val="0"/>
          <w:szCs w:val="20"/>
        </w:rPr>
      </w:pPr>
      <w:r>
        <w:rPr>
          <w:rFonts w:hint="eastAsia" w:ascii="Times New Roman" w:hAnsi="Times New Roman"/>
        </w:rPr>
        <w:t>由上可见，本项目各车间有能力处置外来及本项目产生的危险废物。</w:t>
      </w:r>
    </w:p>
    <w:p>
      <w:pPr>
        <w:pStyle w:val="178"/>
        <w:snapToGrid w:val="0"/>
        <w:ind w:firstLine="480"/>
        <w:rPr>
          <w:rFonts w:ascii="Times New Roman" w:hAnsi="Times New Roman"/>
        </w:rPr>
      </w:pPr>
      <w:r>
        <w:rPr>
          <w:rFonts w:ascii="Times New Roman" w:hAnsi="Times New Roman"/>
        </w:rPr>
        <w:fldChar w:fldCharType="begin"/>
      </w:r>
      <w:r>
        <w:rPr>
          <w:rFonts w:hint="eastAsia" w:ascii="Times New Roman" w:hAnsi="Times New Roman"/>
        </w:rPr>
        <w:instrText xml:space="preserve">= 2 \* GB2</w:instrText>
      </w:r>
      <w:r>
        <w:rPr>
          <w:rFonts w:ascii="Times New Roman" w:hAnsi="Times New Roman"/>
        </w:rPr>
        <w:fldChar w:fldCharType="separate"/>
      </w:r>
      <w:r>
        <w:rPr>
          <w:rFonts w:hint="eastAsia" w:ascii="Times New Roman" w:hAnsi="Times New Roman"/>
        </w:rPr>
        <w:t>⑵</w:t>
      </w:r>
      <w:r>
        <w:rPr>
          <w:rFonts w:ascii="Times New Roman" w:hAnsi="Times New Roman"/>
        </w:rPr>
        <w:fldChar w:fldCharType="end"/>
      </w:r>
      <w:r>
        <w:rPr>
          <w:rFonts w:hint="eastAsia" w:ascii="Times New Roman" w:hAnsi="Times New Roman"/>
        </w:rPr>
        <w:t>辅助材料和能源消耗情况</w:t>
      </w:r>
    </w:p>
    <w:p>
      <w:pPr>
        <w:pStyle w:val="178"/>
        <w:snapToGrid w:val="0"/>
        <w:ind w:firstLine="480"/>
        <w:rPr>
          <w:rFonts w:ascii="Times New Roman" w:hAnsi="Times New Roman"/>
        </w:rPr>
      </w:pPr>
      <w:r>
        <w:rPr>
          <w:rFonts w:hint="eastAsia" w:ascii="Times New Roman" w:hAnsi="Times New Roman"/>
        </w:rPr>
        <w:t>本项目主要辅助材料及能源消耗见表</w:t>
      </w:r>
      <w:r>
        <w:rPr>
          <w:rFonts w:ascii="Times New Roman" w:hAnsi="Times New Roman"/>
        </w:rPr>
        <w:t>3.4</w:t>
      </w:r>
      <w:r>
        <w:rPr>
          <w:rFonts w:hint="eastAsia" w:ascii="Times New Roman" w:hAnsi="Times New Roman"/>
        </w:rPr>
        <w:t>—4。项目所使用的辅助材料采用袋装或专门容器进行储存。</w:t>
      </w:r>
    </w:p>
    <w:p>
      <w:pPr>
        <w:pStyle w:val="178"/>
        <w:snapToGrid w:val="0"/>
        <w:ind w:firstLine="480"/>
        <w:rPr>
          <w:rFonts w:ascii="Times New Roman" w:hAnsi="Times New Roman"/>
        </w:rPr>
      </w:pPr>
      <w:bookmarkStart w:id="161" w:name="_Ref339034441"/>
      <w:r>
        <w:rPr>
          <w:rFonts w:hint="eastAsia" w:ascii="Times New Roman" w:hAnsi="Times New Roman"/>
        </w:rPr>
        <w:t>表</w:t>
      </w:r>
      <w:bookmarkEnd w:id="161"/>
      <w:r>
        <w:rPr>
          <w:rFonts w:ascii="Times New Roman" w:hAnsi="Times New Roman"/>
        </w:rPr>
        <w:t>3.4</w:t>
      </w:r>
      <w:r>
        <w:rPr>
          <w:rFonts w:hint="eastAsia" w:ascii="Times New Roman" w:hAnsi="Times New Roman"/>
        </w:rPr>
        <w:t>—4            本项目辅助材料及能源消耗情况一览表</w:t>
      </w:r>
    </w:p>
    <w:tbl>
      <w:tblPr>
        <w:tblStyle w:val="88"/>
        <w:tblW w:w="9854" w:type="dxa"/>
        <w:tblInd w:w="0" w:type="dxa"/>
        <w:tblLayout w:type="fixed"/>
        <w:tblCellMar>
          <w:top w:w="0" w:type="dxa"/>
          <w:left w:w="108" w:type="dxa"/>
          <w:bottom w:w="0" w:type="dxa"/>
          <w:right w:w="108" w:type="dxa"/>
        </w:tblCellMar>
      </w:tblPr>
      <w:tblGrid>
        <w:gridCol w:w="1831"/>
        <w:gridCol w:w="2989"/>
        <w:gridCol w:w="2543"/>
        <w:gridCol w:w="2491"/>
      </w:tblGrid>
      <w:tr>
        <w:tblPrEx>
          <w:tblCellMar>
            <w:top w:w="0" w:type="dxa"/>
            <w:left w:w="108" w:type="dxa"/>
            <w:bottom w:w="0" w:type="dxa"/>
            <w:right w:w="108" w:type="dxa"/>
          </w:tblCellMar>
        </w:tblPrEx>
        <w:trPr>
          <w:trHeight w:val="340" w:hRule="atLeast"/>
        </w:trPr>
        <w:tc>
          <w:tcPr>
            <w:tcW w:w="1831" w:type="dxa"/>
            <w:tcBorders>
              <w:top w:val="single" w:color="000000" w:sz="12" w:space="0"/>
              <w:bottom w:val="single" w:color="auto" w:sz="12"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序号</w:t>
            </w:r>
          </w:p>
        </w:tc>
        <w:tc>
          <w:tcPr>
            <w:tcW w:w="2989" w:type="dxa"/>
            <w:tcBorders>
              <w:top w:val="single" w:color="000000" w:sz="12" w:space="0"/>
              <w:left w:val="dotted" w:color="auto" w:sz="4" w:space="0"/>
              <w:bottom w:val="single" w:color="auto" w:sz="12"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名称</w:t>
            </w:r>
          </w:p>
        </w:tc>
        <w:tc>
          <w:tcPr>
            <w:tcW w:w="2543" w:type="dxa"/>
            <w:tcBorders>
              <w:top w:val="single" w:color="000000" w:sz="12" w:space="0"/>
              <w:left w:val="dotted" w:color="auto" w:sz="4" w:space="0"/>
              <w:bottom w:val="single" w:color="auto" w:sz="12"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单位</w:t>
            </w:r>
          </w:p>
        </w:tc>
        <w:tc>
          <w:tcPr>
            <w:tcW w:w="2491" w:type="dxa"/>
            <w:tcBorders>
              <w:top w:val="single" w:color="000000" w:sz="12" w:space="0"/>
              <w:left w:val="dotted" w:color="auto" w:sz="4" w:space="0"/>
              <w:bottom w:val="single" w:color="auto" w:sz="12"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消耗量</w:t>
            </w:r>
          </w:p>
        </w:tc>
      </w:tr>
      <w:tr>
        <w:tblPrEx>
          <w:tblCellMar>
            <w:top w:w="0" w:type="dxa"/>
            <w:left w:w="108" w:type="dxa"/>
            <w:bottom w:w="0" w:type="dxa"/>
            <w:right w:w="108" w:type="dxa"/>
          </w:tblCellMar>
        </w:tblPrEx>
        <w:trPr>
          <w:trHeight w:val="340" w:hRule="atLeast"/>
        </w:trPr>
        <w:tc>
          <w:tcPr>
            <w:tcW w:w="9854" w:type="dxa"/>
            <w:gridSpan w:val="4"/>
            <w:tcBorders>
              <w:top w:val="single" w:color="auto" w:sz="12" w:space="0"/>
              <w:left w:val="nil"/>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辅助材料</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1</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消石灰</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519.1</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2</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氢氧化钠</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374.5</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3</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柴油</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521.4</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4</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尿素</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143.6</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5</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活性炭</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100.5</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6</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水泥</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3854.4</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7</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粉煤灰</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1289.0</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8</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螯合剂</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189.8</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9</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污水处理药剂</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30</w:t>
            </w:r>
          </w:p>
        </w:tc>
      </w:tr>
      <w:tr>
        <w:tblPrEx>
          <w:tblCellMar>
            <w:top w:w="0" w:type="dxa"/>
            <w:left w:w="108" w:type="dxa"/>
            <w:bottom w:w="0" w:type="dxa"/>
            <w:right w:w="108" w:type="dxa"/>
          </w:tblCellMar>
        </w:tblPrEx>
        <w:trPr>
          <w:trHeight w:val="340" w:hRule="atLeast"/>
        </w:trPr>
        <w:tc>
          <w:tcPr>
            <w:tcW w:w="9854" w:type="dxa"/>
            <w:gridSpan w:val="4"/>
            <w:tcBorders>
              <w:top w:val="dotted" w:color="auto" w:sz="4" w:space="0"/>
              <w:left w:val="nil"/>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能源消耗</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1</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电力</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KWh/a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405.97×10</w:t>
            </w:r>
            <w:r>
              <w:rPr>
                <w:rFonts w:ascii="Times New Roman" w:cs="Times New Roman"/>
                <w:color w:val="auto"/>
                <w:kern w:val="2"/>
                <w:sz w:val="21"/>
                <w:szCs w:val="21"/>
                <w:vertAlign w:val="superscript"/>
              </w:rPr>
              <w:t>4</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2</w:t>
            </w:r>
          </w:p>
        </w:tc>
        <w:tc>
          <w:tcPr>
            <w:tcW w:w="2989"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新鲜水</w:t>
            </w:r>
          </w:p>
        </w:tc>
        <w:tc>
          <w:tcPr>
            <w:tcW w:w="2543" w:type="dxa"/>
            <w:tcBorders>
              <w:top w:val="dotted" w:color="auto" w:sz="4" w:space="0"/>
              <w:left w:val="dotted" w:color="auto" w:sz="4" w:space="0"/>
              <w:bottom w:val="dotted" w:color="auto" w:sz="4"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dotted" w:color="auto" w:sz="4"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18920.6</w:t>
            </w:r>
          </w:p>
        </w:tc>
      </w:tr>
      <w:tr>
        <w:tblPrEx>
          <w:tblCellMar>
            <w:top w:w="0" w:type="dxa"/>
            <w:left w:w="108" w:type="dxa"/>
            <w:bottom w:w="0" w:type="dxa"/>
            <w:right w:w="108" w:type="dxa"/>
          </w:tblCellMar>
        </w:tblPrEx>
        <w:trPr>
          <w:trHeight w:val="340" w:hRule="atLeast"/>
        </w:trPr>
        <w:tc>
          <w:tcPr>
            <w:tcW w:w="1831" w:type="dxa"/>
            <w:tcBorders>
              <w:top w:val="dotted" w:color="auto" w:sz="4" w:space="0"/>
              <w:left w:val="nil"/>
              <w:bottom w:val="single" w:color="000000" w:sz="12"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3</w:t>
            </w:r>
          </w:p>
        </w:tc>
        <w:tc>
          <w:tcPr>
            <w:tcW w:w="2989" w:type="dxa"/>
            <w:tcBorders>
              <w:top w:val="dotted" w:color="auto" w:sz="4" w:space="0"/>
              <w:left w:val="dotted" w:color="auto" w:sz="4" w:space="0"/>
              <w:bottom w:val="single" w:color="000000" w:sz="12"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hint="eastAsia" w:ascii="Times New Roman" w:cs="Times New Roman"/>
                <w:color w:val="auto"/>
                <w:kern w:val="2"/>
                <w:sz w:val="21"/>
                <w:szCs w:val="21"/>
              </w:rPr>
              <w:t>蒸汽</w:t>
            </w:r>
          </w:p>
        </w:tc>
        <w:tc>
          <w:tcPr>
            <w:tcW w:w="2543" w:type="dxa"/>
            <w:tcBorders>
              <w:top w:val="dotted" w:color="auto" w:sz="4" w:space="0"/>
              <w:left w:val="dotted" w:color="auto" w:sz="4" w:space="0"/>
              <w:bottom w:val="single" w:color="000000" w:sz="12" w:space="0"/>
              <w:right w:val="dotted" w:color="auto" w:sz="4" w:space="0"/>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491" w:type="dxa"/>
            <w:tcBorders>
              <w:top w:val="dotted" w:color="auto" w:sz="4" w:space="0"/>
              <w:left w:val="dotted" w:color="auto" w:sz="4" w:space="0"/>
              <w:bottom w:val="single" w:color="000000" w:sz="12" w:space="0"/>
              <w:right w:val="nil"/>
            </w:tcBorders>
            <w:vAlign w:val="center"/>
          </w:tcPr>
          <w:p>
            <w:pPr>
              <w:pStyle w:val="157"/>
              <w:snapToGrid w:val="0"/>
              <w:spacing w:line="240" w:lineRule="atLeast"/>
              <w:jc w:val="center"/>
              <w:rPr>
                <w:rFonts w:ascii="Times New Roman" w:cs="Times New Roman"/>
                <w:color w:val="auto"/>
                <w:kern w:val="2"/>
                <w:sz w:val="21"/>
                <w:szCs w:val="21"/>
              </w:rPr>
            </w:pPr>
            <w:r>
              <w:rPr>
                <w:rFonts w:ascii="Times New Roman" w:cs="Times New Roman"/>
                <w:color w:val="auto"/>
                <w:kern w:val="2"/>
                <w:sz w:val="21"/>
                <w:szCs w:val="21"/>
              </w:rPr>
              <w:t>19404</w:t>
            </w:r>
          </w:p>
        </w:tc>
      </w:tr>
    </w:tbl>
    <w:p>
      <w:pPr>
        <w:ind w:firstLine="480"/>
      </w:pPr>
    </w:p>
    <w:p>
      <w:pPr>
        <w:pStyle w:val="4"/>
      </w:pPr>
      <w:bookmarkStart w:id="162" w:name="_Toc503368863"/>
      <w:bookmarkStart w:id="163" w:name="_Toc13760114"/>
      <w:bookmarkStart w:id="164" w:name="_Toc461101808"/>
      <w:r>
        <w:t>3.5</w:t>
      </w:r>
      <w:r>
        <w:rPr>
          <w:rFonts w:hint="eastAsia"/>
        </w:rPr>
        <w:t>公用工程</w:t>
      </w:r>
      <w:bookmarkEnd w:id="162"/>
      <w:bookmarkEnd w:id="163"/>
      <w:bookmarkEnd w:id="164"/>
    </w:p>
    <w:p>
      <w:pPr>
        <w:pStyle w:val="5"/>
      </w:pPr>
      <w:bookmarkStart w:id="165" w:name="_Toc503368864"/>
      <w:bookmarkStart w:id="166" w:name="_Toc13760115"/>
      <w:bookmarkStart w:id="167" w:name="_Toc461101809"/>
      <w:r>
        <w:t>3.5.1</w:t>
      </w:r>
      <w:r>
        <w:rPr>
          <w:rFonts w:hint="eastAsia"/>
        </w:rPr>
        <w:t>给排水</w:t>
      </w:r>
      <w:bookmarkEnd w:id="165"/>
      <w:bookmarkEnd w:id="166"/>
      <w:bookmarkEnd w:id="167"/>
    </w:p>
    <w:p>
      <w:pPr>
        <w:ind w:firstLine="480"/>
      </w:pPr>
      <w:r>
        <w:rPr>
          <w:rFonts w:hint="eastAsia"/>
        </w:rPr>
        <w:t>本项目新鲜水用量为</w:t>
      </w:r>
      <w:r>
        <w:t>56.02m</w:t>
      </w:r>
      <w:r>
        <w:rPr>
          <w:vertAlign w:val="superscript"/>
        </w:rPr>
        <w:t>3</w:t>
      </w:r>
      <w:r>
        <w:t>/d</w:t>
      </w:r>
      <w:r>
        <w:rPr>
          <w:rFonts w:hint="eastAsia"/>
        </w:rPr>
        <w:t>，其中生产用水量为</w:t>
      </w:r>
      <w:r>
        <w:t>21.02m</w:t>
      </w:r>
      <w:r>
        <w:rPr>
          <w:vertAlign w:val="superscript"/>
        </w:rPr>
        <w:t>3</w:t>
      </w:r>
      <w:r>
        <w:t>/d</w:t>
      </w:r>
      <w:r>
        <w:rPr>
          <w:rFonts w:hint="eastAsia"/>
        </w:rPr>
        <w:t>，冲洗水用量为</w:t>
      </w:r>
      <w:r>
        <w:t>11.6m</w:t>
      </w:r>
      <w:r>
        <w:rPr>
          <w:vertAlign w:val="superscript"/>
        </w:rPr>
        <w:t>3</w:t>
      </w:r>
      <w:r>
        <w:t>/d</w:t>
      </w:r>
      <w:r>
        <w:rPr>
          <w:rFonts w:hint="eastAsia"/>
        </w:rPr>
        <w:t>，化验水量为</w:t>
      </w:r>
      <w:r>
        <w:t>2.5m</w:t>
      </w:r>
      <w:r>
        <w:rPr>
          <w:vertAlign w:val="superscript"/>
        </w:rPr>
        <w:t>3</w:t>
      </w:r>
      <w:r>
        <w:t>/d</w:t>
      </w:r>
      <w:r>
        <w:rPr>
          <w:rFonts w:hint="eastAsia"/>
        </w:rPr>
        <w:t>，生活用水量为</w:t>
      </w:r>
      <w:r>
        <w:t>12.40m</w:t>
      </w:r>
      <w:r>
        <w:rPr>
          <w:vertAlign w:val="superscript"/>
        </w:rPr>
        <w:t>3</w:t>
      </w:r>
      <w:r>
        <w:t>/d</w:t>
      </w:r>
      <w:r>
        <w:rPr>
          <w:rFonts w:hint="eastAsia"/>
        </w:rPr>
        <w:t>，未预见用水为</w:t>
      </w:r>
      <w:r>
        <w:t>8.5m</w:t>
      </w:r>
      <w:r>
        <w:rPr>
          <w:vertAlign w:val="superscript"/>
        </w:rPr>
        <w:t>3</w:t>
      </w:r>
      <w:r>
        <w:t>/d</w:t>
      </w:r>
      <w:r>
        <w:rPr>
          <w:rFonts w:hint="eastAsia"/>
        </w:rPr>
        <w:t>。本项目全年新鲜水用量为</w:t>
      </w:r>
      <w:r>
        <w:t>18920.6m</w:t>
      </w:r>
      <w:r>
        <w:rPr>
          <w:vertAlign w:val="superscript"/>
        </w:rPr>
        <w:t>3</w:t>
      </w:r>
      <w:r>
        <w:rPr>
          <w:rFonts w:hint="eastAsia"/>
        </w:rPr>
        <w:t>，其中生活用水量按全年</w:t>
      </w:r>
      <w:r>
        <w:t>365d</w:t>
      </w:r>
      <w:r>
        <w:rPr>
          <w:rFonts w:hint="eastAsia"/>
        </w:rPr>
        <w:t>计，其他用水量按全年</w:t>
      </w:r>
      <w:r>
        <w:t>330d</w:t>
      </w:r>
      <w:r>
        <w:rPr>
          <w:rFonts w:hint="eastAsia"/>
        </w:rPr>
        <w:t>计。</w:t>
      </w:r>
    </w:p>
    <w:p>
      <w:pPr>
        <w:ind w:firstLine="480"/>
      </w:pPr>
      <w:r>
        <w:rPr>
          <w:rFonts w:hint="eastAsia"/>
        </w:rPr>
        <w:t>本项目所需的生产、生活、消防用水由开发区进行统一供给。建设中的开发区供水工程位于内蒙古阿拉善盟孪井滩生态移民示范区乌兰呼都格境内，工程的供水来源为引黄灌溉工程节水。</w:t>
      </w:r>
    </w:p>
    <w:p>
      <w:pPr>
        <w:pStyle w:val="6"/>
      </w:pPr>
      <w:r>
        <w:t>3.5.1.1</w:t>
      </w:r>
      <w:r>
        <w:rPr>
          <w:rFonts w:hint="eastAsia"/>
        </w:rPr>
        <w:t>给水系统</w:t>
      </w:r>
    </w:p>
    <w:p>
      <w:pPr>
        <w:ind w:firstLine="480"/>
      </w:pPr>
      <w:r>
        <w:t>(1)</w:t>
      </w:r>
      <w:r>
        <w:rPr>
          <w:rFonts w:hint="eastAsia"/>
        </w:rPr>
        <w:t>生产给水系统</w:t>
      </w:r>
    </w:p>
    <w:p>
      <w:pPr>
        <w:ind w:firstLine="480"/>
      </w:pPr>
      <w:r>
        <w:rPr>
          <w:rFonts w:hint="eastAsia"/>
        </w:rPr>
        <w:t>生产给水系统供装置的供水压力</w:t>
      </w:r>
      <w:r>
        <w:t>0.35MPa(G)</w:t>
      </w:r>
      <w:r>
        <w:rPr>
          <w:rFonts w:hint="eastAsia"/>
        </w:rPr>
        <w:t>，生产水进水总管及支管均设有阀门及流量计，生产水管道在界区内采用枝状供水。生产水新鲜水补充量：</w:t>
      </w:r>
      <w:r>
        <w:t>21.02m</w:t>
      </w:r>
      <w:r>
        <w:rPr>
          <w:vertAlign w:val="superscript"/>
        </w:rPr>
        <w:t>3</w:t>
      </w:r>
      <w:r>
        <w:t>/d</w:t>
      </w:r>
      <w:r>
        <w:rPr>
          <w:rFonts w:hint="eastAsia"/>
        </w:rPr>
        <w:t>。</w:t>
      </w:r>
    </w:p>
    <w:p>
      <w:pPr>
        <w:pStyle w:val="739"/>
        <w:ind w:firstLine="480"/>
        <w:outlineLvl w:val="0"/>
      </w:pPr>
      <w:bookmarkStart w:id="168" w:name="_Toc13760116"/>
      <w:bookmarkStart w:id="169" w:name="_Toc13582069"/>
      <w:r>
        <w:rPr>
          <w:rFonts w:hint="eastAsia"/>
        </w:rPr>
        <w:t>①循环冷却水系统</w:t>
      </w:r>
      <w:bookmarkEnd w:id="168"/>
      <w:bookmarkEnd w:id="169"/>
    </w:p>
    <w:p>
      <w:pPr>
        <w:ind w:firstLine="480"/>
      </w:pPr>
      <w:r>
        <w:rPr>
          <w:rFonts w:hint="eastAsia"/>
        </w:rPr>
        <w:t>本项目循环冷却水主要用于物化车间和焚烧车间。项目循环水系统总量为</w:t>
      </w:r>
      <w:r>
        <w:t>143m</w:t>
      </w:r>
      <w:r>
        <w:rPr>
          <w:vertAlign w:val="superscript"/>
        </w:rPr>
        <w:t>3</w:t>
      </w:r>
      <w:r>
        <w:t>/d</w:t>
      </w:r>
      <w:r>
        <w:rPr>
          <w:rFonts w:hint="eastAsia"/>
        </w:rPr>
        <w:t>，其主要技术参数及用水量如下：</w:t>
      </w:r>
    </w:p>
    <w:p>
      <w:pPr>
        <w:ind w:firstLine="480"/>
      </w:pPr>
      <w:r>
        <w:t>a.</w:t>
      </w:r>
      <w:r>
        <w:rPr>
          <w:rFonts w:hint="eastAsia"/>
        </w:rPr>
        <w:t>系统主要技术参数如下：</w:t>
      </w:r>
    </w:p>
    <w:p>
      <w:pPr>
        <w:ind w:firstLine="480"/>
      </w:pPr>
      <w:r>
        <w:rPr>
          <w:rFonts w:hint="eastAsia"/>
        </w:rPr>
        <w:t>供水压力：</w:t>
      </w:r>
      <w:r>
        <w:t>0.4MPa</w:t>
      </w:r>
    </w:p>
    <w:p>
      <w:pPr>
        <w:ind w:firstLine="480"/>
      </w:pPr>
      <w:r>
        <w:rPr>
          <w:rFonts w:hint="eastAsia"/>
        </w:rPr>
        <w:t>回水压力：</w:t>
      </w:r>
      <w:r>
        <w:t>0.2MPa</w:t>
      </w:r>
    </w:p>
    <w:p>
      <w:pPr>
        <w:ind w:firstLine="480"/>
      </w:pPr>
      <w:r>
        <w:rPr>
          <w:rFonts w:hint="eastAsia"/>
        </w:rPr>
        <w:t>供水温度：</w:t>
      </w:r>
      <w:r>
        <w:t>32</w:t>
      </w:r>
      <w:r>
        <w:rPr>
          <w:rFonts w:hint="eastAsia"/>
        </w:rPr>
        <w:t>℃</w:t>
      </w:r>
    </w:p>
    <w:p>
      <w:pPr>
        <w:ind w:firstLine="480"/>
      </w:pPr>
      <w:r>
        <w:rPr>
          <w:rFonts w:hint="eastAsia"/>
        </w:rPr>
        <w:t>回水温度：</w:t>
      </w:r>
      <w:r>
        <w:t>42</w:t>
      </w:r>
      <w:r>
        <w:rPr>
          <w:rFonts w:hint="eastAsia"/>
        </w:rPr>
        <w:t>℃</w:t>
      </w:r>
    </w:p>
    <w:p>
      <w:pPr>
        <w:ind w:firstLine="480"/>
      </w:pPr>
      <w:r>
        <w:rPr>
          <w:rFonts w:hint="eastAsia"/>
        </w:rPr>
        <w:t>浓缩倍数：</w:t>
      </w:r>
      <w:r>
        <w:t>N=4</w:t>
      </w:r>
    </w:p>
    <w:p>
      <w:pPr>
        <w:ind w:firstLine="480"/>
      </w:pPr>
      <w:r>
        <w:t>b.</w:t>
      </w:r>
      <w:r>
        <w:rPr>
          <w:rFonts w:hint="eastAsia"/>
        </w:rPr>
        <w:t>循环冷却系统用水量</w:t>
      </w:r>
    </w:p>
    <w:p>
      <w:pPr>
        <w:ind w:firstLine="480"/>
      </w:pPr>
      <w:r>
        <w:rPr>
          <w:rFonts w:hint="eastAsia"/>
        </w:rPr>
        <w:t>循环冷却系统用水量：</w:t>
      </w:r>
      <w:r>
        <w:t>143m</w:t>
      </w:r>
      <w:r>
        <w:rPr>
          <w:vertAlign w:val="superscript"/>
        </w:rPr>
        <w:t>3</w:t>
      </w:r>
      <w:r>
        <w:t>/d</w:t>
      </w:r>
    </w:p>
    <w:p>
      <w:pPr>
        <w:ind w:firstLine="480"/>
      </w:pPr>
      <w:r>
        <w:rPr>
          <w:rFonts w:hint="eastAsia"/>
        </w:rPr>
        <w:t>蒸发损失：</w:t>
      </w:r>
      <w:r>
        <w:t>2.86m</w:t>
      </w:r>
      <w:r>
        <w:rPr>
          <w:vertAlign w:val="superscript"/>
        </w:rPr>
        <w:t>3</w:t>
      </w:r>
      <w:r>
        <w:t>/d</w:t>
      </w:r>
    </w:p>
    <w:p>
      <w:pPr>
        <w:ind w:firstLine="480"/>
      </w:pPr>
      <w:r>
        <w:rPr>
          <w:rFonts w:hint="eastAsia"/>
        </w:rPr>
        <w:t>风吹损失：</w:t>
      </w:r>
      <w:r>
        <w:t>0.14m</w:t>
      </w:r>
      <w:r>
        <w:rPr>
          <w:vertAlign w:val="superscript"/>
        </w:rPr>
        <w:t>3</w:t>
      </w:r>
      <w:r>
        <w:t>/d</w:t>
      </w:r>
    </w:p>
    <w:p>
      <w:pPr>
        <w:ind w:firstLine="480"/>
      </w:pPr>
      <w:r>
        <w:rPr>
          <w:rFonts w:hint="eastAsia"/>
        </w:rPr>
        <w:t>排污水量：</w:t>
      </w:r>
      <w:r>
        <w:t>0.57m</w:t>
      </w:r>
      <w:r>
        <w:rPr>
          <w:vertAlign w:val="superscript"/>
        </w:rPr>
        <w:t>3</w:t>
      </w:r>
      <w:r>
        <w:t>/d</w:t>
      </w:r>
    </w:p>
    <w:p>
      <w:pPr>
        <w:ind w:firstLine="480"/>
      </w:pPr>
      <w:r>
        <w:rPr>
          <w:rFonts w:hint="eastAsia"/>
        </w:rPr>
        <w:t>循环水排水</w:t>
      </w:r>
      <w:r>
        <w:t>(0.57m</w:t>
      </w:r>
      <w:r>
        <w:rPr>
          <w:vertAlign w:val="superscript"/>
        </w:rPr>
        <w:t>3</w:t>
      </w:r>
      <w:r>
        <w:t>/h)</w:t>
      </w:r>
      <w:r>
        <w:rPr>
          <w:rFonts w:hint="eastAsia"/>
        </w:rPr>
        <w:t>直接送至焚烧车间进行回用。装置正常运行后循环冷却水系统的补充水量为：</w:t>
      </w:r>
      <w:r>
        <w:t>3.57m</w:t>
      </w:r>
      <w:r>
        <w:rPr>
          <w:vertAlign w:val="superscript"/>
        </w:rPr>
        <w:t>3</w:t>
      </w:r>
      <w:r>
        <w:t>/d</w:t>
      </w:r>
      <w:r>
        <w:rPr>
          <w:rFonts w:hint="eastAsia"/>
        </w:rPr>
        <w:t>。</w:t>
      </w:r>
    </w:p>
    <w:p>
      <w:pPr>
        <w:pStyle w:val="739"/>
        <w:ind w:firstLine="480"/>
        <w:outlineLvl w:val="0"/>
      </w:pPr>
      <w:bookmarkStart w:id="170" w:name="_Toc13582070"/>
      <w:bookmarkStart w:id="171" w:name="_Toc13760117"/>
      <w:r>
        <w:rPr>
          <w:rFonts w:hint="eastAsia"/>
        </w:rPr>
        <w:t>②软水处理系统</w:t>
      </w:r>
      <w:bookmarkEnd w:id="170"/>
      <w:bookmarkEnd w:id="171"/>
    </w:p>
    <w:p>
      <w:pPr>
        <w:ind w:firstLine="480"/>
      </w:pPr>
      <w:r>
        <w:rPr>
          <w:rFonts w:hint="eastAsia"/>
        </w:rPr>
        <w:t>本项目共需软化水</w:t>
      </w:r>
      <w:r>
        <w:t>57.6m</w:t>
      </w:r>
      <w:r>
        <w:rPr>
          <w:vertAlign w:val="superscript"/>
        </w:rPr>
        <w:t>3</w:t>
      </w:r>
      <w:r>
        <w:t>/d</w:t>
      </w:r>
      <w:r>
        <w:rPr>
          <w:rFonts w:hint="eastAsia"/>
        </w:rPr>
        <w:t>，软化水的补水量为</w:t>
      </w:r>
      <w:r>
        <w:t>16.8m</w:t>
      </w:r>
      <w:r>
        <w:rPr>
          <w:vertAlign w:val="superscript"/>
        </w:rPr>
        <w:t>3</w:t>
      </w:r>
      <w:r>
        <w:t>/d</w:t>
      </w:r>
      <w:r>
        <w:rPr>
          <w:rFonts w:hint="eastAsia"/>
        </w:rPr>
        <w:t>，主要用于全厂蒸汽系统。软化水系统制备能力按</w:t>
      </w:r>
      <w:r>
        <w:t>100m</w:t>
      </w:r>
      <w:r>
        <w:rPr>
          <w:vertAlign w:val="superscript"/>
        </w:rPr>
        <w:t>3</w:t>
      </w:r>
      <w:r>
        <w:t>/d</w:t>
      </w:r>
      <w:r>
        <w:rPr>
          <w:rFonts w:hint="eastAsia"/>
        </w:rPr>
        <w:t>，制水率按</w:t>
      </w:r>
      <w:r>
        <w:t>80%</w:t>
      </w:r>
      <w:r>
        <w:rPr>
          <w:rFonts w:hint="eastAsia"/>
        </w:rPr>
        <w:t>计。</w:t>
      </w:r>
    </w:p>
    <w:p>
      <w:pPr>
        <w:pStyle w:val="739"/>
        <w:ind w:firstLine="480"/>
        <w:outlineLvl w:val="0"/>
      </w:pPr>
      <w:bookmarkStart w:id="172" w:name="_Toc13760118"/>
      <w:bookmarkStart w:id="173" w:name="_Toc13582071"/>
      <w:r>
        <w:rPr>
          <w:rFonts w:hint="eastAsia"/>
        </w:rPr>
        <w:t>③其他生产新鲜水用水</w:t>
      </w:r>
      <w:bookmarkEnd w:id="172"/>
      <w:bookmarkEnd w:id="173"/>
    </w:p>
    <w:p>
      <w:pPr>
        <w:ind w:firstLine="480"/>
      </w:pPr>
      <w:r>
        <w:rPr>
          <w:rFonts w:hint="eastAsia"/>
        </w:rPr>
        <w:t>项目其他生产新鲜水用水主要见表</w:t>
      </w:r>
      <w:r>
        <w:t>3.5</w:t>
      </w:r>
      <w:r>
        <w:rPr>
          <w:rFonts w:hint="eastAsia"/>
        </w:rPr>
        <w:t>—</w:t>
      </w:r>
      <w:r>
        <w:t>1</w:t>
      </w:r>
      <w:r>
        <w:rPr>
          <w:rFonts w:hint="eastAsia"/>
        </w:rPr>
        <w:t>。</w:t>
      </w:r>
    </w:p>
    <w:p>
      <w:pPr>
        <w:ind w:firstLine="480"/>
      </w:pPr>
      <w:r>
        <w:rPr>
          <w:rFonts w:hint="eastAsia"/>
        </w:rPr>
        <w:t>表</w:t>
      </w:r>
      <w:r>
        <w:t>3.5</w:t>
      </w:r>
      <w:r>
        <w:rPr>
          <w:rFonts w:hint="eastAsia"/>
        </w:rPr>
        <w:t>—</w:t>
      </w:r>
      <w:r>
        <w:t xml:space="preserve">1                </w:t>
      </w:r>
      <w:r>
        <w:rPr>
          <w:rFonts w:hint="eastAsia"/>
        </w:rPr>
        <w:t>项目其他生产用水表</w:t>
      </w:r>
    </w:p>
    <w:tbl>
      <w:tblPr>
        <w:tblStyle w:val="88"/>
        <w:tblW w:w="9854" w:type="dxa"/>
        <w:jc w:val="center"/>
        <w:tblLayout w:type="fixed"/>
        <w:tblCellMar>
          <w:top w:w="0" w:type="dxa"/>
          <w:left w:w="108" w:type="dxa"/>
          <w:bottom w:w="0" w:type="dxa"/>
          <w:right w:w="108" w:type="dxa"/>
        </w:tblCellMar>
      </w:tblPr>
      <w:tblGrid>
        <w:gridCol w:w="959"/>
        <w:gridCol w:w="1985"/>
        <w:gridCol w:w="1275"/>
        <w:gridCol w:w="1419"/>
        <w:gridCol w:w="4216"/>
      </w:tblGrid>
      <w:tr>
        <w:tblPrEx>
          <w:tblCellMar>
            <w:top w:w="0" w:type="dxa"/>
            <w:left w:w="108" w:type="dxa"/>
            <w:bottom w:w="0" w:type="dxa"/>
            <w:right w:w="108" w:type="dxa"/>
          </w:tblCellMar>
        </w:tblPrEx>
        <w:trPr>
          <w:trHeight w:val="340" w:hRule="atLeast"/>
          <w:jc w:val="center"/>
        </w:trPr>
        <w:tc>
          <w:tcPr>
            <w:tcW w:w="959" w:type="dxa"/>
            <w:tcBorders>
              <w:top w:val="single" w:color="000000"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序号</w:t>
            </w:r>
          </w:p>
        </w:tc>
        <w:tc>
          <w:tcPr>
            <w:tcW w:w="1985" w:type="dxa"/>
            <w:tcBorders>
              <w:top w:val="single" w:color="000000"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用水点</w:t>
            </w:r>
          </w:p>
        </w:tc>
        <w:tc>
          <w:tcPr>
            <w:tcW w:w="1275" w:type="dxa"/>
            <w:tcBorders>
              <w:top w:val="single" w:color="000000"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新鲜水</w:t>
            </w:r>
          </w:p>
        </w:tc>
        <w:tc>
          <w:tcPr>
            <w:tcW w:w="1419" w:type="dxa"/>
            <w:tcBorders>
              <w:top w:val="single" w:color="000000"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单位</w:t>
            </w:r>
          </w:p>
        </w:tc>
        <w:tc>
          <w:tcPr>
            <w:tcW w:w="4216" w:type="dxa"/>
            <w:tcBorders>
              <w:top w:val="single" w:color="000000"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备注</w:t>
            </w:r>
          </w:p>
        </w:tc>
      </w:tr>
      <w:tr>
        <w:tblPrEx>
          <w:tblCellMar>
            <w:top w:w="0" w:type="dxa"/>
            <w:left w:w="108" w:type="dxa"/>
            <w:bottom w:w="0" w:type="dxa"/>
            <w:right w:w="108" w:type="dxa"/>
          </w:tblCellMar>
        </w:tblPrEx>
        <w:trPr>
          <w:trHeight w:val="340" w:hRule="atLeast"/>
          <w:jc w:val="center"/>
        </w:trPr>
        <w:tc>
          <w:tcPr>
            <w:tcW w:w="9854" w:type="dxa"/>
            <w:gridSpan w:val="5"/>
            <w:tcBorders>
              <w:top w:val="single" w:color="auto" w:sz="12" w:space="0"/>
              <w:left w:val="nil"/>
              <w:bottom w:val="dotted" w:color="auto" w:sz="4" w:space="0"/>
              <w:right w:val="nil"/>
            </w:tcBorders>
            <w:vAlign w:val="center"/>
          </w:tcPr>
          <w:p>
            <w:pPr>
              <w:spacing w:line="240" w:lineRule="atLeast"/>
              <w:ind w:firstLine="0" w:firstLineChars="0"/>
              <w:jc w:val="center"/>
              <w:rPr>
                <w:sz w:val="21"/>
              </w:rPr>
            </w:pPr>
            <w:r>
              <w:rPr>
                <w:rFonts w:hint="eastAsia"/>
                <w:sz w:val="21"/>
              </w:rPr>
              <w:t>物化车间</w:t>
            </w:r>
          </w:p>
        </w:tc>
      </w:tr>
      <w:tr>
        <w:tblPrEx>
          <w:tblCellMar>
            <w:top w:w="0" w:type="dxa"/>
            <w:left w:w="108" w:type="dxa"/>
            <w:bottom w:w="0" w:type="dxa"/>
            <w:right w:w="108" w:type="dxa"/>
          </w:tblCellMar>
        </w:tblPrEx>
        <w:trPr>
          <w:trHeight w:val="340" w:hRule="atLeast"/>
          <w:jc w:val="center"/>
        </w:trPr>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9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氢氧化钠溶液配制</w:t>
            </w:r>
          </w:p>
        </w:tc>
        <w:tc>
          <w:tcPr>
            <w:tcW w:w="127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0.22</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t/d</w:t>
            </w:r>
          </w:p>
        </w:tc>
        <w:tc>
          <w:tcPr>
            <w:tcW w:w="4216"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用于酸雾吸收塔氢氧化钠溶液的配置，氢氧化钠溶液浓度为</w:t>
            </w:r>
            <w:r>
              <w:rPr>
                <w:sz w:val="21"/>
              </w:rPr>
              <w:t>20%</w:t>
            </w:r>
            <w:r>
              <w:rPr>
                <w:rFonts w:hint="eastAsia"/>
                <w:sz w:val="21"/>
              </w:rPr>
              <w:t>。</w:t>
            </w:r>
          </w:p>
        </w:tc>
      </w:tr>
      <w:tr>
        <w:tblPrEx>
          <w:tblCellMar>
            <w:top w:w="0" w:type="dxa"/>
            <w:left w:w="108" w:type="dxa"/>
            <w:bottom w:w="0" w:type="dxa"/>
            <w:right w:w="108" w:type="dxa"/>
          </w:tblCellMar>
        </w:tblPrEx>
        <w:trPr>
          <w:trHeight w:val="340" w:hRule="atLeast"/>
          <w:jc w:val="center"/>
        </w:trPr>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9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合计</w:t>
            </w:r>
          </w:p>
        </w:tc>
        <w:tc>
          <w:tcPr>
            <w:tcW w:w="127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0.22</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t/d</w:t>
            </w:r>
          </w:p>
        </w:tc>
        <w:tc>
          <w:tcPr>
            <w:tcW w:w="4216"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CellMar>
            <w:top w:w="0" w:type="dxa"/>
            <w:left w:w="108" w:type="dxa"/>
            <w:bottom w:w="0" w:type="dxa"/>
            <w:right w:w="108" w:type="dxa"/>
          </w:tblCellMar>
        </w:tblPrEx>
        <w:trPr>
          <w:trHeight w:val="340" w:hRule="atLeast"/>
          <w:jc w:val="center"/>
        </w:trPr>
        <w:tc>
          <w:tcPr>
            <w:tcW w:w="9854" w:type="dxa"/>
            <w:gridSpan w:val="5"/>
            <w:tcBorders>
              <w:top w:val="dotted" w:color="auto" w:sz="4" w:space="0"/>
              <w:left w:val="nil"/>
              <w:bottom w:val="dotted" w:color="auto" w:sz="4" w:space="0"/>
              <w:right w:val="nil"/>
            </w:tcBorders>
            <w:vAlign w:val="center"/>
          </w:tcPr>
          <w:p>
            <w:pPr>
              <w:spacing w:line="240" w:lineRule="atLeast"/>
              <w:ind w:firstLine="0" w:firstLineChars="0"/>
              <w:jc w:val="center"/>
              <w:rPr>
                <w:sz w:val="21"/>
              </w:rPr>
            </w:pPr>
            <w:r>
              <w:rPr>
                <w:rFonts w:hint="eastAsia"/>
                <w:sz w:val="21"/>
              </w:rPr>
              <w:t>焚烧车间</w:t>
            </w:r>
          </w:p>
        </w:tc>
      </w:tr>
      <w:tr>
        <w:tblPrEx>
          <w:tblCellMar>
            <w:top w:w="0" w:type="dxa"/>
            <w:left w:w="108" w:type="dxa"/>
            <w:bottom w:w="0" w:type="dxa"/>
            <w:right w:w="108" w:type="dxa"/>
          </w:tblCellMar>
        </w:tblPrEx>
        <w:trPr>
          <w:trHeight w:val="340" w:hRule="atLeast"/>
          <w:jc w:val="center"/>
        </w:trPr>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9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喷淋洗涤塔补水</w:t>
            </w:r>
          </w:p>
        </w:tc>
        <w:tc>
          <w:tcPr>
            <w:tcW w:w="127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0.43</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t/d</w:t>
            </w:r>
          </w:p>
        </w:tc>
        <w:tc>
          <w:tcPr>
            <w:tcW w:w="4216"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与部分回用水一起送至喷淋洗涤塔用于氢氧化钠溶液的配置，氢氧化钠溶液的浓度为</w:t>
            </w:r>
            <w:r>
              <w:rPr>
                <w:sz w:val="21"/>
              </w:rPr>
              <w:t>6%</w:t>
            </w:r>
            <w:r>
              <w:rPr>
                <w:rFonts w:hint="eastAsia"/>
                <w:sz w:val="21"/>
              </w:rPr>
              <w:t>。</w:t>
            </w:r>
          </w:p>
        </w:tc>
      </w:tr>
      <w:tr>
        <w:tblPrEx>
          <w:tblCellMar>
            <w:top w:w="0" w:type="dxa"/>
            <w:left w:w="108" w:type="dxa"/>
            <w:bottom w:w="0" w:type="dxa"/>
            <w:right w:w="108" w:type="dxa"/>
          </w:tblCellMar>
        </w:tblPrEx>
        <w:trPr>
          <w:trHeight w:val="340" w:hRule="atLeast"/>
          <w:jc w:val="center"/>
        </w:trPr>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9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合计</w:t>
            </w:r>
          </w:p>
        </w:tc>
        <w:tc>
          <w:tcPr>
            <w:tcW w:w="127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0.43</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t/d</w:t>
            </w:r>
          </w:p>
        </w:tc>
        <w:tc>
          <w:tcPr>
            <w:tcW w:w="4216"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CellMar>
            <w:top w:w="0" w:type="dxa"/>
            <w:left w:w="108" w:type="dxa"/>
            <w:bottom w:w="0" w:type="dxa"/>
            <w:right w:w="108" w:type="dxa"/>
          </w:tblCellMar>
        </w:tblPrEx>
        <w:trPr>
          <w:trHeight w:val="340" w:hRule="atLeast"/>
          <w:jc w:val="center"/>
        </w:trPr>
        <w:tc>
          <w:tcPr>
            <w:tcW w:w="9854" w:type="dxa"/>
            <w:gridSpan w:val="5"/>
            <w:tcBorders>
              <w:top w:val="dotted" w:color="auto" w:sz="4" w:space="0"/>
              <w:left w:val="nil"/>
              <w:bottom w:val="dotted" w:color="auto" w:sz="4" w:space="0"/>
              <w:right w:val="nil"/>
            </w:tcBorders>
            <w:vAlign w:val="center"/>
          </w:tcPr>
          <w:p>
            <w:pPr>
              <w:spacing w:line="240" w:lineRule="atLeast"/>
              <w:ind w:firstLine="0" w:firstLineChars="0"/>
              <w:jc w:val="center"/>
              <w:rPr>
                <w:sz w:val="21"/>
              </w:rPr>
            </w:pPr>
            <w:r>
              <w:rPr>
                <w:rFonts w:hint="eastAsia"/>
                <w:sz w:val="21"/>
              </w:rPr>
              <w:t>循环水系统</w:t>
            </w:r>
          </w:p>
        </w:tc>
      </w:tr>
      <w:tr>
        <w:tblPrEx>
          <w:tblCellMar>
            <w:top w:w="0" w:type="dxa"/>
            <w:left w:w="108" w:type="dxa"/>
            <w:bottom w:w="0" w:type="dxa"/>
            <w:right w:w="108" w:type="dxa"/>
          </w:tblCellMar>
        </w:tblPrEx>
        <w:trPr>
          <w:trHeight w:val="340" w:hRule="atLeast"/>
          <w:jc w:val="center"/>
        </w:trPr>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9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循环水补水</w:t>
            </w:r>
          </w:p>
        </w:tc>
        <w:tc>
          <w:tcPr>
            <w:tcW w:w="127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3.57</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t/d</w:t>
            </w:r>
          </w:p>
        </w:tc>
        <w:tc>
          <w:tcPr>
            <w:tcW w:w="4216"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循环水用于中和反应器和焚烧系统窑头降温。</w:t>
            </w:r>
          </w:p>
        </w:tc>
      </w:tr>
      <w:tr>
        <w:tblPrEx>
          <w:tblCellMar>
            <w:top w:w="0" w:type="dxa"/>
            <w:left w:w="108" w:type="dxa"/>
            <w:bottom w:w="0" w:type="dxa"/>
            <w:right w:w="108" w:type="dxa"/>
          </w:tblCellMar>
        </w:tblPrEx>
        <w:trPr>
          <w:trHeight w:val="340" w:hRule="atLeast"/>
          <w:jc w:val="center"/>
        </w:trPr>
        <w:tc>
          <w:tcPr>
            <w:tcW w:w="959" w:type="dxa"/>
            <w:tcBorders>
              <w:top w:val="dotted" w:color="auto" w:sz="4" w:space="0"/>
              <w:left w:val="nil"/>
              <w:bottom w:val="single" w:color="000000" w:sz="12" w:space="0"/>
              <w:right w:val="dotted" w:color="auto" w:sz="4" w:space="0"/>
            </w:tcBorders>
            <w:vAlign w:val="center"/>
          </w:tcPr>
          <w:p>
            <w:pPr>
              <w:spacing w:line="240" w:lineRule="atLeast"/>
              <w:ind w:firstLine="0" w:firstLineChars="0"/>
              <w:jc w:val="center"/>
              <w:rPr>
                <w:sz w:val="21"/>
              </w:rPr>
            </w:pPr>
            <w:r>
              <w:rPr>
                <w:sz w:val="21"/>
              </w:rPr>
              <w:t>2</w:t>
            </w:r>
          </w:p>
        </w:tc>
        <w:tc>
          <w:tcPr>
            <w:tcW w:w="1985"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rFonts w:hint="eastAsia"/>
                <w:sz w:val="21"/>
              </w:rPr>
              <w:t>合计</w:t>
            </w:r>
          </w:p>
        </w:tc>
        <w:tc>
          <w:tcPr>
            <w:tcW w:w="1275"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3.57</w:t>
            </w:r>
          </w:p>
        </w:tc>
        <w:tc>
          <w:tcPr>
            <w:tcW w:w="1419"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t/d</w:t>
            </w:r>
          </w:p>
        </w:tc>
        <w:tc>
          <w:tcPr>
            <w:tcW w:w="4216"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sz w:val="21"/>
              </w:rPr>
            </w:pPr>
          </w:p>
        </w:tc>
      </w:tr>
    </w:tbl>
    <w:p>
      <w:pPr>
        <w:ind w:firstLine="480"/>
      </w:pPr>
    </w:p>
    <w:p>
      <w:pPr>
        <w:ind w:firstLine="480"/>
      </w:pPr>
      <w:r>
        <w:t>(2)</w:t>
      </w:r>
      <w:r>
        <w:rPr>
          <w:rFonts w:hint="eastAsia"/>
        </w:rPr>
        <w:t>冲洗用水</w:t>
      </w:r>
    </w:p>
    <w:p>
      <w:pPr>
        <w:ind w:firstLine="480"/>
      </w:pPr>
      <w:r>
        <w:rPr>
          <w:rFonts w:hint="eastAsia"/>
        </w:rPr>
        <w:t>危废综合处置厂设置冲洗水系统，主要用于车辆，全厂地面以及容器清洗用水；安全填埋场设置一座洗车台，主要用于填埋器械及车辆的冲洗用水；本项目冲洗用水量为</w:t>
      </w:r>
      <w:r>
        <w:t>11.6m</w:t>
      </w:r>
      <w:r>
        <w:rPr>
          <w:vertAlign w:val="superscript"/>
        </w:rPr>
        <w:t>3</w:t>
      </w:r>
      <w:r>
        <w:t>/d</w:t>
      </w:r>
      <w:r>
        <w:rPr>
          <w:rFonts w:hint="eastAsia"/>
        </w:rPr>
        <w:t>。</w:t>
      </w:r>
    </w:p>
    <w:p>
      <w:pPr>
        <w:ind w:firstLine="480"/>
      </w:pPr>
      <w:r>
        <w:t>(3)</w:t>
      </w:r>
      <w:r>
        <w:rPr>
          <w:rFonts w:hint="eastAsia"/>
        </w:rPr>
        <w:t>化验用水</w:t>
      </w:r>
    </w:p>
    <w:p>
      <w:pPr>
        <w:ind w:firstLine="480"/>
      </w:pPr>
      <w:r>
        <w:rPr>
          <w:rFonts w:hint="eastAsia"/>
        </w:rPr>
        <w:t>本项目设置实验楼用于危险废物的化验，其用水量为</w:t>
      </w:r>
      <w:r>
        <w:t>2.5m</w:t>
      </w:r>
      <w:r>
        <w:rPr>
          <w:vertAlign w:val="superscript"/>
        </w:rPr>
        <w:t>3</w:t>
      </w:r>
      <w:r>
        <w:t>/d</w:t>
      </w:r>
      <w:r>
        <w:rPr>
          <w:rFonts w:hint="eastAsia"/>
        </w:rPr>
        <w:t>。</w:t>
      </w:r>
    </w:p>
    <w:p>
      <w:pPr>
        <w:ind w:firstLine="480"/>
      </w:pPr>
      <w:r>
        <w:t>(4)</w:t>
      </w:r>
      <w:r>
        <w:rPr>
          <w:rFonts w:hint="eastAsia"/>
        </w:rPr>
        <w:t>生活给水系统</w:t>
      </w:r>
    </w:p>
    <w:p>
      <w:pPr>
        <w:ind w:firstLine="480"/>
      </w:pPr>
      <w:r>
        <w:rPr>
          <w:rFonts w:hint="eastAsia"/>
        </w:rPr>
        <w:t>本项目全厂定员为</w:t>
      </w:r>
      <w:r>
        <w:t>124</w:t>
      </w:r>
      <w:r>
        <w:rPr>
          <w:rFonts w:hint="eastAsia"/>
        </w:rPr>
        <w:t>人，其中安全填埋场定员为</w:t>
      </w:r>
      <w:r>
        <w:t>6</w:t>
      </w:r>
      <w:r>
        <w:rPr>
          <w:rFonts w:hint="eastAsia"/>
        </w:rPr>
        <w:t>人，生活用水按</w:t>
      </w:r>
      <w:r>
        <w:t>0.1m</w:t>
      </w:r>
      <w:r>
        <w:rPr>
          <w:vertAlign w:val="superscript"/>
        </w:rPr>
        <w:t>3</w:t>
      </w:r>
      <w:r>
        <w:t>/</w:t>
      </w:r>
      <w:r>
        <w:rPr>
          <w:rFonts w:hint="eastAsia"/>
        </w:rPr>
        <w:t>人</w:t>
      </w:r>
      <w:r>
        <w:t>.d</w:t>
      </w:r>
      <w:r>
        <w:rPr>
          <w:rFonts w:hint="eastAsia"/>
        </w:rPr>
        <w:t>核算，生活水水量为</w:t>
      </w:r>
      <w:r>
        <w:t>12.4m</w:t>
      </w:r>
      <w:r>
        <w:rPr>
          <w:vertAlign w:val="superscript"/>
        </w:rPr>
        <w:t>3</w:t>
      </w:r>
      <w:r>
        <w:t>/d</w:t>
      </w:r>
      <w:r>
        <w:rPr>
          <w:rFonts w:hint="eastAsia"/>
        </w:rPr>
        <w:t>，两个厂区生活给水由开发区分别进行供给。</w:t>
      </w:r>
    </w:p>
    <w:p>
      <w:pPr>
        <w:ind w:firstLine="480"/>
      </w:pPr>
      <w:r>
        <w:t>(5)</w:t>
      </w:r>
      <w:r>
        <w:rPr>
          <w:rFonts w:hint="eastAsia"/>
        </w:rPr>
        <w:t>未预见用水</w:t>
      </w:r>
    </w:p>
    <w:p>
      <w:pPr>
        <w:ind w:firstLine="480"/>
      </w:pPr>
      <w:r>
        <w:rPr>
          <w:rFonts w:hint="eastAsia"/>
        </w:rPr>
        <w:t>本项目全厂未预见用水量按</w:t>
      </w:r>
      <w:r>
        <w:t>8.5m</w:t>
      </w:r>
      <w:r>
        <w:rPr>
          <w:vertAlign w:val="superscript"/>
        </w:rPr>
        <w:t>3</w:t>
      </w:r>
      <w:r>
        <w:t>/d</w:t>
      </w:r>
      <w:r>
        <w:rPr>
          <w:rFonts w:hint="eastAsia"/>
        </w:rPr>
        <w:t>计。</w:t>
      </w:r>
    </w:p>
    <w:p>
      <w:pPr>
        <w:pStyle w:val="6"/>
      </w:pPr>
      <w:r>
        <w:t>3.5.1.2</w:t>
      </w:r>
      <w:r>
        <w:rPr>
          <w:rFonts w:hint="eastAsia"/>
        </w:rPr>
        <w:t>排水系统</w:t>
      </w:r>
    </w:p>
    <w:p>
      <w:pPr>
        <w:ind w:firstLine="480"/>
      </w:pPr>
      <w:r>
        <w:rPr>
          <w:rFonts w:hint="eastAsia"/>
        </w:rPr>
        <w:t>本项目的废水污染源为实行“清污分流”、“雨污分流”的排水体制，全厂废水污染源为生活污水、冲洗废水、化验废水、填埋场渗滤液、生产排水</w:t>
      </w:r>
      <w:r>
        <w:t>(</w:t>
      </w:r>
      <w:r>
        <w:rPr>
          <w:rFonts w:hint="eastAsia"/>
        </w:rPr>
        <w:t>主要包括物化车间、软化水站、循环水系统和焚烧车间的排水</w:t>
      </w:r>
      <w:r>
        <w:t>)</w:t>
      </w:r>
      <w:r>
        <w:rPr>
          <w:rFonts w:hint="eastAsia"/>
        </w:rPr>
        <w:t>以及厂区污水处理站排水。其中项目生活污水经化粪池预处理后，送至全厂污水处理站进行处理；项目产生的部分生产废水直接回用于焚烧车间，焚烧车间喷淋洗涤塔排水经焚烧车间污水处理模块处理后送至物化车间污水处理模块进行处理，物化车间产生的澄清池排水、沉淀池废水、厂区污水处理站回用水系统排浓水以及经过焚烧污水处理车间污水处理模块处理后的焚烧车间喷淋洗涤塔排水经物化车间污水处理模块处理后送至厂区污水处理系统，与冲洗废水、化验用水、生活废水和全厂渗滤液一起经“絮凝沉淀</w:t>
      </w:r>
      <w:r>
        <w:t>+</w:t>
      </w:r>
      <w:r>
        <w:rPr>
          <w:rFonts w:hint="eastAsia"/>
        </w:rPr>
        <w:t>水解酸化</w:t>
      </w:r>
      <w:r>
        <w:t>+MBR+</w:t>
      </w:r>
      <w:r>
        <w:rPr>
          <w:rFonts w:hint="eastAsia"/>
        </w:rPr>
        <w:t>回用系统”进行处理，处理后的厂区污水处理站出水部分回用至固化车间，部分回用至焚烧车间，排浓水送至物化车间污水处理模块进行处置；由上可见，本项目全厂废水经处理后全部回用，无废水外排。</w:t>
      </w:r>
    </w:p>
    <w:p>
      <w:pPr>
        <w:pStyle w:val="161"/>
        <w:ind w:firstLine="480"/>
        <w:outlineLvl w:val="0"/>
      </w:pPr>
      <w:bookmarkStart w:id="174" w:name="_Toc13760119"/>
      <w:bookmarkStart w:id="175" w:name="_Toc13582072"/>
      <w:r>
        <w:rPr>
          <w:rFonts w:hint="eastAsia"/>
        </w:rPr>
        <w:t>⑴生活污水排水系统</w:t>
      </w:r>
      <w:bookmarkEnd w:id="174"/>
      <w:bookmarkEnd w:id="175"/>
    </w:p>
    <w:p>
      <w:pPr>
        <w:pStyle w:val="161"/>
        <w:ind w:firstLine="480"/>
      </w:pPr>
      <w:r>
        <w:rPr>
          <w:rFonts w:hint="eastAsia"/>
        </w:rPr>
        <w:t>本系统主要用于收集各装置区建筑物内卫生间、厕所、浴室、餐厅等设施的生活污水。危废综合处置厂的生活污水收集经装置区内的化粪池预处理后，送至全厂污水处理站进行处理；安全填埋场产生的生活污水排入厂区设置的防渗化粪池，定期由吸污车进行清理运输至全厂污水处理站进行处理。全厂生活污水产生量为</w:t>
      </w:r>
      <w:r>
        <w:t>9.92m</w:t>
      </w:r>
      <w:r>
        <w:rPr>
          <w:vertAlign w:val="superscript"/>
        </w:rPr>
        <w:t>3</w:t>
      </w:r>
      <w:r>
        <w:t>/d</w:t>
      </w:r>
      <w:r>
        <w:rPr>
          <w:rFonts w:hint="eastAsia"/>
        </w:rPr>
        <w:t>。</w:t>
      </w:r>
    </w:p>
    <w:p>
      <w:pPr>
        <w:pStyle w:val="161"/>
        <w:ind w:firstLine="480"/>
        <w:outlineLvl w:val="0"/>
      </w:pPr>
      <w:bookmarkStart w:id="176" w:name="_Toc13582073"/>
      <w:bookmarkStart w:id="177" w:name="_Toc13760120"/>
      <w:r>
        <w:rPr>
          <w:rFonts w:hint="eastAsia"/>
        </w:rPr>
        <w:t>⑵化验废水排水系统</w:t>
      </w:r>
      <w:bookmarkEnd w:id="176"/>
      <w:bookmarkEnd w:id="177"/>
    </w:p>
    <w:p>
      <w:pPr>
        <w:pStyle w:val="161"/>
        <w:ind w:firstLine="480"/>
      </w:pPr>
      <w:r>
        <w:rPr>
          <w:rFonts w:hint="eastAsia"/>
        </w:rPr>
        <w:t>项目设有分析中心，内设化验室对危险废物的成分、热值、重金属含量以及水质进行分析。由于化验室的特点，造成此部分水量复杂多变，污染物浓度较高，废水中主要污染物为</w:t>
      </w:r>
      <w:r>
        <w:t>COD</w:t>
      </w:r>
      <w:r>
        <w:rPr>
          <w:rFonts w:hint="eastAsia"/>
        </w:rPr>
        <w:t>、重金属、石油类等。实验室有毒的化学品废水为</w:t>
      </w:r>
      <w:r>
        <w:t>2.0m</w:t>
      </w:r>
      <w:r>
        <w:rPr>
          <w:vertAlign w:val="superscript"/>
        </w:rPr>
        <w:t>3</w:t>
      </w:r>
      <w:r>
        <w:t>/d</w:t>
      </w:r>
      <w:r>
        <w:rPr>
          <w:rFonts w:hint="eastAsia"/>
        </w:rPr>
        <w:t>，收集后送至本项目厂区污水处理站进行处理。</w:t>
      </w:r>
    </w:p>
    <w:p>
      <w:pPr>
        <w:pStyle w:val="161"/>
        <w:ind w:firstLine="480"/>
        <w:outlineLvl w:val="0"/>
      </w:pPr>
      <w:bookmarkStart w:id="178" w:name="_Toc13582074"/>
      <w:bookmarkStart w:id="179" w:name="_Toc13760121"/>
      <w:r>
        <w:rPr>
          <w:rFonts w:hint="eastAsia"/>
        </w:rPr>
        <w:t>⑶冲洗废水排水系统</w:t>
      </w:r>
      <w:bookmarkEnd w:id="178"/>
      <w:bookmarkEnd w:id="179"/>
    </w:p>
    <w:p>
      <w:pPr>
        <w:ind w:firstLine="480"/>
      </w:pPr>
      <w:r>
        <w:rPr>
          <w:rFonts w:hint="eastAsia"/>
        </w:rPr>
        <w:t>冲洗废水主要包括地面清洗水、洗车废水和容器冲洗水。由于运输中的抛洒和烟气污染物进入大气候的扩散沉降，厂内道路、场地冲洗排水中含有悬浮物和少量重金属；危险废物运输车辆卸料后必须冲洗才能出场，洗车废水中含有石油类、悬浮物、重金属、有机物等；场内包装桶需要清洗，废水中含有石油类、悬浮物、重金属、有机物等。危废综合处置厂的冲洗废水收集后直接送至全厂污水处理站，安全填埋场产生的冲洗废水排入安全填埋场洗车台处设置的容积为</w:t>
      </w:r>
      <w:r>
        <w:t>100m</w:t>
      </w:r>
      <w:r>
        <w:rPr>
          <w:vertAlign w:val="superscript"/>
        </w:rPr>
        <w:t>3</w:t>
      </w:r>
      <w:r>
        <w:rPr>
          <w:rFonts w:hint="eastAsia"/>
        </w:rPr>
        <w:t>的防渗暂存池，定期由吸污车进行清理运输至全厂污水处理站进行处理。全厂冲洗废水产生量为</w:t>
      </w:r>
      <w:r>
        <w:t>9.6m</w:t>
      </w:r>
      <w:r>
        <w:rPr>
          <w:vertAlign w:val="superscript"/>
        </w:rPr>
        <w:t>3</w:t>
      </w:r>
      <w:r>
        <w:t>/d</w:t>
      </w:r>
      <w:r>
        <w:rPr>
          <w:rFonts w:hint="eastAsia"/>
        </w:rPr>
        <w:t>。</w:t>
      </w:r>
    </w:p>
    <w:p>
      <w:pPr>
        <w:pStyle w:val="161"/>
        <w:ind w:firstLine="480"/>
        <w:outlineLvl w:val="0"/>
      </w:pPr>
      <w:bookmarkStart w:id="180" w:name="_Toc13760122"/>
      <w:bookmarkStart w:id="181" w:name="_Toc13582075"/>
      <w:r>
        <w:rPr>
          <w:rFonts w:hint="eastAsia"/>
        </w:rPr>
        <w:t>⑷填埋场渗滤液排水系统</w:t>
      </w:r>
      <w:bookmarkEnd w:id="180"/>
      <w:bookmarkEnd w:id="181"/>
    </w:p>
    <w:p>
      <w:pPr>
        <w:pStyle w:val="161"/>
        <w:ind w:firstLine="480"/>
      </w:pPr>
      <w:r>
        <w:rPr>
          <w:rFonts w:hint="eastAsia"/>
        </w:rPr>
        <w:t>本项目全厂渗滤液产生量为</w:t>
      </w:r>
      <w:r>
        <w:t>8.6m</w:t>
      </w:r>
      <w:r>
        <w:rPr>
          <w:vertAlign w:val="superscript"/>
        </w:rPr>
        <w:t>3</w:t>
      </w:r>
      <w:r>
        <w:t>/d</w:t>
      </w:r>
      <w:r>
        <w:rPr>
          <w:rFonts w:hint="eastAsia"/>
        </w:rPr>
        <w:t>，该部分废水由罐车送至全厂污水处理站进行处理。</w:t>
      </w:r>
    </w:p>
    <w:p>
      <w:pPr>
        <w:pStyle w:val="161"/>
        <w:ind w:firstLine="480"/>
        <w:outlineLvl w:val="0"/>
      </w:pPr>
      <w:bookmarkStart w:id="182" w:name="_Toc13582076"/>
      <w:bookmarkStart w:id="183" w:name="_Toc13760123"/>
      <w:r>
        <w:rPr>
          <w:rFonts w:hint="eastAsia"/>
        </w:rPr>
        <w:t>⑸生产废水排水系统</w:t>
      </w:r>
      <w:bookmarkEnd w:id="182"/>
      <w:bookmarkEnd w:id="183"/>
    </w:p>
    <w:p>
      <w:pPr>
        <w:pStyle w:val="161"/>
        <w:ind w:firstLine="480"/>
      </w:pPr>
      <w:r>
        <w:rPr>
          <w:rFonts w:hint="eastAsia"/>
        </w:rPr>
        <w:t>生产废水排水系统主要收集物化车间、软化水站、循环水系统和焚烧车间的排水。</w:t>
      </w:r>
    </w:p>
    <w:p>
      <w:pPr>
        <w:pStyle w:val="161"/>
        <w:ind w:firstLine="480"/>
      </w:pPr>
      <w:r>
        <w:rPr>
          <w:rFonts w:hint="eastAsia"/>
        </w:rPr>
        <w:t>物化车间排污水</w:t>
      </w:r>
      <w:r>
        <w:t>4.87m</w:t>
      </w:r>
      <w:r>
        <w:rPr>
          <w:vertAlign w:val="superscript"/>
        </w:rPr>
        <w:t>3</w:t>
      </w:r>
      <w:r>
        <w:t>/d</w:t>
      </w:r>
      <w:r>
        <w:rPr>
          <w:rFonts w:hint="eastAsia"/>
        </w:rPr>
        <w:t>，其中酸雾吸收塔排水</w:t>
      </w:r>
      <w:r>
        <w:t>0.33m</w:t>
      </w:r>
      <w:r>
        <w:rPr>
          <w:vertAlign w:val="superscript"/>
        </w:rPr>
        <w:t>3</w:t>
      </w:r>
      <w:r>
        <w:t>/d</w:t>
      </w:r>
      <w:r>
        <w:rPr>
          <w:rFonts w:hint="eastAsia"/>
        </w:rPr>
        <w:t>送至焚烧车间进行利用，澄清池排水</w:t>
      </w:r>
      <w:r>
        <w:t>3.96m</w:t>
      </w:r>
      <w:r>
        <w:rPr>
          <w:vertAlign w:val="superscript"/>
        </w:rPr>
        <w:t>3</w:t>
      </w:r>
      <w:r>
        <w:t>/d</w:t>
      </w:r>
      <w:r>
        <w:rPr>
          <w:rFonts w:hint="eastAsia"/>
        </w:rPr>
        <w:t>和沉淀池废水</w:t>
      </w:r>
      <w:r>
        <w:t>0.58m</w:t>
      </w:r>
      <w:r>
        <w:rPr>
          <w:vertAlign w:val="superscript"/>
        </w:rPr>
        <w:t>3</w:t>
      </w:r>
      <w:r>
        <w:t>/d</w:t>
      </w:r>
      <w:r>
        <w:rPr>
          <w:rFonts w:hint="eastAsia"/>
        </w:rPr>
        <w:t>经本车间污水处理模块处理后送至厂区污水处理系统；软化水站排污水</w:t>
      </w:r>
      <w:r>
        <w:t>14.4m</w:t>
      </w:r>
      <w:r>
        <w:rPr>
          <w:vertAlign w:val="superscript"/>
        </w:rPr>
        <w:t>3</w:t>
      </w:r>
      <w:r>
        <w:t>/d</w:t>
      </w:r>
      <w:r>
        <w:rPr>
          <w:rFonts w:hint="eastAsia"/>
        </w:rPr>
        <w:t>，该部分废水全部送至焚烧车间进行利用；循环水系统排污水</w:t>
      </w:r>
      <w:r>
        <w:t>0.57m</w:t>
      </w:r>
      <w:r>
        <w:rPr>
          <w:vertAlign w:val="superscript"/>
        </w:rPr>
        <w:t>3</w:t>
      </w:r>
      <w:r>
        <w:t>/d</w:t>
      </w:r>
      <w:r>
        <w:rPr>
          <w:rFonts w:hint="eastAsia"/>
        </w:rPr>
        <w:t>，该部分废水全部送至焚烧车间进行利用；焚烧车间排污水</w:t>
      </w:r>
      <w:r>
        <w:t>6.92m</w:t>
      </w:r>
      <w:r>
        <w:rPr>
          <w:vertAlign w:val="superscript"/>
        </w:rPr>
        <w:t>3</w:t>
      </w:r>
      <w:r>
        <w:t>/d</w:t>
      </w:r>
      <w:r>
        <w:rPr>
          <w:rFonts w:hint="eastAsia"/>
        </w:rPr>
        <w:t>，其中余热锅炉排水</w:t>
      </w:r>
      <w:r>
        <w:t>1.2m</w:t>
      </w:r>
      <w:r>
        <w:rPr>
          <w:vertAlign w:val="superscript"/>
        </w:rPr>
        <w:t>3</w:t>
      </w:r>
      <w:r>
        <w:t>/d</w:t>
      </w:r>
      <w:r>
        <w:rPr>
          <w:rFonts w:hint="eastAsia"/>
        </w:rPr>
        <w:t>回用于本车间，喷淋洗涤塔排水排水</w:t>
      </w:r>
      <w:r>
        <w:t>5.72m</w:t>
      </w:r>
      <w:r>
        <w:rPr>
          <w:vertAlign w:val="superscript"/>
        </w:rPr>
        <w:t>3</w:t>
      </w:r>
      <w:r>
        <w:t>/d</w:t>
      </w:r>
      <w:r>
        <w:rPr>
          <w:rFonts w:hint="eastAsia"/>
        </w:rPr>
        <w:t>经本车间污水处理模块处理后送至物化车间污水处理模块进行处理。</w:t>
      </w:r>
    </w:p>
    <w:p>
      <w:pPr>
        <w:pStyle w:val="161"/>
        <w:ind w:firstLine="480"/>
        <w:outlineLvl w:val="0"/>
      </w:pPr>
      <w:bookmarkStart w:id="184" w:name="_Toc13760124"/>
      <w:bookmarkStart w:id="185" w:name="_Toc13582077"/>
      <w:r>
        <w:rPr>
          <w:rFonts w:hint="eastAsia"/>
        </w:rPr>
        <w:t>⑹厂区污水处理站排水系统</w:t>
      </w:r>
      <w:bookmarkEnd w:id="184"/>
      <w:bookmarkEnd w:id="185"/>
    </w:p>
    <w:p>
      <w:pPr>
        <w:ind w:firstLine="480"/>
      </w:pPr>
      <w:r>
        <w:rPr>
          <w:rFonts w:hint="eastAsia"/>
        </w:rPr>
        <w:t>厂区污水处理站收集处理物化车间污水处理模块排水、化验废水、冲洗废水、填埋场渗滤液以及生活污水共</w:t>
      </w:r>
      <w:r>
        <w:t>43.75m</w:t>
      </w:r>
      <w:r>
        <w:rPr>
          <w:vertAlign w:val="superscript"/>
        </w:rPr>
        <w:t>3</w:t>
      </w:r>
      <w:r>
        <w:t>/d</w:t>
      </w:r>
      <w:r>
        <w:rPr>
          <w:rFonts w:hint="eastAsia"/>
        </w:rPr>
        <w:t>，收集后的废水经全厂污水站进行处理，处理后的厂区污水处理站出水部分回用至固化车间，部分回用至焚烧车间，排浓水送至物化车间污水处理模块进行处置。</w:t>
      </w:r>
    </w:p>
    <w:p>
      <w:pPr>
        <w:pStyle w:val="161"/>
        <w:ind w:firstLine="480"/>
        <w:outlineLvl w:val="0"/>
      </w:pPr>
      <w:bookmarkStart w:id="186" w:name="_Toc13760125"/>
      <w:bookmarkStart w:id="187" w:name="_Toc13582078"/>
      <w:r>
        <w:rPr>
          <w:rFonts w:hint="eastAsia"/>
        </w:rPr>
        <w:t>⑺污染雨水排水系统</w:t>
      </w:r>
      <w:bookmarkEnd w:id="186"/>
      <w:bookmarkEnd w:id="187"/>
    </w:p>
    <w:p>
      <w:pPr>
        <w:pStyle w:val="161"/>
        <w:ind w:firstLine="480"/>
      </w:pPr>
      <w:r>
        <w:rPr>
          <w:rFonts w:hint="eastAsia"/>
        </w:rPr>
        <w:t>本系统主要用于收集装置污染区域内的地面初期雨水。</w:t>
      </w:r>
    </w:p>
    <w:p>
      <w:pPr>
        <w:pStyle w:val="161"/>
        <w:ind w:firstLine="480"/>
      </w:pPr>
      <w:r>
        <w:rPr>
          <w:rFonts w:hint="eastAsia"/>
        </w:rPr>
        <w:t>装置污染区的初期污染雨水，应收集后排至厂区设置的一座</w:t>
      </w:r>
      <w:r>
        <w:t>600m</w:t>
      </w:r>
      <w:r>
        <w:rPr>
          <w:vertAlign w:val="superscript"/>
        </w:rPr>
        <w:t>3</w:t>
      </w:r>
      <w:r>
        <w:rPr>
          <w:rFonts w:hint="eastAsia"/>
        </w:rPr>
        <w:t>的污染雨水收集池。装置污染区的后期清净雨水通过溢流井，自动切换到清净雨水系统。</w:t>
      </w:r>
    </w:p>
    <w:p>
      <w:pPr>
        <w:pStyle w:val="161"/>
        <w:ind w:firstLine="480"/>
        <w:outlineLvl w:val="0"/>
      </w:pPr>
      <w:bookmarkStart w:id="188" w:name="_Toc13760126"/>
      <w:bookmarkStart w:id="189" w:name="_Toc13582079"/>
      <w:r>
        <w:rPr>
          <w:rFonts w:hint="eastAsia"/>
        </w:rPr>
        <w:t>⑻雨水排水系统</w:t>
      </w:r>
      <w:bookmarkEnd w:id="188"/>
      <w:bookmarkEnd w:id="189"/>
    </w:p>
    <w:p>
      <w:pPr>
        <w:pStyle w:val="161"/>
        <w:ind w:firstLine="480"/>
      </w:pPr>
      <w:r>
        <w:rPr>
          <w:rFonts w:hint="eastAsia"/>
        </w:rPr>
        <w:t>本系统收集全厂未污染的雨水，以重力流形式分散、就近排入全厂雨水排水管系统。该系统根据各装置的汇流面积，经计算确定集中以管道重力流排至全厂雨水排水系统。</w:t>
      </w:r>
    </w:p>
    <w:p>
      <w:pPr>
        <w:pStyle w:val="161"/>
        <w:ind w:firstLine="480"/>
        <w:outlineLvl w:val="0"/>
      </w:pPr>
      <w:bookmarkStart w:id="190" w:name="_Toc13760127"/>
      <w:bookmarkStart w:id="191" w:name="_Toc13582080"/>
      <w:r>
        <w:rPr>
          <w:rFonts w:hint="eastAsia"/>
        </w:rPr>
        <w:t>⑼事故水收集系统</w:t>
      </w:r>
      <w:bookmarkEnd w:id="190"/>
      <w:bookmarkEnd w:id="191"/>
    </w:p>
    <w:p>
      <w:pPr>
        <w:pStyle w:val="161"/>
        <w:ind w:firstLine="480"/>
      </w:pPr>
      <w:r>
        <w:rPr>
          <w:rFonts w:hint="eastAsia"/>
        </w:rPr>
        <w:t>本项目危废综合处置厂区设</w:t>
      </w:r>
      <w:r>
        <w:t>1</w:t>
      </w:r>
      <w:r>
        <w:rPr>
          <w:rFonts w:hint="eastAsia"/>
        </w:rPr>
        <w:t>座</w:t>
      </w:r>
      <w:r>
        <w:t>1840m</w:t>
      </w:r>
      <w:r>
        <w:rPr>
          <w:vertAlign w:val="superscript"/>
        </w:rPr>
        <w:t>3</w:t>
      </w:r>
      <w:r>
        <w:rPr>
          <w:rFonts w:hint="eastAsia"/>
        </w:rPr>
        <w:t>的全厂事故废水收集池兼顾消防废水收集池，</w:t>
      </w:r>
      <w:r>
        <w:t>1</w:t>
      </w:r>
      <w:r>
        <w:rPr>
          <w:rFonts w:hint="eastAsia"/>
        </w:rPr>
        <w:t>座</w:t>
      </w:r>
      <w:r>
        <w:t>600m</w:t>
      </w:r>
      <w:r>
        <w:rPr>
          <w:vertAlign w:val="superscript"/>
        </w:rPr>
        <w:t>3</w:t>
      </w:r>
      <w:r>
        <w:rPr>
          <w:rFonts w:hint="eastAsia"/>
        </w:rPr>
        <w:t>的初期雨水收集池。</w:t>
      </w:r>
    </w:p>
    <w:p>
      <w:pPr>
        <w:ind w:firstLine="480"/>
      </w:pPr>
      <w:r>
        <w:rPr>
          <w:rFonts w:hint="eastAsia"/>
        </w:rPr>
        <w:t>本项目危废综合处置厂区设置</w:t>
      </w:r>
      <w:r>
        <w:t>1</w:t>
      </w:r>
      <w:r>
        <w:rPr>
          <w:rFonts w:hint="eastAsia"/>
        </w:rPr>
        <w:t>座焚烧车间废水收集池，收集本项目焚烧车间非满负荷运行的情况下该车间未能回用的厂区排水。</w:t>
      </w:r>
    </w:p>
    <w:p>
      <w:pPr>
        <w:ind w:firstLine="480"/>
      </w:pPr>
      <w:r>
        <w:rPr>
          <w:rFonts w:hint="eastAsia"/>
        </w:rPr>
        <w:t>根据本项目水平衡图，本项目焚烧车间所用回用水主要来自软化水站</w:t>
      </w:r>
      <w:r>
        <w:t>(14.4t/d)</w:t>
      </w:r>
      <w:r>
        <w:rPr>
          <w:rFonts w:hint="eastAsia"/>
        </w:rPr>
        <w:t>、物化车间</w:t>
      </w:r>
      <w:r>
        <w:t>(0.33t/d)</w:t>
      </w:r>
      <w:r>
        <w:rPr>
          <w:rFonts w:hint="eastAsia"/>
        </w:rPr>
        <w:t>、余热锅炉</w:t>
      </w:r>
      <w:r>
        <w:t>(1.2t/d)</w:t>
      </w:r>
      <w:r>
        <w:rPr>
          <w:rFonts w:hint="eastAsia"/>
        </w:rPr>
        <w:t>、循环水系统</w:t>
      </w:r>
      <w:r>
        <w:t>(0.38t/d)</w:t>
      </w:r>
      <w:r>
        <w:rPr>
          <w:rFonts w:hint="eastAsia"/>
        </w:rPr>
        <w:t>和厂区污水处理系统</w:t>
      </w:r>
      <w:r>
        <w:t>(33.63t/d)</w:t>
      </w:r>
      <w:r>
        <w:rPr>
          <w:rFonts w:hint="eastAsia"/>
        </w:rPr>
        <w:t>排水，故焚烧车间正常运行时回用水的使用量为</w:t>
      </w:r>
      <w:r>
        <w:t>49.94t/d</w:t>
      </w:r>
      <w:r>
        <w:rPr>
          <w:rFonts w:hint="eastAsia"/>
        </w:rPr>
        <w:t>。考虑设置一定的余量，本项目设置一座</w:t>
      </w:r>
      <w:r>
        <w:t>500m</w:t>
      </w:r>
      <w:r>
        <w:rPr>
          <w:vertAlign w:val="superscript"/>
        </w:rPr>
        <w:t>3</w:t>
      </w:r>
      <w:r>
        <w:rPr>
          <w:rFonts w:hint="eastAsia"/>
        </w:rPr>
        <w:t>的焚烧车间废水收集池，可收集焚烧车间约</w:t>
      </w:r>
      <w:r>
        <w:t>10d</w:t>
      </w:r>
      <w:r>
        <w:rPr>
          <w:rFonts w:hint="eastAsia"/>
        </w:rPr>
        <w:t>零负荷运行时所富余的回用水量，该废水收集池参照危废贮存设施进行管理。待焚烧车间恢复正常运行时，可将收集池中的水用于该车间生产。</w:t>
      </w:r>
    </w:p>
    <w:p>
      <w:pPr>
        <w:pStyle w:val="6"/>
      </w:pPr>
      <w:r>
        <w:t>3.5.1.3</w:t>
      </w:r>
      <w:r>
        <w:rPr>
          <w:rFonts w:hint="eastAsia"/>
        </w:rPr>
        <w:t>消防用水</w:t>
      </w:r>
    </w:p>
    <w:p>
      <w:pPr>
        <w:ind w:firstLine="480"/>
      </w:pPr>
      <w:r>
        <w:rPr>
          <w:rFonts w:hint="eastAsia"/>
        </w:rPr>
        <w:t>根据《建筑设计防火规范》</w:t>
      </w:r>
      <w:r>
        <w:t>GB50016-2014</w:t>
      </w:r>
      <w:r>
        <w:rPr>
          <w:rFonts w:hint="eastAsia"/>
        </w:rPr>
        <w:t>规定，全厂同一时间内火灾次数按一次计。灭火延续时间按</w:t>
      </w:r>
      <w:r>
        <w:t>3h</w:t>
      </w:r>
      <w:r>
        <w:rPr>
          <w:rFonts w:hint="eastAsia"/>
        </w:rPr>
        <w:t>计</w:t>
      </w:r>
      <w:r>
        <w:t>(</w:t>
      </w:r>
      <w:r>
        <w:rPr>
          <w:rFonts w:hint="eastAsia"/>
        </w:rPr>
        <w:t>水喷雾持续喷雾时间</w:t>
      </w:r>
      <w:r>
        <w:t>0.4h)</w:t>
      </w:r>
      <w:r>
        <w:rPr>
          <w:rFonts w:hint="eastAsia"/>
        </w:rPr>
        <w:t>计，一次灭火用水量：消火栓用水</w:t>
      </w:r>
      <w:r>
        <w:t>432m</w:t>
      </w:r>
      <w:r>
        <w:rPr>
          <w:vertAlign w:val="superscript"/>
        </w:rPr>
        <w:t>3</w:t>
      </w:r>
      <w:r>
        <w:rPr>
          <w:rFonts w:hint="eastAsia"/>
        </w:rPr>
        <w:t>，水喷雾用水</w:t>
      </w:r>
      <w:r>
        <w:t>192m</w:t>
      </w:r>
      <w:r>
        <w:rPr>
          <w:vertAlign w:val="superscript"/>
        </w:rPr>
        <w:t>3</w:t>
      </w:r>
      <w:r>
        <w:rPr>
          <w:rFonts w:hint="eastAsia"/>
        </w:rPr>
        <w:t>，消防时总用水量</w:t>
      </w:r>
      <w:r>
        <w:t>624m</w:t>
      </w:r>
      <w:r>
        <w:rPr>
          <w:vertAlign w:val="superscript"/>
        </w:rPr>
        <w:t>3</w:t>
      </w:r>
      <w:r>
        <w:rPr>
          <w:rFonts w:hint="eastAsia"/>
        </w:rPr>
        <w:t>。</w:t>
      </w:r>
    </w:p>
    <w:p>
      <w:pPr>
        <w:ind w:firstLine="480"/>
      </w:pPr>
      <w:r>
        <w:rPr>
          <w:rFonts w:hint="eastAsia"/>
        </w:rPr>
        <w:t>厂区消防采用临时高压消防给水系统，消防水泵房蓄水池贮专用消防水量</w:t>
      </w:r>
      <w:r>
        <w:t>650m</w:t>
      </w:r>
      <w:r>
        <w:rPr>
          <w:vertAlign w:val="superscript"/>
        </w:rPr>
        <w:t>3</w:t>
      </w:r>
      <w:r>
        <w:rPr>
          <w:rFonts w:hint="eastAsia"/>
        </w:rPr>
        <w:t>，并设专用消防水泵</w:t>
      </w:r>
      <w:r>
        <w:t>3</w:t>
      </w:r>
      <w:r>
        <w:rPr>
          <w:rFonts w:hint="eastAsia"/>
        </w:rPr>
        <w:t>台，单泵</w:t>
      </w:r>
      <w:r>
        <w:t>Q=90m</w:t>
      </w:r>
      <w:r>
        <w:rPr>
          <w:vertAlign w:val="superscript"/>
        </w:rPr>
        <w:t>3</w:t>
      </w:r>
      <w:r>
        <w:t>/h  H=80m N=37kw</w:t>
      </w:r>
      <w:r>
        <w:rPr>
          <w:rFonts w:hint="eastAsia"/>
        </w:rPr>
        <w:t>。消防给水管与生产</w:t>
      </w:r>
      <w:r>
        <w:t>.</w:t>
      </w:r>
      <w:r>
        <w:rPr>
          <w:rFonts w:hint="eastAsia"/>
        </w:rPr>
        <w:t>生活给水管采用同一管道供水系统，管网环状布置，主管为</w:t>
      </w:r>
      <w:r>
        <w:t>DN200</w:t>
      </w:r>
      <w:r>
        <w:rPr>
          <w:rFonts w:hint="eastAsia"/>
        </w:rPr>
        <w:t>给水铸铁管，在室外环状给水管网上设双出口地下式消火栓间距小于</w:t>
      </w:r>
      <w:r>
        <w:t>120m</w:t>
      </w:r>
      <w:r>
        <w:rPr>
          <w:rFonts w:hint="eastAsia"/>
        </w:rPr>
        <w:t>。</w:t>
      </w:r>
    </w:p>
    <w:p>
      <w:pPr>
        <w:ind w:firstLine="480"/>
      </w:pPr>
      <w:r>
        <w:rPr>
          <w:rFonts w:hint="eastAsia"/>
        </w:rPr>
        <w:t>生产及循环水泵采用恒压变频自动控制系统，做到节省能源保证供水。卫生器具采用节水型器具。</w:t>
      </w:r>
    </w:p>
    <w:p>
      <w:pPr>
        <w:pStyle w:val="6"/>
      </w:pPr>
      <w:r>
        <w:t>3.5.1.</w:t>
      </w:r>
      <w:r>
        <w:rPr>
          <w:rFonts w:hint="eastAsia"/>
        </w:rPr>
        <w:t>4全厂水平衡</w:t>
      </w:r>
    </w:p>
    <w:p>
      <w:pPr>
        <w:ind w:firstLine="480"/>
      </w:pPr>
      <w:r>
        <w:rPr>
          <w:rFonts w:hint="eastAsia"/>
        </w:rPr>
        <w:t>本项目新鲜水用量为</w:t>
      </w:r>
      <w:r>
        <w:t>56.02m</w:t>
      </w:r>
      <w:r>
        <w:rPr>
          <w:vertAlign w:val="superscript"/>
        </w:rPr>
        <w:t>3</w:t>
      </w:r>
      <w:r>
        <w:t>/d</w:t>
      </w:r>
      <w:r>
        <w:rPr>
          <w:rFonts w:hint="eastAsia"/>
        </w:rPr>
        <w:t>，其中生产用水量为</w:t>
      </w:r>
      <w:r>
        <w:t>21.02m</w:t>
      </w:r>
      <w:r>
        <w:rPr>
          <w:vertAlign w:val="superscript"/>
        </w:rPr>
        <w:t>3</w:t>
      </w:r>
      <w:r>
        <w:t>/d</w:t>
      </w:r>
      <w:r>
        <w:rPr>
          <w:rFonts w:hint="eastAsia"/>
        </w:rPr>
        <w:t>，冲洗水用量为</w:t>
      </w:r>
      <w:r>
        <w:t>11.6m</w:t>
      </w:r>
      <w:r>
        <w:rPr>
          <w:vertAlign w:val="superscript"/>
        </w:rPr>
        <w:t>3</w:t>
      </w:r>
      <w:r>
        <w:t>/d</w:t>
      </w:r>
      <w:r>
        <w:rPr>
          <w:rFonts w:hint="eastAsia"/>
        </w:rPr>
        <w:t>，化验水量为</w:t>
      </w:r>
      <w:r>
        <w:t>2.5m</w:t>
      </w:r>
      <w:r>
        <w:rPr>
          <w:vertAlign w:val="superscript"/>
        </w:rPr>
        <w:t>3</w:t>
      </w:r>
      <w:r>
        <w:t>/d</w:t>
      </w:r>
      <w:r>
        <w:rPr>
          <w:rFonts w:hint="eastAsia"/>
        </w:rPr>
        <w:t>，生活用水量为</w:t>
      </w:r>
      <w:r>
        <w:t>12.40m</w:t>
      </w:r>
      <w:r>
        <w:rPr>
          <w:vertAlign w:val="superscript"/>
        </w:rPr>
        <w:t>3</w:t>
      </w:r>
      <w:r>
        <w:t>/d</w:t>
      </w:r>
      <w:r>
        <w:rPr>
          <w:rFonts w:hint="eastAsia"/>
        </w:rPr>
        <w:t>，未预见用水为</w:t>
      </w:r>
      <w:r>
        <w:t>8.5m</w:t>
      </w:r>
      <w:r>
        <w:rPr>
          <w:vertAlign w:val="superscript"/>
        </w:rPr>
        <w:t>3</w:t>
      </w:r>
      <w:r>
        <w:t>/d</w:t>
      </w:r>
      <w:r>
        <w:rPr>
          <w:rFonts w:hint="eastAsia"/>
        </w:rPr>
        <w:t>。</w:t>
      </w:r>
    </w:p>
    <w:p>
      <w:pPr>
        <w:ind w:firstLine="480"/>
      </w:pPr>
      <w:r>
        <w:rPr>
          <w:rFonts w:hint="eastAsia"/>
        </w:rPr>
        <w:t>全厂生活污水产生量为</w:t>
      </w:r>
      <w:r>
        <w:t>9.92 m</w:t>
      </w:r>
      <w:r>
        <w:rPr>
          <w:vertAlign w:val="superscript"/>
        </w:rPr>
        <w:t>3</w:t>
      </w:r>
      <w:r>
        <w:t>/d</w:t>
      </w:r>
      <w:r>
        <w:rPr>
          <w:rFonts w:hint="eastAsia"/>
        </w:rPr>
        <w:t>，经厂区化粪池处理后送至厂区污水处理站；冲洗废水、化验污水及填埋场渗滤液产生量为</w:t>
      </w:r>
      <w:r>
        <w:t>20.2m</w:t>
      </w:r>
      <w:r>
        <w:rPr>
          <w:vertAlign w:val="superscript"/>
        </w:rPr>
        <w:t>3</w:t>
      </w:r>
      <w:r>
        <w:t>/d</w:t>
      </w:r>
      <w:r>
        <w:rPr>
          <w:rFonts w:hint="eastAsia"/>
        </w:rPr>
        <w:t>，送至本项目污水处理站进行处理；生产废水排水系统主要收集物化车间、软化水站、循环水系统和焚烧车间的排水。物化车间排污水</w:t>
      </w:r>
      <w:r>
        <w:t>4.87m</w:t>
      </w:r>
      <w:r>
        <w:rPr>
          <w:vertAlign w:val="superscript"/>
        </w:rPr>
        <w:t>3</w:t>
      </w:r>
      <w:r>
        <w:t>/d</w:t>
      </w:r>
      <w:r>
        <w:rPr>
          <w:rFonts w:hint="eastAsia"/>
        </w:rPr>
        <w:t>，其中酸雾吸收塔排水</w:t>
      </w:r>
      <w:r>
        <w:t>0.33m</w:t>
      </w:r>
      <w:r>
        <w:rPr>
          <w:vertAlign w:val="superscript"/>
        </w:rPr>
        <w:t>3</w:t>
      </w:r>
      <w:r>
        <w:t>/d</w:t>
      </w:r>
      <w:r>
        <w:rPr>
          <w:rFonts w:hint="eastAsia"/>
        </w:rPr>
        <w:t>送至焚烧车间进行利用，澄清池排水</w:t>
      </w:r>
      <w:r>
        <w:t>3.96m</w:t>
      </w:r>
      <w:r>
        <w:rPr>
          <w:vertAlign w:val="superscript"/>
        </w:rPr>
        <w:t>3</w:t>
      </w:r>
      <w:r>
        <w:t>/d</w:t>
      </w:r>
      <w:r>
        <w:rPr>
          <w:rFonts w:hint="eastAsia"/>
        </w:rPr>
        <w:t>和沉淀池废水</w:t>
      </w:r>
      <w:r>
        <w:t>0.58m</w:t>
      </w:r>
      <w:r>
        <w:rPr>
          <w:vertAlign w:val="superscript"/>
        </w:rPr>
        <w:t>3</w:t>
      </w:r>
      <w:r>
        <w:t>/d</w:t>
      </w:r>
      <w:r>
        <w:rPr>
          <w:rFonts w:hint="eastAsia"/>
        </w:rPr>
        <w:t>经本车间污水处理模块处理后送至厂区污水处理系统；软化水站排污水</w:t>
      </w:r>
      <w:r>
        <w:t>14.4m</w:t>
      </w:r>
      <w:r>
        <w:rPr>
          <w:vertAlign w:val="superscript"/>
        </w:rPr>
        <w:t>3</w:t>
      </w:r>
      <w:r>
        <w:t>/d</w:t>
      </w:r>
      <w:r>
        <w:rPr>
          <w:rFonts w:hint="eastAsia"/>
        </w:rPr>
        <w:t>，该部分废水全部送至焚烧车间进行利用；循环水系统排污水</w:t>
      </w:r>
      <w:r>
        <w:t>0.57m</w:t>
      </w:r>
      <w:r>
        <w:rPr>
          <w:vertAlign w:val="superscript"/>
        </w:rPr>
        <w:t>3</w:t>
      </w:r>
      <w:r>
        <w:t>/d</w:t>
      </w:r>
      <w:r>
        <w:rPr>
          <w:rFonts w:hint="eastAsia"/>
        </w:rPr>
        <w:t>，该部分废水全部送至焚烧车间进行利用；焚烧车间排污水</w:t>
      </w:r>
      <w:r>
        <w:t>6.92m</w:t>
      </w:r>
      <w:r>
        <w:rPr>
          <w:vertAlign w:val="superscript"/>
        </w:rPr>
        <w:t>3</w:t>
      </w:r>
      <w:r>
        <w:t>/d</w:t>
      </w:r>
      <w:r>
        <w:rPr>
          <w:rFonts w:hint="eastAsia"/>
        </w:rPr>
        <w:t>，其中余热锅炉排水</w:t>
      </w:r>
      <w:r>
        <w:t>1.2m</w:t>
      </w:r>
      <w:r>
        <w:rPr>
          <w:vertAlign w:val="superscript"/>
        </w:rPr>
        <w:t>3</w:t>
      </w:r>
      <w:r>
        <w:t>/d</w:t>
      </w:r>
      <w:r>
        <w:rPr>
          <w:rFonts w:hint="eastAsia"/>
        </w:rPr>
        <w:t>回用于本车间，喷淋洗涤塔排水排水</w:t>
      </w:r>
      <w:r>
        <w:t>5.72m</w:t>
      </w:r>
      <w:r>
        <w:rPr>
          <w:vertAlign w:val="superscript"/>
        </w:rPr>
        <w:t>3</w:t>
      </w:r>
      <w:r>
        <w:t>/d</w:t>
      </w:r>
      <w:r>
        <w:rPr>
          <w:rFonts w:hint="eastAsia"/>
        </w:rPr>
        <w:t>经本车间污水处理模块处理后送至物化车间污水处理模块进行处理。厂区污水处理站收集生活污水、部分生产废水、化验废水、冲洗废水以及填埋场渗滤液共</w:t>
      </w:r>
      <w:r>
        <w:t>43.75m</w:t>
      </w:r>
      <w:r>
        <w:rPr>
          <w:vertAlign w:val="superscript"/>
        </w:rPr>
        <w:t>3</w:t>
      </w:r>
      <w:r>
        <w:t>/d</w:t>
      </w:r>
      <w:r>
        <w:rPr>
          <w:rFonts w:hint="eastAsia"/>
        </w:rPr>
        <w:t>，收集后的废水经“絮凝沉淀</w:t>
      </w:r>
      <w:r>
        <w:t>+</w:t>
      </w:r>
      <w:r>
        <w:rPr>
          <w:rFonts w:hint="eastAsia"/>
        </w:rPr>
        <w:t>水解酸化</w:t>
      </w:r>
      <w:r>
        <w:t>+MBR+</w:t>
      </w:r>
      <w:r>
        <w:rPr>
          <w:rFonts w:hint="eastAsia"/>
        </w:rPr>
        <w:t>回用系统”进行处理，出水</w:t>
      </w:r>
      <w:r>
        <w:t>5.51m</w:t>
      </w:r>
      <w:r>
        <w:rPr>
          <w:vertAlign w:val="superscript"/>
        </w:rPr>
        <w:t>3</w:t>
      </w:r>
      <w:r>
        <w:t>/d</w:t>
      </w:r>
      <w:r>
        <w:rPr>
          <w:rFonts w:hint="eastAsia"/>
        </w:rPr>
        <w:t>回用至固化车间，</w:t>
      </w:r>
      <w:r>
        <w:t>33.63m</w:t>
      </w:r>
      <w:r>
        <w:rPr>
          <w:vertAlign w:val="superscript"/>
        </w:rPr>
        <w:t>3</w:t>
      </w:r>
      <w:r>
        <w:t>/d</w:t>
      </w:r>
      <w:r>
        <w:rPr>
          <w:rFonts w:hint="eastAsia"/>
        </w:rPr>
        <w:t>回用至焚烧车间，浓水</w:t>
      </w:r>
      <w:r>
        <w:t>4.61m</w:t>
      </w:r>
      <w:r>
        <w:rPr>
          <w:vertAlign w:val="superscript"/>
        </w:rPr>
        <w:t>3</w:t>
      </w:r>
      <w:r>
        <w:t>/d</w:t>
      </w:r>
      <w:r>
        <w:rPr>
          <w:rFonts w:hint="eastAsia"/>
        </w:rPr>
        <w:t>送至物化车间污水处理模块。</w:t>
      </w:r>
    </w:p>
    <w:p>
      <w:pPr>
        <w:ind w:firstLine="480"/>
      </w:pPr>
      <w:r>
        <w:rPr>
          <w:rFonts w:hint="eastAsia"/>
        </w:rPr>
        <w:t>由上可见，项目全厂废水经处理后全部回用，无废水外排。本工程全厂用水情况见表</w:t>
      </w:r>
      <w:r>
        <w:t>3.5</w:t>
      </w:r>
      <w:r>
        <w:rPr>
          <w:rFonts w:hint="eastAsia"/>
        </w:rPr>
        <w:t>—</w:t>
      </w:r>
      <w:r>
        <w:t>2</w:t>
      </w:r>
      <w:r>
        <w:rPr>
          <w:rFonts w:hint="eastAsia"/>
        </w:rPr>
        <w:t>，水平衡见图</w:t>
      </w:r>
      <w:r>
        <w:t>3.5</w:t>
      </w:r>
      <w:r>
        <w:rPr>
          <w:rFonts w:hint="eastAsia"/>
        </w:rPr>
        <w:t>—</w:t>
      </w:r>
      <w:r>
        <w:t>3</w:t>
      </w:r>
      <w:r>
        <w:rPr>
          <w:rFonts w:hint="eastAsia"/>
        </w:rPr>
        <w:t>。</w:t>
      </w:r>
    </w:p>
    <w:p>
      <w:pPr>
        <w:ind w:firstLine="480"/>
        <w:sectPr>
          <w:pgSz w:w="11906" w:h="16838"/>
          <w:pgMar w:top="1418" w:right="1134" w:bottom="1418" w:left="1134" w:header="850" w:footer="850" w:gutter="0"/>
          <w:cols w:space="720" w:num="1"/>
          <w:docGrid w:linePitch="326" w:charSpace="0"/>
        </w:sectPr>
      </w:pPr>
    </w:p>
    <w:p>
      <w:pPr>
        <w:ind w:firstLine="480"/>
      </w:pPr>
      <w:r>
        <w:rPr>
          <w:rFonts w:hint="eastAsia"/>
        </w:rPr>
        <w:t>表</w:t>
      </w:r>
      <w:r>
        <w:t>3.5</w:t>
      </w:r>
      <w:r>
        <w:rPr>
          <w:rFonts w:hint="eastAsia"/>
        </w:rPr>
        <w:t>—</w:t>
      </w:r>
      <w:r>
        <w:t xml:space="preserve">2                                         </w:t>
      </w:r>
      <w:r>
        <w:rPr>
          <w:rFonts w:hint="eastAsia"/>
        </w:rPr>
        <w:t>全厂水平衡表单位：</w:t>
      </w:r>
      <w:r>
        <w:t>t/d</w:t>
      </w:r>
    </w:p>
    <w:tbl>
      <w:tblPr>
        <w:tblStyle w:val="88"/>
        <w:tblW w:w="14786" w:type="dxa"/>
        <w:jc w:val="center"/>
        <w:tblLayout w:type="fixed"/>
        <w:tblCellMar>
          <w:top w:w="0" w:type="dxa"/>
          <w:left w:w="108" w:type="dxa"/>
          <w:bottom w:w="0" w:type="dxa"/>
          <w:right w:w="108" w:type="dxa"/>
        </w:tblCellMar>
      </w:tblPr>
      <w:tblGrid>
        <w:gridCol w:w="1761"/>
        <w:gridCol w:w="1225"/>
        <w:gridCol w:w="1106"/>
        <w:gridCol w:w="725"/>
        <w:gridCol w:w="641"/>
        <w:gridCol w:w="745"/>
        <w:gridCol w:w="600"/>
        <w:gridCol w:w="1366"/>
        <w:gridCol w:w="1366"/>
        <w:gridCol w:w="1064"/>
        <w:gridCol w:w="908"/>
        <w:gridCol w:w="1224"/>
        <w:gridCol w:w="692"/>
        <w:gridCol w:w="1363"/>
      </w:tblGrid>
      <w:tr>
        <w:tblPrEx>
          <w:tblCellMar>
            <w:top w:w="0" w:type="dxa"/>
            <w:left w:w="108" w:type="dxa"/>
            <w:bottom w:w="0" w:type="dxa"/>
            <w:right w:w="108" w:type="dxa"/>
          </w:tblCellMar>
        </w:tblPrEx>
        <w:trPr>
          <w:trHeight w:val="284" w:hRule="atLeast"/>
          <w:jc w:val="center"/>
        </w:trPr>
        <w:tc>
          <w:tcPr>
            <w:tcW w:w="1761" w:type="dxa"/>
            <w:vMerge w:val="restart"/>
            <w:tcBorders>
              <w:top w:val="single" w:color="000000"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类别</w:t>
            </w:r>
          </w:p>
          <w:p>
            <w:pPr>
              <w:spacing w:line="240" w:lineRule="atLeast"/>
              <w:ind w:firstLine="0" w:firstLineChars="0"/>
              <w:jc w:val="center"/>
              <w:rPr>
                <w:sz w:val="21"/>
              </w:rPr>
            </w:pPr>
            <w:r>
              <w:rPr>
                <w:rFonts w:hint="eastAsia"/>
                <w:sz w:val="21"/>
              </w:rPr>
              <w:t>装置</w:t>
            </w:r>
          </w:p>
        </w:tc>
        <w:tc>
          <w:tcPr>
            <w:tcW w:w="6408" w:type="dxa"/>
            <w:gridSpan w:val="7"/>
            <w:tcBorders>
              <w:top w:val="single" w:color="000000"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入方</w:t>
            </w:r>
          </w:p>
        </w:tc>
        <w:tc>
          <w:tcPr>
            <w:tcW w:w="6617" w:type="dxa"/>
            <w:gridSpan w:val="6"/>
            <w:tcBorders>
              <w:top w:val="single" w:color="000000"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出方</w:t>
            </w:r>
          </w:p>
        </w:tc>
      </w:tr>
      <w:tr>
        <w:tblPrEx>
          <w:tblCellMar>
            <w:top w:w="0" w:type="dxa"/>
            <w:left w:w="108" w:type="dxa"/>
            <w:bottom w:w="0" w:type="dxa"/>
            <w:right w:w="108" w:type="dxa"/>
          </w:tblCellMar>
        </w:tblPrEx>
        <w:trPr>
          <w:trHeight w:val="284" w:hRule="atLeast"/>
          <w:jc w:val="center"/>
        </w:trPr>
        <w:tc>
          <w:tcPr>
            <w:tcW w:w="1761" w:type="dxa"/>
            <w:vMerge w:val="continue"/>
            <w:tcBorders>
              <w:top w:val="single" w:color="000000" w:sz="12" w:space="0"/>
              <w:left w:val="nil"/>
              <w:bottom w:val="single" w:color="auto" w:sz="12" w:space="0"/>
              <w:right w:val="dotted" w:color="auto" w:sz="4" w:space="0"/>
            </w:tcBorders>
            <w:vAlign w:val="center"/>
          </w:tcPr>
          <w:p>
            <w:pPr>
              <w:spacing w:line="240" w:lineRule="atLeast"/>
              <w:ind w:firstLine="0" w:firstLineChars="0"/>
              <w:jc w:val="center"/>
              <w:rPr>
                <w:sz w:val="21"/>
              </w:rPr>
            </w:pPr>
          </w:p>
        </w:tc>
        <w:tc>
          <w:tcPr>
            <w:tcW w:w="1225"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新鲜水</w:t>
            </w:r>
          </w:p>
        </w:tc>
        <w:tc>
          <w:tcPr>
            <w:tcW w:w="1106"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带入水</w:t>
            </w:r>
            <w:r>
              <w:rPr>
                <w:sz w:val="21"/>
              </w:rPr>
              <w:t>/</w:t>
            </w:r>
            <w:r>
              <w:rPr>
                <w:rFonts w:hint="eastAsia"/>
                <w:sz w:val="21"/>
              </w:rPr>
              <w:t>反应生成水</w:t>
            </w:r>
            <w:r>
              <w:rPr>
                <w:sz w:val="21"/>
              </w:rPr>
              <w:t>/</w:t>
            </w:r>
            <w:r>
              <w:rPr>
                <w:rFonts w:hint="eastAsia"/>
                <w:sz w:val="21"/>
              </w:rPr>
              <w:t>外来水</w:t>
            </w:r>
          </w:p>
        </w:tc>
        <w:tc>
          <w:tcPr>
            <w:tcW w:w="725"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循环水</w:t>
            </w:r>
          </w:p>
        </w:tc>
        <w:tc>
          <w:tcPr>
            <w:tcW w:w="64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软水</w:t>
            </w:r>
          </w:p>
        </w:tc>
        <w:tc>
          <w:tcPr>
            <w:tcW w:w="745"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回用水</w:t>
            </w:r>
          </w:p>
        </w:tc>
        <w:tc>
          <w:tcPr>
            <w:tcW w:w="600"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其他</w:t>
            </w:r>
          </w:p>
        </w:tc>
        <w:tc>
          <w:tcPr>
            <w:tcW w:w="1366"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小计</w:t>
            </w:r>
          </w:p>
        </w:tc>
        <w:tc>
          <w:tcPr>
            <w:tcW w:w="1366"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循环使用水</w:t>
            </w:r>
          </w:p>
        </w:tc>
        <w:tc>
          <w:tcPr>
            <w:tcW w:w="1064"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污废水</w:t>
            </w:r>
          </w:p>
        </w:tc>
        <w:tc>
          <w:tcPr>
            <w:tcW w:w="908"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出水</w:t>
            </w:r>
          </w:p>
        </w:tc>
        <w:tc>
          <w:tcPr>
            <w:tcW w:w="1224"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损耗</w:t>
            </w:r>
          </w:p>
        </w:tc>
        <w:tc>
          <w:tcPr>
            <w:tcW w:w="692"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产品</w:t>
            </w:r>
            <w:r>
              <w:rPr>
                <w:sz w:val="21"/>
              </w:rPr>
              <w:t>/</w:t>
            </w:r>
            <w:r>
              <w:rPr>
                <w:rFonts w:hint="eastAsia"/>
                <w:sz w:val="21"/>
              </w:rPr>
              <w:t>废物带走</w:t>
            </w:r>
          </w:p>
        </w:tc>
        <w:tc>
          <w:tcPr>
            <w:tcW w:w="1363"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小计</w:t>
            </w:r>
          </w:p>
        </w:tc>
      </w:tr>
      <w:tr>
        <w:tblPrEx>
          <w:tblCellMar>
            <w:top w:w="0" w:type="dxa"/>
            <w:left w:w="108" w:type="dxa"/>
            <w:bottom w:w="0" w:type="dxa"/>
            <w:right w:w="108" w:type="dxa"/>
          </w:tblCellMar>
        </w:tblPrEx>
        <w:trPr>
          <w:trHeight w:val="480" w:hRule="atLeast"/>
          <w:jc w:val="center"/>
        </w:trPr>
        <w:tc>
          <w:tcPr>
            <w:tcW w:w="1761"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未预见用水</w:t>
            </w:r>
          </w:p>
        </w:tc>
        <w:tc>
          <w:tcPr>
            <w:tcW w:w="1225"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8.5</w:t>
            </w:r>
          </w:p>
        </w:tc>
        <w:tc>
          <w:tcPr>
            <w:tcW w:w="1106"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25"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00"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8.5</w:t>
            </w:r>
          </w:p>
        </w:tc>
        <w:tc>
          <w:tcPr>
            <w:tcW w:w="1366"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908"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8.5</w:t>
            </w:r>
          </w:p>
        </w:tc>
        <w:tc>
          <w:tcPr>
            <w:tcW w:w="692"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8.5</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循环水系统</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3.57</w:t>
            </w: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3.57</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0.57</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3.0</w:t>
            </w: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3.57</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生活用水</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12.40</w:t>
            </w: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12.40</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9.92</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2.48</w:t>
            </w: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12.40</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化验室用水</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2.5</w:t>
            </w: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2.5</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0.5</w:t>
            </w: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2.5</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冲洗用水</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11.6</w:t>
            </w: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11.6</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9.6</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w:t>
            </w: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11.6</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渗滤液</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8.6</w:t>
            </w: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8.6</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8.6</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8.6</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物化处理系统</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0.22</w:t>
            </w: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6.36</w:t>
            </w: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95</w:t>
            </w: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10.33</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111.91</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95</w:t>
            </w: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13.96</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2.95</w:t>
            </w: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111.91</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固化系统</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18.06</w:t>
            </w: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5.51</w:t>
            </w: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23.57</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8.87</w:t>
            </w: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14.70</w:t>
            </w: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23.57</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软化水站</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16.8</w:t>
            </w: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55.2</w:t>
            </w: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72.0</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14.4</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57.6</w:t>
            </w: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72.0</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余热锅炉</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60</w:t>
            </w: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60</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1.2</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58.8</w:t>
            </w: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60.0</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焚烧系统</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0.43</w:t>
            </w: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w:t>
            </w: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50.13</w:t>
            </w: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98.56</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w:t>
            </w: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5.72</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44.84</w:t>
            </w: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98.56</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厂区污水处理站</w:t>
            </w:r>
          </w:p>
        </w:tc>
        <w:tc>
          <w:tcPr>
            <w:tcW w:w="12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10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4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74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0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43.75</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43.75</w:t>
            </w:r>
          </w:p>
        </w:tc>
        <w:tc>
          <w:tcPr>
            <w:tcW w:w="13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0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43.75</w:t>
            </w:r>
          </w:p>
        </w:tc>
        <w:tc>
          <w:tcPr>
            <w:tcW w:w="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69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43.75</w:t>
            </w:r>
          </w:p>
        </w:tc>
      </w:tr>
      <w:tr>
        <w:tblPrEx>
          <w:tblCellMar>
            <w:top w:w="0" w:type="dxa"/>
            <w:left w:w="108" w:type="dxa"/>
            <w:bottom w:w="0" w:type="dxa"/>
            <w:right w:w="108" w:type="dxa"/>
          </w:tblCellMar>
        </w:tblPrEx>
        <w:trPr>
          <w:trHeight w:val="480" w:hRule="atLeast"/>
          <w:jc w:val="center"/>
        </w:trPr>
        <w:tc>
          <w:tcPr>
            <w:tcW w:w="1761" w:type="dxa"/>
            <w:tcBorders>
              <w:top w:val="dotted" w:color="auto" w:sz="4" w:space="0"/>
              <w:left w:val="nil"/>
              <w:bottom w:val="single" w:color="000000" w:sz="12" w:space="0"/>
              <w:right w:val="dotted" w:color="auto" w:sz="4" w:space="0"/>
            </w:tcBorders>
            <w:vAlign w:val="center"/>
          </w:tcPr>
          <w:p>
            <w:pPr>
              <w:spacing w:line="240" w:lineRule="atLeast"/>
              <w:ind w:firstLine="0" w:firstLineChars="0"/>
              <w:jc w:val="center"/>
              <w:rPr>
                <w:sz w:val="21"/>
              </w:rPr>
            </w:pPr>
            <w:r>
              <w:rPr>
                <w:rFonts w:hint="eastAsia"/>
                <w:sz w:val="21"/>
              </w:rPr>
              <w:t>合计</w:t>
            </w:r>
          </w:p>
        </w:tc>
        <w:tc>
          <w:tcPr>
            <w:tcW w:w="1225"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56.02</w:t>
            </w:r>
          </w:p>
        </w:tc>
        <w:tc>
          <w:tcPr>
            <w:tcW w:w="1106"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33.02</w:t>
            </w:r>
          </w:p>
        </w:tc>
        <w:tc>
          <w:tcPr>
            <w:tcW w:w="725"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143</w:t>
            </w:r>
          </w:p>
        </w:tc>
        <w:tc>
          <w:tcPr>
            <w:tcW w:w="641"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60</w:t>
            </w:r>
          </w:p>
        </w:tc>
        <w:tc>
          <w:tcPr>
            <w:tcW w:w="745"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110.84</w:t>
            </w:r>
          </w:p>
        </w:tc>
        <w:tc>
          <w:tcPr>
            <w:tcW w:w="600"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54.08</w:t>
            </w:r>
          </w:p>
        </w:tc>
        <w:tc>
          <w:tcPr>
            <w:tcW w:w="1366"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456.96</w:t>
            </w:r>
          </w:p>
        </w:tc>
        <w:tc>
          <w:tcPr>
            <w:tcW w:w="1366"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143</w:t>
            </w:r>
          </w:p>
        </w:tc>
        <w:tc>
          <w:tcPr>
            <w:tcW w:w="106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109.72</w:t>
            </w:r>
          </w:p>
        </w:tc>
        <w:tc>
          <w:tcPr>
            <w:tcW w:w="908"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116.4</w:t>
            </w:r>
          </w:p>
        </w:tc>
        <w:tc>
          <w:tcPr>
            <w:tcW w:w="122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70.19</w:t>
            </w:r>
          </w:p>
        </w:tc>
        <w:tc>
          <w:tcPr>
            <w:tcW w:w="692"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17.65</w:t>
            </w:r>
          </w:p>
        </w:tc>
        <w:tc>
          <w:tcPr>
            <w:tcW w:w="1363"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sz w:val="21"/>
              </w:rPr>
            </w:pPr>
            <w:r>
              <w:rPr>
                <w:sz w:val="21"/>
              </w:rPr>
              <w:t>456.96</w:t>
            </w:r>
          </w:p>
        </w:tc>
      </w:tr>
    </w:tbl>
    <w:p>
      <w:pPr>
        <w:ind w:firstLine="480"/>
        <w:jc w:val="center"/>
      </w:pPr>
    </w:p>
    <w:p>
      <w:pPr>
        <w:ind w:firstLine="199" w:firstLineChars="83"/>
        <w:sectPr>
          <w:pgSz w:w="16838" w:h="11906" w:orient="landscape"/>
          <w:pgMar w:top="1418" w:right="1134" w:bottom="1418" w:left="1134" w:header="850" w:footer="850" w:gutter="0"/>
          <w:cols w:space="720" w:num="1"/>
          <w:docGrid w:linePitch="326" w:charSpace="0"/>
        </w:sectPr>
      </w:pPr>
    </w:p>
    <w:p>
      <w:pPr>
        <w:ind w:firstLine="0" w:firstLineChars="0"/>
        <w:jc w:val="center"/>
      </w:pPr>
      <w:r>
        <w:object>
          <v:shape id="_x0000_i1026" o:spt="75" type="#_x0000_t75" style="height:647.5pt;width:450pt;" o:ole="t" filled="f" o:preferrelative="t" stroked="f" coordsize="21600,21600">
            <v:path/>
            <v:fill on="f" focussize="0,0"/>
            <v:stroke on="f" joinstyle="miter"/>
            <v:imagedata r:id="rId20" o:title=""/>
            <o:lock v:ext="edit" aspectratio="t"/>
            <w10:wrap type="none"/>
            <w10:anchorlock/>
          </v:shape>
          <o:OLEObject Type="Embed" ProgID="Visio.Drawing.11" ShapeID="_x0000_i1026" DrawAspect="Content" ObjectID="_1468075726" r:id="rId19">
            <o:LockedField>false</o:LockedField>
          </o:OLEObject>
        </w:object>
      </w:r>
    </w:p>
    <w:p>
      <w:pPr>
        <w:ind w:firstLine="480"/>
      </w:pPr>
      <w:r>
        <w:rPr>
          <w:rFonts w:hint="eastAsia"/>
        </w:rPr>
        <w:t>图</w:t>
      </w:r>
      <w:r>
        <w:t>3.5</w:t>
      </w:r>
      <w:r>
        <w:rPr>
          <w:rFonts w:hint="eastAsia"/>
        </w:rPr>
        <w:t>—1                全厂水平衡图单位：</w:t>
      </w:r>
      <w:r>
        <w:t>t/d</w:t>
      </w:r>
    </w:p>
    <w:p>
      <w:pPr>
        <w:ind w:firstLine="480"/>
      </w:pPr>
      <w:bookmarkStart w:id="192" w:name="_Toc461101810"/>
      <w:bookmarkStart w:id="193" w:name="_Toc503368865"/>
    </w:p>
    <w:bookmarkEnd w:id="192"/>
    <w:bookmarkEnd w:id="193"/>
    <w:p>
      <w:pPr>
        <w:pStyle w:val="5"/>
      </w:pPr>
      <w:bookmarkStart w:id="194" w:name="_Toc461101811"/>
      <w:bookmarkStart w:id="195" w:name="_Toc503368866"/>
      <w:bookmarkStart w:id="196" w:name="_Toc13760128"/>
      <w:r>
        <w:t>3.5.</w:t>
      </w:r>
      <w:bookmarkEnd w:id="194"/>
      <w:r>
        <w:rPr>
          <w:rFonts w:hint="eastAsia"/>
        </w:rPr>
        <w:t>2供汽及供热</w:t>
      </w:r>
      <w:bookmarkEnd w:id="195"/>
      <w:bookmarkEnd w:id="196"/>
    </w:p>
    <w:p>
      <w:pPr>
        <w:ind w:firstLine="480"/>
      </w:pPr>
      <w:r>
        <w:rPr>
          <w:rFonts w:hint="eastAsia"/>
        </w:rPr>
        <w:t>本项目全厂蒸汽来源为焚烧工段的余热锅炉，主要用于除氧器、助燃空气预热，焚烧车间烟气加热器等。项目全厂蒸汽平衡表见表</w:t>
      </w:r>
      <w:r>
        <w:t>3.5</w:t>
      </w:r>
      <w:r>
        <w:rPr>
          <w:rFonts w:hint="eastAsia"/>
        </w:rPr>
        <w:t>—3，全厂蒸汽平衡图见图</w:t>
      </w:r>
      <w:r>
        <w:t>3.5</w:t>
      </w:r>
      <w:r>
        <w:rPr>
          <w:rFonts w:hint="eastAsia"/>
        </w:rPr>
        <w:t>—2。</w:t>
      </w:r>
    </w:p>
    <w:p>
      <w:pPr>
        <w:ind w:firstLine="480"/>
      </w:pPr>
      <w:r>
        <w:rPr>
          <w:rFonts w:hint="eastAsia"/>
        </w:rPr>
        <w:t>本项目安全填埋场工作人员较少，供热区域小，考虑采用在综合办公房设置电暖气的方式进行供暖。</w:t>
      </w:r>
    </w:p>
    <w:p>
      <w:pPr>
        <w:ind w:firstLine="480"/>
      </w:pPr>
      <w:r>
        <w:rPr>
          <w:rFonts w:hint="eastAsia"/>
        </w:rPr>
        <w:t>本项目设置一座</w:t>
      </w:r>
      <w:r>
        <w:t>3t/h</w:t>
      </w:r>
      <w:r>
        <w:rPr>
          <w:rFonts w:hint="eastAsia"/>
        </w:rPr>
        <w:t>的备用电锅炉，当本项目焚烧车间非正常运行时，全厂供热供汽由备用电锅炉进行供给。</w:t>
      </w:r>
    </w:p>
    <w:p>
      <w:pPr>
        <w:ind w:firstLine="480"/>
      </w:pPr>
      <w:r>
        <w:rPr>
          <w:rFonts w:hint="eastAsia"/>
        </w:rPr>
        <w:t>表</w:t>
      </w:r>
      <w:r>
        <w:t>3.5</w:t>
      </w:r>
      <w:r>
        <w:rPr>
          <w:rFonts w:hint="eastAsia"/>
        </w:rPr>
        <w:t>—</w:t>
      </w:r>
      <w:r>
        <w:t xml:space="preserve">3                 </w:t>
      </w:r>
      <w:r>
        <w:rPr>
          <w:rFonts w:hint="eastAsia"/>
        </w:rPr>
        <w:t>全厂蒸汽平衡表</w:t>
      </w:r>
    </w:p>
    <w:tbl>
      <w:tblPr>
        <w:tblStyle w:val="88"/>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237"/>
        <w:gridCol w:w="3401"/>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vMerge w:val="restart"/>
            <w:tcBorders>
              <w:top w:val="single" w:color="000000" w:sz="12" w:space="0"/>
              <w:left w:val="nil"/>
              <w:bottom w:val="single" w:color="auto" w:sz="12" w:space="0"/>
              <w:right w:val="dotted" w:color="auto" w:sz="4" w:space="0"/>
            </w:tcBorders>
            <w:vAlign w:val="center"/>
          </w:tcPr>
          <w:p>
            <w:pPr>
              <w:spacing w:line="240" w:lineRule="atLeast"/>
              <w:ind w:firstLine="0" w:firstLineChars="0"/>
              <w:rPr>
                <w:sz w:val="21"/>
              </w:rPr>
            </w:pPr>
            <w:r>
              <w:rPr>
                <w:rFonts w:hint="eastAsia"/>
                <w:sz w:val="21"/>
              </w:rPr>
              <w:t>蒸汽参数</w:t>
            </w:r>
          </w:p>
          <w:p>
            <w:pPr>
              <w:spacing w:line="240" w:lineRule="atLeast"/>
              <w:ind w:firstLine="2310" w:firstLineChars="1100"/>
              <w:rPr>
                <w:sz w:val="21"/>
              </w:rPr>
            </w:pPr>
            <w:r>
              <w:rPr>
                <w:rFonts w:hint="eastAsia"/>
                <w:sz w:val="21"/>
              </w:rPr>
              <w:t>用汽名称</w:t>
            </w:r>
          </w:p>
        </w:tc>
        <w:tc>
          <w:tcPr>
            <w:tcW w:w="3401" w:type="dxa"/>
            <w:tcBorders>
              <w:top w:val="single" w:color="000000"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蒸汽负荷</w:t>
            </w:r>
            <w:r>
              <w:rPr>
                <w:sz w:val="21"/>
              </w:rPr>
              <w:t>(t/h)</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vMerge w:val="continue"/>
            <w:tcBorders>
              <w:top w:val="single" w:color="000000" w:sz="12" w:space="0"/>
              <w:left w:val="nil"/>
              <w:bottom w:val="single" w:color="auto" w:sz="12" w:space="0"/>
              <w:right w:val="dotted" w:color="auto" w:sz="4" w:space="0"/>
            </w:tcBorders>
            <w:vAlign w:val="center"/>
          </w:tcPr>
          <w:p>
            <w:pPr>
              <w:spacing w:line="240" w:lineRule="atLeast"/>
              <w:ind w:firstLine="0" w:firstLineChars="0"/>
              <w:rPr>
                <w:sz w:val="21"/>
              </w:rPr>
            </w:pPr>
          </w:p>
        </w:tc>
        <w:tc>
          <w:tcPr>
            <w:tcW w:w="3401"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sz w:val="21"/>
              </w:rPr>
              <w:t>0.80MPa(G)180</w:t>
            </w:r>
            <w:r>
              <w:rPr>
                <w:rFonts w:hint="eastAsia"/>
                <w:sz w:val="21"/>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余热锅炉</w:t>
            </w:r>
          </w:p>
        </w:tc>
        <w:tc>
          <w:tcPr>
            <w:tcW w:w="340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-2.45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除氧器</w:t>
            </w:r>
          </w:p>
        </w:tc>
        <w:tc>
          <w:tcPr>
            <w:tcW w:w="340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0.1</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焚烧车间二次助燃空气预热器</w:t>
            </w:r>
          </w:p>
        </w:tc>
        <w:tc>
          <w:tcPr>
            <w:tcW w:w="340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0.35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焚烧车间烟气加热器</w:t>
            </w:r>
          </w:p>
        </w:tc>
        <w:tc>
          <w:tcPr>
            <w:tcW w:w="340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1.05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罐区</w:t>
            </w:r>
          </w:p>
        </w:tc>
        <w:tc>
          <w:tcPr>
            <w:tcW w:w="340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0.15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强制循环蒸发系统</w:t>
            </w:r>
          </w:p>
        </w:tc>
        <w:tc>
          <w:tcPr>
            <w:tcW w:w="340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0.3</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采暖及伴热</w:t>
            </w:r>
          </w:p>
        </w:tc>
        <w:tc>
          <w:tcPr>
            <w:tcW w:w="340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0.45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损失</w:t>
            </w:r>
          </w:p>
        </w:tc>
        <w:tc>
          <w:tcPr>
            <w:tcW w:w="340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0.05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237" w:type="dxa"/>
            <w:tcBorders>
              <w:top w:val="dotted" w:color="auto" w:sz="4" w:space="0"/>
              <w:left w:val="nil"/>
              <w:bottom w:val="single" w:color="000000" w:sz="12" w:space="0"/>
              <w:right w:val="dotted" w:color="auto" w:sz="4" w:space="0"/>
            </w:tcBorders>
            <w:vAlign w:val="center"/>
          </w:tcPr>
          <w:p>
            <w:pPr>
              <w:spacing w:line="240" w:lineRule="atLeast"/>
              <w:ind w:firstLine="0" w:firstLineChars="0"/>
              <w:jc w:val="center"/>
              <w:rPr>
                <w:sz w:val="21"/>
              </w:rPr>
            </w:pPr>
            <w:r>
              <w:rPr>
                <w:rFonts w:hint="eastAsia"/>
                <w:sz w:val="21"/>
              </w:rPr>
              <w:t>合计</w:t>
            </w:r>
          </w:p>
        </w:tc>
        <w:tc>
          <w:tcPr>
            <w:tcW w:w="3401"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sz w:val="21"/>
              </w:rPr>
            </w:pPr>
            <w:r>
              <w:rPr>
                <w:sz w:val="21"/>
              </w:rPr>
              <w:t>0</w:t>
            </w:r>
          </w:p>
        </w:tc>
      </w:tr>
    </w:tbl>
    <w:p>
      <w:pPr>
        <w:ind w:firstLine="480"/>
        <w:sectPr>
          <w:pgSz w:w="11906" w:h="16838"/>
          <w:pgMar w:top="1418" w:right="1134" w:bottom="1418" w:left="1134" w:header="850" w:footer="850" w:gutter="0"/>
          <w:cols w:space="720" w:num="1"/>
          <w:docGrid w:linePitch="326" w:charSpace="0"/>
        </w:sectPr>
      </w:pPr>
    </w:p>
    <w:p>
      <w:pPr>
        <w:ind w:firstLine="480"/>
      </w:pPr>
    </w:p>
    <w:p>
      <w:pPr>
        <w:ind w:firstLine="480"/>
      </w:pPr>
    </w:p>
    <w:p>
      <w:pPr>
        <w:ind w:firstLine="480"/>
      </w:pPr>
    </w:p>
    <w:p>
      <w:pPr>
        <w:ind w:firstLine="480"/>
      </w:pPr>
      <w:r>
        <w:object>
          <v:shape id="_x0000_i1027" o:spt="75" type="#_x0000_t75" style="height:166.5pt;width:672pt;" o:ole="t" filled="f" o:preferrelative="t" stroked="f" coordsize="21600,21600">
            <v:path/>
            <v:fill on="f" focussize="0,0"/>
            <v:stroke on="f" joinstyle="miter"/>
            <v:imagedata r:id="rId22" o:title=""/>
            <o:lock v:ext="edit" aspectratio="t"/>
            <w10:wrap type="none"/>
            <w10:anchorlock/>
          </v:shape>
          <o:OLEObject Type="Embed" ProgID="Visio.Drawing.11" ShapeID="_x0000_i1027" DrawAspect="Content" ObjectID="_1468075727" r:id="rId21">
            <o:LockedField>false</o:LockedField>
          </o:OLEObject>
        </w:object>
      </w:r>
    </w:p>
    <w:p>
      <w:pPr>
        <w:ind w:firstLine="480"/>
      </w:pPr>
      <w:r>
        <w:rPr>
          <w:rFonts w:hint="eastAsia"/>
        </w:rPr>
        <w:t>图</w:t>
      </w:r>
      <w:r>
        <w:t>3.5</w:t>
      </w:r>
      <w:r>
        <w:rPr>
          <w:rFonts w:hint="eastAsia"/>
        </w:rPr>
        <w:t>—2全厂蒸汽平衡图单位：</w:t>
      </w:r>
      <w:r>
        <w:t>t/h</w:t>
      </w:r>
    </w:p>
    <w:p>
      <w:pPr>
        <w:ind w:firstLine="480"/>
      </w:pPr>
    </w:p>
    <w:p>
      <w:pPr>
        <w:ind w:firstLine="480"/>
      </w:pPr>
    </w:p>
    <w:p>
      <w:pPr>
        <w:ind w:firstLine="480"/>
        <w:sectPr>
          <w:pgSz w:w="16838" w:h="11906" w:orient="landscape"/>
          <w:pgMar w:top="1418" w:right="1134" w:bottom="1418" w:left="1134" w:header="850" w:footer="850" w:gutter="0"/>
          <w:cols w:space="720" w:num="1"/>
          <w:docGrid w:linePitch="326" w:charSpace="0"/>
        </w:sectPr>
      </w:pPr>
    </w:p>
    <w:p>
      <w:pPr>
        <w:pStyle w:val="5"/>
      </w:pPr>
      <w:bookmarkStart w:id="197" w:name="_Toc13760129"/>
      <w:r>
        <w:rPr>
          <w:rFonts w:hint="eastAsia"/>
        </w:rPr>
        <w:t>3.5.3主要处理工艺及流程</w:t>
      </w:r>
      <w:bookmarkEnd w:id="197"/>
    </w:p>
    <w:p>
      <w:pPr>
        <w:snapToGrid w:val="0"/>
        <w:ind w:firstLine="480"/>
      </w:pPr>
      <w:r>
        <w:rPr>
          <w:rFonts w:hint="eastAsia"/>
        </w:rPr>
        <w:t>本项目危险废物处理技术主要包括危险废物的接收和暂存、物化处理、稳定化</w:t>
      </w:r>
      <w:r>
        <w:t>/</w:t>
      </w:r>
      <w:r>
        <w:rPr>
          <w:rFonts w:hint="eastAsia"/>
        </w:rPr>
        <w:t>固化处理、焚烧处理和安全填埋处置，主要技术路线如下：</w:t>
      </w:r>
    </w:p>
    <w:p>
      <w:pPr>
        <w:pStyle w:val="6"/>
      </w:pPr>
      <w:bookmarkStart w:id="198" w:name="_Toc503368869"/>
      <w:bookmarkStart w:id="199" w:name="_Toc461101815"/>
      <w:r>
        <w:rPr>
          <w:rFonts w:hint="eastAsia"/>
        </w:rPr>
        <w:t>3.5.3.1危险废物暂存方式</w:t>
      </w:r>
    </w:p>
    <w:p>
      <w:pPr>
        <w:ind w:firstLine="480"/>
      </w:pPr>
      <w:r>
        <w:rPr>
          <w:rFonts w:hint="eastAsia"/>
        </w:rPr>
        <w:t>不同性质的危险废弃物采用具有特殊标记、特殊材料的专门容器收纳，由专门运输车辆运至集中本项目，在入场前进行入场分析，分析符合本项目入场要求的危险废物进行卸料，卸料的同时进行登记、计量、检验、分类，后送至危废暂存库或各处理工段进行处理。</w:t>
      </w:r>
    </w:p>
    <w:p>
      <w:pPr>
        <w:ind w:firstLine="480"/>
      </w:pPr>
      <w:r>
        <w:rPr>
          <w:rFonts w:hint="eastAsia"/>
        </w:rPr>
        <w:t>本项目处理的外来危废共</w:t>
      </w:r>
      <w:r>
        <w:t>39</w:t>
      </w:r>
      <w:r>
        <w:rPr>
          <w:rFonts w:hint="eastAsia"/>
        </w:rPr>
        <w:t>种，厂区建有两座废物暂存仓库和一座危废暂存罐区。本项目废物暂存库采用框架结构，轻钢屋面，为全封闭建筑形式，其中</w:t>
      </w:r>
      <w:r>
        <w:t>1#</w:t>
      </w:r>
      <w:r>
        <w:rPr>
          <w:rFonts w:hint="eastAsia"/>
        </w:rPr>
        <w:t>仓库占地为</w:t>
      </w:r>
      <w:r>
        <w:t>1584m</w:t>
      </w:r>
      <w:r>
        <w:rPr>
          <w:vertAlign w:val="superscript"/>
        </w:rPr>
        <w:t>2</w:t>
      </w:r>
      <w:r>
        <w:rPr>
          <w:rFonts w:hint="eastAsia"/>
        </w:rPr>
        <w:t>，</w:t>
      </w:r>
      <w:r>
        <w:t>2#</w:t>
      </w:r>
      <w:r>
        <w:rPr>
          <w:rFonts w:hint="eastAsia"/>
        </w:rPr>
        <w:t>仓库占地为</w:t>
      </w:r>
      <w:r>
        <w:t>1458m</w:t>
      </w:r>
      <w:r>
        <w:rPr>
          <w:vertAlign w:val="superscript"/>
        </w:rPr>
        <w:t>2</w:t>
      </w:r>
      <w:r>
        <w:rPr>
          <w:rFonts w:hint="eastAsia"/>
        </w:rPr>
        <w:t>，危废暂存罐区设置</w:t>
      </w:r>
      <w:r>
        <w:t>12</w:t>
      </w:r>
      <w:r>
        <w:rPr>
          <w:rFonts w:hint="eastAsia"/>
        </w:rPr>
        <w:t>个暂存罐。其中</w:t>
      </w:r>
      <w:r>
        <w:t>1#</w:t>
      </w:r>
      <w:r>
        <w:rPr>
          <w:rFonts w:hint="eastAsia"/>
        </w:rPr>
        <w:t>仓库和</w:t>
      </w:r>
      <w:r>
        <w:t>2#</w:t>
      </w:r>
      <w:r>
        <w:rPr>
          <w:rFonts w:hint="eastAsia"/>
        </w:rPr>
        <w:t>仓库分为三个防火分区，大区分隔均采用防火墙，地面和裙脚采用防腐、防渗材料。另外在各仓库均设置一座</w:t>
      </w:r>
      <w:r>
        <w:t>10m</w:t>
      </w:r>
      <w:r>
        <w:rPr>
          <w:vertAlign w:val="superscript"/>
        </w:rPr>
        <w:t>3</w:t>
      </w:r>
      <w:r>
        <w:rPr>
          <w:rFonts w:hint="eastAsia"/>
        </w:rPr>
        <w:t>的小型事故水池。</w:t>
      </w:r>
    </w:p>
    <w:p>
      <w:pPr>
        <w:ind w:firstLine="480"/>
      </w:pPr>
      <w:r>
        <w:rPr>
          <w:rFonts w:hint="eastAsia"/>
        </w:rPr>
        <w:t>本项目各废物贮存方式见表3.5—4。</w:t>
      </w:r>
    </w:p>
    <w:p>
      <w:pPr>
        <w:ind w:firstLine="480"/>
        <w:rPr>
          <w:rFonts w:eastAsia="黑体"/>
        </w:rPr>
      </w:pPr>
      <w:bookmarkStart w:id="200" w:name="_Ref339543450"/>
      <w:r>
        <w:rPr>
          <w:rFonts w:hint="eastAsia"/>
        </w:rPr>
        <w:t>表</w:t>
      </w:r>
      <w:bookmarkEnd w:id="200"/>
      <w:r>
        <w:rPr>
          <w:rFonts w:hint="eastAsia"/>
        </w:rPr>
        <w:t>3.5—4危险废物收集贮存方式表</w:t>
      </w:r>
    </w:p>
    <w:tbl>
      <w:tblPr>
        <w:tblStyle w:val="181"/>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1077"/>
        <w:gridCol w:w="2356"/>
        <w:gridCol w:w="3635"/>
        <w:gridCol w:w="1260"/>
        <w:gridCol w:w="1310"/>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340" w:hRule="atLeast"/>
        </w:trPr>
        <w:tc>
          <w:tcPr>
            <w:tcW w:w="1077" w:type="dxa"/>
            <w:tcBorders>
              <w:top w:val="single" w:color="auto" w:sz="12" w:space="0"/>
              <w:left w:val="nil"/>
              <w:bottom w:val="single" w:color="auto" w:sz="12" w:space="0"/>
              <w:right w:val="dotted" w:color="auto" w:sz="4" w:space="0"/>
              <w:insideV w:val="dotted" w:sz="4" w:space="0"/>
              <w:tl2br w:val="nil"/>
              <w:tr2bl w:val="nil"/>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贮存位置</w:t>
            </w:r>
          </w:p>
        </w:tc>
        <w:tc>
          <w:tcPr>
            <w:tcW w:w="2356"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贮存物质</w:t>
            </w:r>
          </w:p>
        </w:tc>
        <w:tc>
          <w:tcPr>
            <w:tcW w:w="3635"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贮存方式</w:t>
            </w:r>
          </w:p>
        </w:tc>
        <w:tc>
          <w:tcPr>
            <w:tcW w:w="1260"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高</w:t>
            </w:r>
          </w:p>
          <w:p>
            <w:pPr>
              <w:autoSpaceDE w:val="0"/>
              <w:autoSpaceDN w:val="0"/>
              <w:spacing w:line="240" w:lineRule="atLeast"/>
              <w:ind w:firstLine="0" w:firstLineChars="0"/>
              <w:rPr>
                <w:rFonts w:cs="Times New Roman"/>
                <w:kern w:val="0"/>
                <w:sz w:val="21"/>
                <w:szCs w:val="20"/>
              </w:rPr>
            </w:pPr>
            <w:r>
              <w:rPr>
                <w:rFonts w:cs="Times New Roman"/>
                <w:kern w:val="0"/>
                <w:sz w:val="21"/>
                <w:szCs w:val="20"/>
              </w:rPr>
              <w:t>(</w:t>
            </w:r>
            <w:r>
              <w:rPr>
                <w:rFonts w:hint="eastAsia" w:cs="Times New Roman"/>
                <w:kern w:val="0"/>
                <w:sz w:val="21"/>
                <w:szCs w:val="20"/>
              </w:rPr>
              <w:t>单位：</w:t>
            </w:r>
            <w:r>
              <w:rPr>
                <w:rFonts w:cs="Times New Roman"/>
                <w:kern w:val="0"/>
                <w:sz w:val="21"/>
                <w:szCs w:val="20"/>
              </w:rPr>
              <w:t>m)</w:t>
            </w:r>
          </w:p>
        </w:tc>
        <w:tc>
          <w:tcPr>
            <w:tcW w:w="1310" w:type="dxa"/>
            <w:tcBorders>
              <w:top w:val="single" w:color="auto" w:sz="12" w:space="0"/>
              <w:left w:val="dotted" w:color="auto" w:sz="8" w:space="0"/>
              <w:bottom w:val="single" w:color="auto" w:sz="12" w:space="0"/>
              <w:right w:val="nil"/>
              <w:insideV w:val="dotted" w:sz="4" w:space="0"/>
              <w:tl2br w:val="nil"/>
              <w:tr2bl w:val="nil"/>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占地</w:t>
            </w:r>
          </w:p>
          <w:p>
            <w:pPr>
              <w:autoSpaceDE w:val="0"/>
              <w:autoSpaceDN w:val="0"/>
              <w:spacing w:line="240" w:lineRule="atLeast"/>
              <w:ind w:firstLine="0" w:firstLineChars="0"/>
              <w:rPr>
                <w:rFonts w:cs="Times New Roman"/>
                <w:kern w:val="0"/>
                <w:sz w:val="21"/>
                <w:szCs w:val="20"/>
              </w:rPr>
            </w:pPr>
            <w:r>
              <w:rPr>
                <w:rFonts w:cs="Times New Roman"/>
                <w:kern w:val="0"/>
                <w:sz w:val="21"/>
                <w:szCs w:val="20"/>
              </w:rPr>
              <w:t>(</w:t>
            </w:r>
            <w:r>
              <w:rPr>
                <w:rFonts w:hint="eastAsia" w:cs="Times New Roman"/>
                <w:kern w:val="0"/>
                <w:sz w:val="21"/>
                <w:szCs w:val="20"/>
              </w:rPr>
              <w:t>单位：</w:t>
            </w:r>
            <w:r>
              <w:rPr>
                <w:rFonts w:cs="Times New Roman"/>
                <w:kern w:val="0"/>
                <w:sz w:val="21"/>
                <w:szCs w:val="20"/>
              </w:rPr>
              <w:t>m</w:t>
            </w:r>
            <w:r>
              <w:rPr>
                <w:rFonts w:cs="Times New Roman"/>
                <w:kern w:val="0"/>
                <w:sz w:val="21"/>
                <w:szCs w:val="20"/>
                <w:vertAlign w:val="superscript"/>
              </w:rPr>
              <w:t>2</w:t>
            </w:r>
            <w:r>
              <w:rPr>
                <w:rFonts w:cs="Times New Roman"/>
                <w:kern w:val="0"/>
                <w:sz w:val="21"/>
                <w:szCs w:val="20"/>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340" w:hRule="atLeast"/>
        </w:trPr>
        <w:tc>
          <w:tcPr>
            <w:tcW w:w="1077" w:type="dxa"/>
            <w:tcBorders>
              <w:top w:val="single" w:color="auto" w:sz="12"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r>
              <w:rPr>
                <w:rFonts w:hint="eastAsia" w:cs="Times New Roman"/>
                <w:kern w:val="0"/>
                <w:sz w:val="21"/>
                <w:szCs w:val="20"/>
              </w:rPr>
              <w:t>仓库</w:t>
            </w:r>
          </w:p>
        </w:tc>
        <w:tc>
          <w:tcPr>
            <w:tcW w:w="2356"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用于储存外来及本项目产生的送至焚烧车间的危废以及废碱渣。</w:t>
            </w:r>
          </w:p>
        </w:tc>
        <w:tc>
          <w:tcPr>
            <w:tcW w:w="3635" w:type="dxa"/>
            <w:tcBorders>
              <w:top w:val="single" w:color="auto" w:sz="12" w:space="0"/>
              <w:left w:val="dotted" w:color="auto" w:sz="8" w:space="0"/>
              <w:bottom w:val="dotted" w:color="auto" w:sz="8"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液态及半固态废物塑料桶直接卸车贮存，不具备挥发性的固态废物可采取层堆方式贮存，有挥发性的固态废物需采取桶装进行贮存。</w:t>
            </w:r>
          </w:p>
        </w:tc>
        <w:tc>
          <w:tcPr>
            <w:tcW w:w="1260" w:type="dxa"/>
            <w:tcBorders>
              <w:top w:val="single" w:color="auto" w:sz="12" w:space="0"/>
              <w:left w:val="dotted" w:color="auto" w:sz="8" w:space="0"/>
              <w:bottom w:val="dotted" w:color="auto" w:sz="8"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8.35</w:t>
            </w:r>
          </w:p>
        </w:tc>
        <w:tc>
          <w:tcPr>
            <w:tcW w:w="1310" w:type="dxa"/>
            <w:tcBorders>
              <w:top w:val="single" w:color="auto" w:sz="12" w:space="0"/>
              <w:left w:val="dotted" w:color="auto" w:sz="8" w:space="0"/>
              <w:bottom w:val="dotted" w:color="auto" w:sz="8" w:space="0"/>
              <w:right w:val="nil"/>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1584</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758" w:hRule="atLeast"/>
        </w:trPr>
        <w:tc>
          <w:tcPr>
            <w:tcW w:w="1077"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r>
              <w:rPr>
                <w:rFonts w:hint="eastAsia" w:cs="Times New Roman"/>
                <w:kern w:val="0"/>
                <w:sz w:val="21"/>
                <w:szCs w:val="20"/>
              </w:rPr>
              <w:t>仓库</w:t>
            </w:r>
          </w:p>
        </w:tc>
        <w:tc>
          <w:tcPr>
            <w:tcW w:w="2356" w:type="dxa"/>
            <w:tcBorders>
              <w:top w:val="dotted" w:color="auto" w:sz="8" w:space="0"/>
              <w:left w:val="dotted" w:color="auto" w:sz="8" w:space="0"/>
              <w:bottom w:val="dotted" w:color="auto" w:sz="8"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用于储存外来及本项目产生的送至固化</w:t>
            </w:r>
            <w:r>
              <w:rPr>
                <w:rFonts w:cs="Times New Roman"/>
                <w:kern w:val="0"/>
                <w:sz w:val="21"/>
                <w:szCs w:val="20"/>
              </w:rPr>
              <w:t>/</w:t>
            </w:r>
            <w:r>
              <w:rPr>
                <w:rFonts w:hint="eastAsia" w:cs="Times New Roman"/>
                <w:kern w:val="0"/>
                <w:sz w:val="21"/>
                <w:szCs w:val="20"/>
              </w:rPr>
              <w:t>稳定化车间的危废。</w:t>
            </w:r>
          </w:p>
        </w:tc>
        <w:tc>
          <w:tcPr>
            <w:tcW w:w="3635" w:type="dxa"/>
            <w:tcBorders>
              <w:top w:val="dotted" w:color="auto" w:sz="8" w:space="0"/>
              <w:left w:val="dotted" w:color="auto" w:sz="8" w:space="0"/>
              <w:bottom w:val="dotted" w:color="auto" w:sz="8"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半固态废物塑料桶直接卸车贮存，不具备挥发性的固态废物可采取层堆方式贮存，有挥发性的固态废物需采取桶装进行贮存。</w:t>
            </w:r>
          </w:p>
        </w:tc>
        <w:tc>
          <w:tcPr>
            <w:tcW w:w="1260" w:type="dxa"/>
            <w:tcBorders>
              <w:top w:val="dotted" w:color="auto" w:sz="8" w:space="0"/>
              <w:left w:val="dotted" w:color="auto" w:sz="8" w:space="0"/>
              <w:bottom w:val="dotted" w:color="auto" w:sz="8"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8.35</w:t>
            </w:r>
          </w:p>
        </w:tc>
        <w:tc>
          <w:tcPr>
            <w:tcW w:w="1310" w:type="dxa"/>
            <w:tcBorders>
              <w:top w:val="dotted" w:color="auto" w:sz="8" w:space="0"/>
              <w:left w:val="dotted" w:color="auto" w:sz="8" w:space="0"/>
              <w:bottom w:val="dotted" w:color="auto" w:sz="8" w:space="0"/>
              <w:right w:val="nil"/>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1458</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340" w:hRule="atLeast"/>
        </w:trPr>
        <w:tc>
          <w:tcPr>
            <w:tcW w:w="1077" w:type="dxa"/>
            <w:vMerge w:val="restart"/>
            <w:tcBorders>
              <w:top w:val="dotted" w:color="auto" w:sz="8" w:space="0"/>
              <w:left w:val="nil"/>
              <w:bottom w:val="dotted" w:color="auto" w:sz="8"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储罐区</w:t>
            </w:r>
          </w:p>
        </w:tc>
        <w:tc>
          <w:tcPr>
            <w:tcW w:w="2356" w:type="dxa"/>
            <w:tcBorders>
              <w:top w:val="dotted" w:color="auto" w:sz="8" w:space="0"/>
              <w:left w:val="dotted" w:color="auto" w:sz="8" w:space="0"/>
              <w:bottom w:val="dotted" w:color="auto" w:sz="8"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废酸</w:t>
            </w:r>
          </w:p>
        </w:tc>
        <w:tc>
          <w:tcPr>
            <w:tcW w:w="3635" w:type="dxa"/>
            <w:tcBorders>
              <w:top w:val="dotted" w:color="auto" w:sz="8" w:space="0"/>
              <w:left w:val="dotted" w:color="auto" w:sz="8" w:space="0"/>
              <w:bottom w:val="dotted" w:color="auto" w:sz="4"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4</w:t>
            </w:r>
            <w:r>
              <w:rPr>
                <w:rFonts w:hint="eastAsia" w:cs="Times New Roman"/>
                <w:kern w:val="0"/>
                <w:sz w:val="21"/>
                <w:szCs w:val="20"/>
              </w:rPr>
              <w:t>个</w:t>
            </w:r>
            <w:r>
              <w:rPr>
                <w:rFonts w:cs="Times New Roman"/>
                <w:kern w:val="0"/>
                <w:sz w:val="21"/>
                <w:szCs w:val="20"/>
              </w:rPr>
              <w:t>23m</w:t>
            </w:r>
            <w:r>
              <w:rPr>
                <w:rFonts w:cs="Times New Roman"/>
                <w:kern w:val="0"/>
                <w:sz w:val="21"/>
                <w:szCs w:val="20"/>
                <w:vertAlign w:val="superscript"/>
              </w:rPr>
              <w:t>3</w:t>
            </w:r>
            <w:r>
              <w:rPr>
                <w:rFonts w:hint="eastAsia" w:cs="Times New Roman"/>
                <w:kern w:val="0"/>
                <w:sz w:val="21"/>
                <w:szCs w:val="20"/>
              </w:rPr>
              <w:t>废酸储罐</w:t>
            </w:r>
          </w:p>
        </w:tc>
        <w:tc>
          <w:tcPr>
            <w:tcW w:w="1260" w:type="dxa"/>
            <w:tcBorders>
              <w:top w:val="dotted" w:color="auto" w:sz="8" w:space="0"/>
              <w:left w:val="dotted" w:color="auto" w:sz="8" w:space="0"/>
              <w:bottom w:val="dotted" w:color="auto" w:sz="4"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w:t>
            </w:r>
          </w:p>
        </w:tc>
        <w:tc>
          <w:tcPr>
            <w:tcW w:w="1310" w:type="dxa"/>
            <w:tcBorders>
              <w:top w:val="dotted" w:color="auto" w:sz="8" w:space="0"/>
              <w:left w:val="dotted" w:color="auto" w:sz="8" w:space="0"/>
              <w:bottom w:val="dotted" w:color="auto" w:sz="4" w:space="0"/>
              <w:right w:val="nil"/>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340" w:hRule="atLeast"/>
        </w:trPr>
        <w:tc>
          <w:tcPr>
            <w:tcW w:w="1077"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rPr>
                <w:rFonts w:cs="Times New Roman"/>
                <w:kern w:val="0"/>
                <w:sz w:val="21"/>
                <w:szCs w:val="20"/>
              </w:rPr>
            </w:pPr>
          </w:p>
        </w:tc>
        <w:tc>
          <w:tcPr>
            <w:tcW w:w="2356" w:type="dxa"/>
            <w:tcBorders>
              <w:top w:val="dotted" w:color="auto" w:sz="8" w:space="0"/>
              <w:left w:val="dotted" w:color="auto" w:sz="8" w:space="0"/>
              <w:bottom w:val="dotted" w:color="auto" w:sz="8"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废乳化液</w:t>
            </w:r>
          </w:p>
        </w:tc>
        <w:tc>
          <w:tcPr>
            <w:tcW w:w="3635" w:type="dxa"/>
            <w:tcBorders>
              <w:top w:val="dotted" w:color="auto" w:sz="4" w:space="0"/>
              <w:left w:val="dotted" w:color="auto" w:sz="8" w:space="0"/>
              <w:bottom w:val="dotted" w:color="auto" w:sz="4"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2</w:t>
            </w:r>
            <w:r>
              <w:rPr>
                <w:rFonts w:hint="eastAsia" w:cs="Times New Roman"/>
                <w:kern w:val="0"/>
                <w:sz w:val="21"/>
                <w:szCs w:val="20"/>
              </w:rPr>
              <w:t>个</w:t>
            </w:r>
            <w:r>
              <w:rPr>
                <w:rFonts w:cs="Times New Roman"/>
                <w:kern w:val="0"/>
                <w:sz w:val="21"/>
                <w:szCs w:val="20"/>
              </w:rPr>
              <w:t>23m</w:t>
            </w:r>
            <w:r>
              <w:rPr>
                <w:rFonts w:cs="Times New Roman"/>
                <w:kern w:val="0"/>
                <w:sz w:val="21"/>
                <w:szCs w:val="20"/>
                <w:vertAlign w:val="superscript"/>
              </w:rPr>
              <w:t>3</w:t>
            </w:r>
            <w:r>
              <w:rPr>
                <w:rFonts w:hint="eastAsia" w:cs="Times New Roman"/>
                <w:kern w:val="0"/>
                <w:sz w:val="21"/>
                <w:szCs w:val="20"/>
              </w:rPr>
              <w:t>废乳化液储罐</w:t>
            </w:r>
          </w:p>
        </w:tc>
        <w:tc>
          <w:tcPr>
            <w:tcW w:w="1260" w:type="dxa"/>
            <w:tcBorders>
              <w:top w:val="dotted" w:color="auto" w:sz="4" w:space="0"/>
              <w:left w:val="dotted" w:color="auto" w:sz="8" w:space="0"/>
              <w:bottom w:val="dotted" w:color="auto" w:sz="4"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w:t>
            </w:r>
          </w:p>
        </w:tc>
        <w:tc>
          <w:tcPr>
            <w:tcW w:w="1310" w:type="dxa"/>
            <w:tcBorders>
              <w:top w:val="dotted" w:color="auto" w:sz="4" w:space="0"/>
              <w:left w:val="dotted" w:color="auto" w:sz="8" w:space="0"/>
              <w:bottom w:val="dotted" w:color="auto" w:sz="4" w:space="0"/>
              <w:right w:val="nil"/>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340" w:hRule="atLeast"/>
        </w:trPr>
        <w:tc>
          <w:tcPr>
            <w:tcW w:w="1077"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rPr>
                <w:rFonts w:cs="Times New Roman"/>
                <w:kern w:val="0"/>
                <w:sz w:val="21"/>
                <w:szCs w:val="20"/>
              </w:rPr>
            </w:pPr>
          </w:p>
        </w:tc>
        <w:tc>
          <w:tcPr>
            <w:tcW w:w="235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废液</w:t>
            </w:r>
          </w:p>
        </w:tc>
        <w:tc>
          <w:tcPr>
            <w:tcW w:w="3635" w:type="dxa"/>
            <w:tcBorders>
              <w:top w:val="dotted" w:color="auto" w:sz="4" w:space="0"/>
              <w:left w:val="dotted" w:color="auto" w:sz="8" w:space="0"/>
              <w:bottom w:val="dotted" w:color="auto" w:sz="8"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6</w:t>
            </w:r>
            <w:r>
              <w:rPr>
                <w:rFonts w:hint="eastAsia" w:cs="Times New Roman"/>
                <w:kern w:val="0"/>
                <w:sz w:val="21"/>
                <w:szCs w:val="20"/>
              </w:rPr>
              <w:t>个</w:t>
            </w:r>
            <w:r>
              <w:rPr>
                <w:rFonts w:cs="Times New Roman"/>
                <w:kern w:val="0"/>
                <w:sz w:val="21"/>
                <w:szCs w:val="20"/>
              </w:rPr>
              <w:t>48.5m</w:t>
            </w:r>
            <w:r>
              <w:rPr>
                <w:rFonts w:cs="Times New Roman"/>
                <w:kern w:val="0"/>
                <w:sz w:val="21"/>
                <w:szCs w:val="20"/>
                <w:vertAlign w:val="superscript"/>
              </w:rPr>
              <w:t>3</w:t>
            </w:r>
            <w:r>
              <w:rPr>
                <w:rFonts w:hint="eastAsia" w:cs="Times New Roman"/>
                <w:kern w:val="0"/>
                <w:sz w:val="21"/>
                <w:szCs w:val="20"/>
              </w:rPr>
              <w:t>废液储罐</w:t>
            </w:r>
          </w:p>
        </w:tc>
        <w:tc>
          <w:tcPr>
            <w:tcW w:w="1260" w:type="dxa"/>
            <w:tcBorders>
              <w:top w:val="dotted" w:color="auto" w:sz="4" w:space="0"/>
              <w:left w:val="dotted" w:color="auto" w:sz="8" w:space="0"/>
              <w:bottom w:val="dotted" w:color="auto" w:sz="8" w:space="0"/>
              <w:right w:val="dotted" w:color="auto" w:sz="4"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w:t>
            </w:r>
          </w:p>
        </w:tc>
        <w:tc>
          <w:tcPr>
            <w:tcW w:w="1310" w:type="dxa"/>
            <w:tcBorders>
              <w:top w:val="dotted" w:color="auto" w:sz="4" w:space="0"/>
              <w:left w:val="dotted" w:color="auto" w:sz="4" w:space="0"/>
              <w:bottom w:val="dotted" w:color="auto" w:sz="8" w:space="0"/>
              <w:right w:val="nil"/>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340" w:hRule="atLeast"/>
        </w:trPr>
        <w:tc>
          <w:tcPr>
            <w:tcW w:w="1077" w:type="dxa"/>
            <w:tcBorders>
              <w:top w:val="dotted" w:color="auto" w:sz="8" w:space="0"/>
              <w:left w:val="nil"/>
              <w:bottom w:val="single" w:color="auto" w:sz="12"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飞灰筒仓</w:t>
            </w:r>
          </w:p>
        </w:tc>
        <w:tc>
          <w:tcPr>
            <w:tcW w:w="2356" w:type="dxa"/>
            <w:tcBorders>
              <w:top w:val="dotted" w:color="auto" w:sz="8" w:space="0"/>
              <w:left w:val="dotted" w:color="auto" w:sz="8" w:space="0"/>
              <w:bottom w:val="single" w:color="auto" w:sz="12"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hint="eastAsia" w:cs="Times New Roman"/>
                <w:kern w:val="0"/>
                <w:sz w:val="21"/>
                <w:szCs w:val="20"/>
              </w:rPr>
              <w:t>焚烧飞灰</w:t>
            </w:r>
          </w:p>
        </w:tc>
        <w:tc>
          <w:tcPr>
            <w:tcW w:w="3635" w:type="dxa"/>
            <w:tcBorders>
              <w:top w:val="dotted" w:color="auto" w:sz="8" w:space="0"/>
              <w:left w:val="dotted" w:color="auto" w:sz="8" w:space="0"/>
              <w:bottom w:val="single" w:color="auto" w:sz="12" w:space="0"/>
              <w:right w:val="dotted" w:color="auto" w:sz="8"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1</w:t>
            </w:r>
            <w:r>
              <w:rPr>
                <w:rFonts w:hint="eastAsia" w:cs="Times New Roman"/>
                <w:kern w:val="0"/>
                <w:sz w:val="21"/>
                <w:szCs w:val="20"/>
              </w:rPr>
              <w:t>个</w:t>
            </w:r>
            <w:r>
              <w:rPr>
                <w:rFonts w:cs="Times New Roman"/>
                <w:kern w:val="0"/>
                <w:sz w:val="21"/>
                <w:szCs w:val="20"/>
              </w:rPr>
              <w:t>30m</w:t>
            </w:r>
            <w:r>
              <w:rPr>
                <w:rFonts w:cs="Times New Roman"/>
                <w:kern w:val="0"/>
                <w:sz w:val="21"/>
                <w:szCs w:val="20"/>
                <w:vertAlign w:val="superscript"/>
              </w:rPr>
              <w:t>3</w:t>
            </w:r>
            <w:r>
              <w:rPr>
                <w:rFonts w:hint="eastAsia" w:cs="Times New Roman"/>
                <w:kern w:val="0"/>
                <w:sz w:val="21"/>
                <w:szCs w:val="20"/>
              </w:rPr>
              <w:t>飞灰筒仓</w:t>
            </w:r>
          </w:p>
        </w:tc>
        <w:tc>
          <w:tcPr>
            <w:tcW w:w="1260" w:type="dxa"/>
            <w:tcBorders>
              <w:top w:val="dotted" w:color="auto" w:sz="8" w:space="0"/>
              <w:left w:val="dotted" w:color="auto" w:sz="8" w:space="0"/>
              <w:bottom w:val="single" w:color="auto" w:sz="12" w:space="0"/>
              <w:right w:val="dotted" w:color="auto" w:sz="4" w:space="0"/>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w:t>
            </w:r>
          </w:p>
        </w:tc>
        <w:tc>
          <w:tcPr>
            <w:tcW w:w="1310" w:type="dxa"/>
            <w:tcBorders>
              <w:top w:val="dotted" w:color="auto" w:sz="8" w:space="0"/>
              <w:left w:val="dotted" w:color="auto" w:sz="4" w:space="0"/>
              <w:bottom w:val="single" w:color="auto" w:sz="12" w:space="0"/>
              <w:right w:val="nil"/>
            </w:tcBorders>
            <w:vAlign w:val="center"/>
          </w:tcPr>
          <w:p>
            <w:pPr>
              <w:autoSpaceDE w:val="0"/>
              <w:autoSpaceDN w:val="0"/>
              <w:spacing w:line="240" w:lineRule="atLeast"/>
              <w:ind w:firstLine="0" w:firstLineChars="0"/>
              <w:rPr>
                <w:rFonts w:cs="Times New Roman"/>
                <w:kern w:val="0"/>
                <w:sz w:val="21"/>
                <w:szCs w:val="20"/>
              </w:rPr>
            </w:pPr>
            <w:r>
              <w:rPr>
                <w:rFonts w:cs="Times New Roman"/>
                <w:kern w:val="0"/>
                <w:sz w:val="21"/>
                <w:szCs w:val="20"/>
              </w:rPr>
              <w:t>-</w:t>
            </w:r>
          </w:p>
        </w:tc>
      </w:tr>
    </w:tbl>
    <w:p>
      <w:pPr>
        <w:ind w:firstLine="480"/>
      </w:pPr>
    </w:p>
    <w:p>
      <w:pPr>
        <w:ind w:firstLine="480"/>
      </w:pPr>
      <w:r>
        <w:rPr>
          <w:rFonts w:hint="eastAsia"/>
        </w:rPr>
        <w:t>本项目设置一座综合仓库，用来贮存消石灰、氢氧化钠等辅助材料，占地为</w:t>
      </w:r>
      <w:r>
        <w:t>696m</w:t>
      </w:r>
      <w:r>
        <w:rPr>
          <w:vertAlign w:val="superscript"/>
        </w:rPr>
        <w:t>2</w:t>
      </w:r>
      <w:r>
        <w:rPr>
          <w:rFonts w:hint="eastAsia"/>
        </w:rPr>
        <w:t>。</w:t>
      </w:r>
    </w:p>
    <w:p>
      <w:pPr>
        <w:ind w:firstLine="480"/>
      </w:pPr>
      <w:r>
        <w:rPr>
          <w:rFonts w:hint="eastAsia"/>
        </w:rPr>
        <w:t>表3.5—</w:t>
      </w:r>
      <w:r>
        <w:t xml:space="preserve">5               </w:t>
      </w:r>
      <w:r>
        <w:rPr>
          <w:rFonts w:hint="eastAsia"/>
        </w:rPr>
        <w:t>储存方案</w:t>
      </w:r>
    </w:p>
    <w:tbl>
      <w:tblPr>
        <w:tblStyle w:val="88"/>
        <w:tblW w:w="9854"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60"/>
        <w:gridCol w:w="2485"/>
        <w:gridCol w:w="1738"/>
        <w:gridCol w:w="1224"/>
        <w:gridCol w:w="1387"/>
        <w:gridCol w:w="186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60"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序号</w:t>
            </w:r>
          </w:p>
        </w:tc>
        <w:tc>
          <w:tcPr>
            <w:tcW w:w="2485"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名称</w:t>
            </w:r>
          </w:p>
        </w:tc>
        <w:tc>
          <w:tcPr>
            <w:tcW w:w="1738"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建设方案</w:t>
            </w:r>
          </w:p>
        </w:tc>
        <w:tc>
          <w:tcPr>
            <w:tcW w:w="1224"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建设个数</w:t>
            </w:r>
          </w:p>
        </w:tc>
        <w:tc>
          <w:tcPr>
            <w:tcW w:w="1387"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储存量</w:t>
            </w:r>
            <w:r>
              <w:rPr>
                <w:sz w:val="21"/>
              </w:rPr>
              <w:t>(t)</w:t>
            </w:r>
          </w:p>
        </w:tc>
        <w:tc>
          <w:tcPr>
            <w:tcW w:w="1860"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备注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60"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485"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r>
              <w:rPr>
                <w:rFonts w:hint="eastAsia"/>
                <w:sz w:val="21"/>
              </w:rPr>
              <w:t>仓库</w:t>
            </w:r>
          </w:p>
        </w:tc>
        <w:tc>
          <w:tcPr>
            <w:tcW w:w="1738"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1584m</w:t>
            </w:r>
            <w:r>
              <w:rPr>
                <w:sz w:val="21"/>
                <w:vertAlign w:val="superscript"/>
              </w:rPr>
              <w:t>2</w:t>
            </w:r>
          </w:p>
        </w:tc>
        <w:tc>
          <w:tcPr>
            <w:tcW w:w="1224"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387"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530</w:t>
            </w:r>
          </w:p>
        </w:tc>
        <w:tc>
          <w:tcPr>
            <w:tcW w:w="1860"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6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24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r>
              <w:rPr>
                <w:rFonts w:hint="eastAsia"/>
                <w:sz w:val="21"/>
              </w:rPr>
              <w:t>仓库</w:t>
            </w:r>
          </w:p>
        </w:tc>
        <w:tc>
          <w:tcPr>
            <w:tcW w:w="17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1458m</w:t>
            </w:r>
            <w:r>
              <w:rPr>
                <w:sz w:val="21"/>
                <w:vertAlign w:val="superscript"/>
              </w:rPr>
              <w:t>2</w:t>
            </w: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38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486</w:t>
            </w:r>
          </w:p>
        </w:tc>
        <w:tc>
          <w:tcPr>
            <w:tcW w:w="18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6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24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废酸储罐</w:t>
            </w:r>
          </w:p>
        </w:tc>
        <w:tc>
          <w:tcPr>
            <w:tcW w:w="17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23m</w:t>
            </w:r>
            <w:r>
              <w:rPr>
                <w:sz w:val="21"/>
                <w:vertAlign w:val="superscript"/>
              </w:rPr>
              <w:t>3</w:t>
            </w: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138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133.5</w:t>
            </w:r>
          </w:p>
        </w:tc>
        <w:tc>
          <w:tcPr>
            <w:tcW w:w="18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固定顶罐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6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24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废乳化液储罐</w:t>
            </w:r>
          </w:p>
        </w:tc>
        <w:tc>
          <w:tcPr>
            <w:tcW w:w="17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23m</w:t>
            </w:r>
            <w:r>
              <w:rPr>
                <w:sz w:val="21"/>
                <w:vertAlign w:val="superscript"/>
              </w:rPr>
              <w:t>3</w:t>
            </w: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38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32.8</w:t>
            </w:r>
          </w:p>
        </w:tc>
        <w:tc>
          <w:tcPr>
            <w:tcW w:w="18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固定顶罐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6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24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废液储罐</w:t>
            </w:r>
          </w:p>
        </w:tc>
        <w:tc>
          <w:tcPr>
            <w:tcW w:w="17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48.5m</w:t>
            </w:r>
            <w:r>
              <w:rPr>
                <w:sz w:val="21"/>
                <w:vertAlign w:val="superscript"/>
              </w:rPr>
              <w:t>3</w:t>
            </w: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138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233</w:t>
            </w:r>
          </w:p>
        </w:tc>
        <w:tc>
          <w:tcPr>
            <w:tcW w:w="18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固定顶罐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6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24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综合仓库</w:t>
            </w:r>
          </w:p>
        </w:tc>
        <w:tc>
          <w:tcPr>
            <w:tcW w:w="17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696</w:t>
            </w: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38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320</w:t>
            </w:r>
          </w:p>
        </w:tc>
        <w:tc>
          <w:tcPr>
            <w:tcW w:w="18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6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24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柴油储罐</w:t>
            </w:r>
          </w:p>
        </w:tc>
        <w:tc>
          <w:tcPr>
            <w:tcW w:w="173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18.3</w:t>
            </w:r>
          </w:p>
        </w:tc>
        <w:tc>
          <w:tcPr>
            <w:tcW w:w="122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38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31</w:t>
            </w:r>
          </w:p>
        </w:tc>
        <w:tc>
          <w:tcPr>
            <w:tcW w:w="18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固定顶罐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60"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sz w:val="21"/>
              </w:rPr>
              <w:t>8</w:t>
            </w:r>
          </w:p>
        </w:tc>
        <w:tc>
          <w:tcPr>
            <w:tcW w:w="2485"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飞灰筒仓</w:t>
            </w:r>
          </w:p>
        </w:tc>
        <w:tc>
          <w:tcPr>
            <w:tcW w:w="1738"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30m</w:t>
            </w:r>
            <w:r>
              <w:rPr>
                <w:sz w:val="21"/>
                <w:vertAlign w:val="superscript"/>
              </w:rPr>
              <w:t>3</w:t>
            </w:r>
          </w:p>
        </w:tc>
        <w:tc>
          <w:tcPr>
            <w:tcW w:w="1224"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1</w:t>
            </w:r>
          </w:p>
        </w:tc>
        <w:tc>
          <w:tcPr>
            <w:tcW w:w="1387"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24</w:t>
            </w:r>
          </w:p>
        </w:tc>
        <w:tc>
          <w:tcPr>
            <w:tcW w:w="1860"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sz w:val="21"/>
              </w:rPr>
              <w:t>-</w:t>
            </w:r>
          </w:p>
        </w:tc>
      </w:tr>
    </w:tbl>
    <w:p>
      <w:pPr>
        <w:ind w:firstLine="480"/>
      </w:pPr>
    </w:p>
    <w:bookmarkEnd w:id="198"/>
    <w:bookmarkEnd w:id="199"/>
    <w:p>
      <w:pPr>
        <w:pStyle w:val="6"/>
      </w:pPr>
      <w:r>
        <w:rPr>
          <w:rFonts w:hint="eastAsia"/>
        </w:rPr>
        <w:t>3.5.3.2物化工艺流程</w:t>
      </w:r>
    </w:p>
    <w:p>
      <w:pPr>
        <w:ind w:firstLine="480"/>
      </w:pPr>
      <w:r>
        <w:rPr>
          <w:rFonts w:hint="eastAsia"/>
        </w:rPr>
        <w:t>本项目接收的废碱、废酸和废乳化液需进行物化处理，以“以废制废”为原则，使用项目接收的废酸来中和处理废碱，处理后的废渣送至固化车间进行进一步处置，废水进行进一步处置；废乳化液采取“破乳</w:t>
      </w:r>
      <w:r>
        <w:t>-</w:t>
      </w:r>
      <w:r>
        <w:rPr>
          <w:rFonts w:hint="eastAsia"/>
        </w:rPr>
        <w:t>隔油</w:t>
      </w:r>
      <w:r>
        <w:t>-</w:t>
      </w:r>
      <w:r>
        <w:rPr>
          <w:rFonts w:hint="eastAsia"/>
        </w:rPr>
        <w:t>压滤”的方法进行处理后，废渣送至固化车间进行进一步处置，废水进行进一步处置。</w:t>
      </w:r>
    </w:p>
    <w:p>
      <w:pPr>
        <w:ind w:firstLine="480"/>
      </w:pPr>
      <w:r>
        <w:rPr>
          <w:rFonts w:hint="eastAsia"/>
        </w:rPr>
        <w:t>废碱渣进入处置中心后，经计量和鉴别分类后送入</w:t>
      </w:r>
      <w:r>
        <w:t>1#</w:t>
      </w:r>
      <w:r>
        <w:rPr>
          <w:rFonts w:hint="eastAsia"/>
        </w:rPr>
        <w:t>废物暂存库进行暂存。在进行中和处理前首先对碱度进行分析，之后将废碱用计量泵提升至中和反应釜，同时将废酸用酸液计量泵打入，反应过程中根据分析得到的碱度值设定</w:t>
      </w:r>
      <w:r>
        <w:t>pH</w:t>
      </w:r>
      <w:r>
        <w:rPr>
          <w:rFonts w:hint="eastAsia"/>
        </w:rPr>
        <w:t>值，再由</w:t>
      </w:r>
      <w:r>
        <w:t>pH</w:t>
      </w:r>
      <w:r>
        <w:rPr>
          <w:rFonts w:hint="eastAsia"/>
        </w:rPr>
        <w:t>计控制废硫酸的加入量。本项目设置密闭的中和反应釜，在中和反应釜中废碱渣和废酸进行酸碱中和及沉淀反应，通过旋转搅拌机，进一步加快反应速度，加深反应程度。</w:t>
      </w:r>
    </w:p>
    <w:p>
      <w:pPr>
        <w:ind w:firstLine="480"/>
      </w:pPr>
      <w:r>
        <w:rPr>
          <w:rFonts w:hint="eastAsia"/>
        </w:rPr>
        <w:t>中和处理后的产物进入澄清池进行澄清，澄清后的底部中和废渣进入板框压滤机进行脱水，脱水后含水率约</w:t>
      </w:r>
      <w:r>
        <w:t>70%</w:t>
      </w:r>
      <w:r>
        <w:rPr>
          <w:rFonts w:hint="eastAsia"/>
        </w:rPr>
        <w:t>送至固化车间，板框压滤机出水返回澄清池进行进一步澄清处理；澄清池上部的澄清液经物化车间内污水处理模块处理后送至本项目污水处理站进行处理。</w:t>
      </w:r>
    </w:p>
    <w:p>
      <w:pPr>
        <w:ind w:firstLine="480"/>
      </w:pPr>
      <w:r>
        <w:rPr>
          <w:rFonts w:hint="eastAsia"/>
        </w:rPr>
        <w:t>废乳化液的处理采用“破乳</w:t>
      </w:r>
      <w:r>
        <w:t>-</w:t>
      </w:r>
      <w:r>
        <w:rPr>
          <w:rFonts w:hint="eastAsia"/>
        </w:rPr>
        <w:t>隔油</w:t>
      </w:r>
      <w:r>
        <w:t>-</w:t>
      </w:r>
      <w:r>
        <w:rPr>
          <w:rFonts w:hint="eastAsia"/>
        </w:rPr>
        <w:t>压滤”的方法进行处理，将进入处置中心的废乳化液送至破乳反应器，在其中加入</w:t>
      </w:r>
      <w:r>
        <w:t>PAM(</w:t>
      </w:r>
      <w:r>
        <w:rPr>
          <w:rFonts w:hint="eastAsia"/>
        </w:rPr>
        <w:t>聚丙烯酰胺</w:t>
      </w:r>
      <w:r>
        <w:t>)</w:t>
      </w:r>
      <w:r>
        <w:rPr>
          <w:rFonts w:hint="eastAsia"/>
        </w:rPr>
        <w:t>和</w:t>
      </w:r>
      <w:r>
        <w:t>PAC(</w:t>
      </w:r>
      <w:r>
        <w:rPr>
          <w:rFonts w:hint="eastAsia"/>
        </w:rPr>
        <w:t>碱式氯化铝</w:t>
      </w:r>
      <w:r>
        <w:t>)</w:t>
      </w:r>
      <w:r>
        <w:rPr>
          <w:rFonts w:hint="eastAsia"/>
        </w:rPr>
        <w:t>，并同时在反应器中进行搅拌，来达到加快破乳速度，加深破乳程度的目的。破乳反应器出水进行隔油池，将隔油池上部的浮油送至焚烧车间进行焚烧处置，下部出水送至沉淀池进行静置沉淀，含水率</w:t>
      </w:r>
      <w:r>
        <w:t>70%</w:t>
      </w:r>
      <w:r>
        <w:rPr>
          <w:rFonts w:hint="eastAsia"/>
        </w:rPr>
        <w:t>沉淀物送至固化车间进行处置，上部出水经物化车间内污水处理模块处理后送至本项目污水处理站进行处理。</w:t>
      </w:r>
    </w:p>
    <w:p>
      <w:pPr>
        <w:ind w:firstLine="480"/>
      </w:pPr>
    </w:p>
    <w:p>
      <w:pPr>
        <w:ind w:firstLine="199" w:firstLineChars="95"/>
        <w:rPr>
          <w:sz w:val="21"/>
        </w:rPr>
      </w:pPr>
      <w:r>
        <w:rPr>
          <w:rFonts w:cs="Times New Roman"/>
          <w:sz w:val="21"/>
          <w:szCs w:val="20"/>
        </w:rPr>
        <w:object>
          <v:shape id="_x0000_i1028" o:spt="75" type="#_x0000_t75" style="height:354pt;width:425pt;" o:ole="t" filled="f" o:preferrelative="t" stroked="f" coordsize="21600,21600">
            <v:path/>
            <v:fill on="f" focussize="0,0"/>
            <v:stroke on="f" joinstyle="miter"/>
            <v:imagedata r:id="rId24" o:title=""/>
            <o:lock v:ext="edit" aspectratio="t"/>
            <w10:wrap type="none"/>
            <w10:anchorlock/>
          </v:shape>
          <o:OLEObject Type="Embed" ProgID="Visio.Drawing.11" ShapeID="_x0000_i1028" DrawAspect="Content" ObjectID="_1468075728" r:id="rId23">
            <o:LockedField>false</o:LockedField>
          </o:OLEObject>
        </w:object>
      </w:r>
    </w:p>
    <w:p>
      <w:pPr>
        <w:ind w:firstLine="480"/>
      </w:pPr>
      <w:r>
        <w:rPr>
          <w:rFonts w:hint="eastAsia"/>
        </w:rPr>
        <w:t>图3.5—3    物化车间生产工艺</w:t>
      </w:r>
      <w:r>
        <w:t>(</w:t>
      </w:r>
      <w:r>
        <w:rPr>
          <w:rFonts w:hint="eastAsia"/>
        </w:rPr>
        <w:t>废酸、碱处理</w:t>
      </w:r>
      <w:r>
        <w:t>)</w:t>
      </w:r>
      <w:r>
        <w:rPr>
          <w:rFonts w:hint="eastAsia"/>
        </w:rPr>
        <w:t>流程及排污节点示意图</w:t>
      </w:r>
    </w:p>
    <w:p>
      <w:pPr>
        <w:ind w:firstLine="420"/>
      </w:pPr>
      <w:r>
        <w:rPr>
          <w:rFonts w:cs="Times New Roman"/>
          <w:sz w:val="21"/>
          <w:szCs w:val="20"/>
        </w:rPr>
        <w:object>
          <v:shape id="_x0000_i1029" o:spt="75" type="#_x0000_t75" style="height:124pt;width:395.5pt;" o:ole="t" filled="f" o:preferrelative="t" stroked="f" coordsize="21600,21600">
            <v:path/>
            <v:fill on="f" focussize="0,0"/>
            <v:stroke on="f" joinstyle="miter"/>
            <v:imagedata r:id="rId26" o:title=""/>
            <o:lock v:ext="edit" aspectratio="t"/>
            <w10:wrap type="none"/>
            <w10:anchorlock/>
          </v:shape>
          <o:OLEObject Type="Embed" ProgID="Visio.Drawing.11" ShapeID="_x0000_i1029" DrawAspect="Content" ObjectID="_1468075729" r:id="rId25">
            <o:LockedField>false</o:LockedField>
          </o:OLEObject>
        </w:object>
      </w:r>
    </w:p>
    <w:p>
      <w:pPr>
        <w:ind w:firstLine="480"/>
      </w:pPr>
      <w:r>
        <w:rPr>
          <w:rFonts w:hint="eastAsia"/>
        </w:rPr>
        <w:t>图3.5—4   物化车间生产工艺</w:t>
      </w:r>
      <w:r>
        <w:t>(</w:t>
      </w:r>
      <w:r>
        <w:rPr>
          <w:rFonts w:hint="eastAsia"/>
        </w:rPr>
        <w:t>废乳化液处理</w:t>
      </w:r>
      <w:r>
        <w:t>)</w:t>
      </w:r>
      <w:r>
        <w:rPr>
          <w:rFonts w:hint="eastAsia"/>
        </w:rPr>
        <w:t>流程及排污节点示意图</w:t>
      </w:r>
    </w:p>
    <w:p>
      <w:pPr>
        <w:ind w:firstLine="480"/>
        <w:jc w:val="right"/>
      </w:pPr>
    </w:p>
    <w:p>
      <w:pPr>
        <w:ind w:firstLine="480"/>
      </w:pPr>
    </w:p>
    <w:p>
      <w:pPr>
        <w:ind w:firstLine="480"/>
      </w:pPr>
    </w:p>
    <w:p>
      <w:pPr>
        <w:ind w:firstLine="480"/>
      </w:pPr>
    </w:p>
    <w:p>
      <w:pPr>
        <w:ind w:firstLine="480"/>
      </w:pPr>
    </w:p>
    <w:p>
      <w:pPr>
        <w:ind w:firstLine="480"/>
      </w:pPr>
    </w:p>
    <w:p>
      <w:pPr>
        <w:pStyle w:val="6"/>
      </w:pPr>
      <w:r>
        <w:rPr>
          <w:rFonts w:hint="eastAsia"/>
        </w:rPr>
        <w:t>3.5.3.3焚烧工艺流程</w:t>
      </w:r>
    </w:p>
    <w:p>
      <w:pPr>
        <w:ind w:firstLine="480"/>
      </w:pPr>
      <w:r>
        <w:rPr>
          <w:rFonts w:hint="eastAsia"/>
        </w:rPr>
        <w:t>项目建设一台处理能力为</w:t>
      </w:r>
      <w:r>
        <w:t>15t/d</w:t>
      </w:r>
      <w:r>
        <w:rPr>
          <w:rFonts w:hint="eastAsia"/>
        </w:rPr>
        <w:t>的回转窑型焚烧炉及其配套设施，焚烧系统年运行天数为</w:t>
      </w:r>
      <w:r>
        <w:t>330d</w:t>
      </w:r>
      <w:r>
        <w:rPr>
          <w:rFonts w:hint="eastAsia"/>
        </w:rPr>
        <w:t>，年危废处理能力为</w:t>
      </w:r>
      <w:r>
        <w:t>4950t/a</w:t>
      </w:r>
      <w:r>
        <w:rPr>
          <w:rFonts w:hint="eastAsia"/>
        </w:rPr>
        <w:t>。焚烧主要包括：贮存系统、进料系统、焚烧系统、余热回收系统、尾气处理系统、电气自控系统等，主要工艺采用“上料系统</w:t>
      </w:r>
      <w:r>
        <w:t>+</w:t>
      </w:r>
      <w:r>
        <w:rPr>
          <w:rFonts w:hint="eastAsia"/>
        </w:rPr>
        <w:t>回转窑</w:t>
      </w:r>
      <w:r>
        <w:t>+</w:t>
      </w:r>
      <w:r>
        <w:rPr>
          <w:rFonts w:hint="eastAsia"/>
        </w:rPr>
        <w:t>二燃室焚烧系统</w:t>
      </w:r>
      <w:r>
        <w:t>+SNCR</w:t>
      </w:r>
      <w:r>
        <w:rPr>
          <w:rFonts w:hint="eastAsia"/>
        </w:rPr>
        <w:t>脱硝系统</w:t>
      </w:r>
      <w:r>
        <w:t>+</w:t>
      </w:r>
      <w:r>
        <w:rPr>
          <w:rFonts w:hint="eastAsia"/>
        </w:rPr>
        <w:t>旋风收尘器</w:t>
      </w:r>
      <w:r>
        <w:t>+</w:t>
      </w:r>
      <w:r>
        <w:rPr>
          <w:rFonts w:hint="eastAsia"/>
        </w:rPr>
        <w:t>余热锅炉</w:t>
      </w:r>
      <w:r>
        <w:t>+</w:t>
      </w:r>
      <w:r>
        <w:rPr>
          <w:rFonts w:hint="eastAsia"/>
        </w:rPr>
        <w:t>急冷脱酸塔</w:t>
      </w:r>
      <w:r>
        <w:t>+</w:t>
      </w:r>
      <w:r>
        <w:rPr>
          <w:rFonts w:hint="eastAsia"/>
        </w:rPr>
        <w:t>干式反应器</w:t>
      </w:r>
      <w:r>
        <w:t>+</w:t>
      </w:r>
      <w:r>
        <w:rPr>
          <w:rFonts w:hint="eastAsia"/>
        </w:rPr>
        <w:t>袋式除尘器</w:t>
      </w:r>
      <w:r>
        <w:t>+</w:t>
      </w:r>
      <w:r>
        <w:rPr>
          <w:rFonts w:hint="eastAsia"/>
        </w:rPr>
        <w:t>喷淋洗涤塔</w:t>
      </w:r>
      <w:r>
        <w:t>+</w:t>
      </w:r>
      <w:r>
        <w:rPr>
          <w:rFonts w:hint="eastAsia"/>
        </w:rPr>
        <w:t>烟囱”，炉渣和飞灰送至固化车间进行处置，部分废水回用，其余废水进行进一步处置。</w:t>
      </w:r>
    </w:p>
    <w:p>
      <w:pPr>
        <w:ind w:firstLine="480"/>
      </w:pPr>
    </w:p>
    <w:p>
      <w:pPr>
        <w:ind w:firstLine="480"/>
      </w:pPr>
    </w:p>
    <w:p>
      <w:pPr>
        <w:ind w:firstLine="480"/>
      </w:pPr>
    </w:p>
    <w:p>
      <w:pPr>
        <w:ind w:firstLine="420"/>
      </w:pPr>
      <w:r>
        <w:rPr>
          <w:rFonts w:cs="Times New Roman"/>
          <w:sz w:val="21"/>
          <w:szCs w:val="20"/>
        </w:rPr>
        <w:object>
          <v:shape id="_x0000_i1030" o:spt="75" type="#_x0000_t75" style="height:657.5pt;width:397.5pt;" o:ole="t" filled="f" o:preferrelative="t" stroked="f" coordsize="21600,21600">
            <v:path/>
            <v:fill on="f" focussize="0,0"/>
            <v:stroke on="f" joinstyle="miter"/>
            <v:imagedata r:id="rId28" o:title=""/>
            <o:lock v:ext="edit" aspectratio="t"/>
            <w10:wrap type="none"/>
            <w10:anchorlock/>
          </v:shape>
          <o:OLEObject Type="Embed" ProgID="Visio.Drawing.11" ShapeID="_x0000_i1030" DrawAspect="Content" ObjectID="_1468075730" r:id="rId27">
            <o:LockedField>false</o:LockedField>
          </o:OLEObject>
        </w:object>
      </w:r>
    </w:p>
    <w:p>
      <w:pPr>
        <w:ind w:firstLine="480"/>
      </w:pPr>
      <w:r>
        <w:rPr>
          <w:rFonts w:hint="eastAsia"/>
        </w:rPr>
        <w:t>图3.5—5  焚烧车间生产工艺流程及排污节点示意图</w:t>
      </w:r>
    </w:p>
    <w:p>
      <w:pPr>
        <w:pStyle w:val="6"/>
      </w:pPr>
      <w:r>
        <w:rPr>
          <w:rFonts w:hint="eastAsia"/>
        </w:rPr>
        <w:t>3.5.3.4稳定化</w:t>
      </w:r>
      <w:r>
        <w:t>/</w:t>
      </w:r>
      <w:r>
        <w:rPr>
          <w:rFonts w:hint="eastAsia"/>
        </w:rPr>
        <w:t>固化工艺流程</w:t>
      </w:r>
    </w:p>
    <w:p>
      <w:pPr>
        <w:ind w:firstLine="480"/>
      </w:pPr>
      <w:r>
        <w:rPr>
          <w:rFonts w:hint="eastAsia"/>
        </w:rPr>
        <w:t>外来的毒性较大的工业固废</w:t>
      </w:r>
      <w:r>
        <w:t>(</w:t>
      </w:r>
      <w:r>
        <w:rPr>
          <w:rFonts w:hint="eastAsia"/>
        </w:rPr>
        <w:t>以含重固废为主</w:t>
      </w:r>
      <w:r>
        <w:t>)</w:t>
      </w:r>
      <w:r>
        <w:rPr>
          <w:rFonts w:hint="eastAsia"/>
        </w:rPr>
        <w:t>以及本项目运行过程中所产生的部分危废</w:t>
      </w:r>
      <w:r>
        <w:t>(</w:t>
      </w:r>
      <w:r>
        <w:rPr>
          <w:rFonts w:hint="eastAsia"/>
        </w:rPr>
        <w:t>主要包括危废焚烧产生的飞灰和炉渣，澄清池废渣、沉淀废渣、喷淋洗涤塔滤渣、强制循环蒸发系统产生的盐泥以及本项目污水处理站所产生的污泥等</w:t>
      </w:r>
      <w:r>
        <w:t>)</w:t>
      </w:r>
      <w:r>
        <w:rPr>
          <w:rFonts w:hint="eastAsia"/>
        </w:rPr>
        <w:t>需进行稳定化</w:t>
      </w:r>
      <w:r>
        <w:t>/</w:t>
      </w:r>
      <w:r>
        <w:rPr>
          <w:rFonts w:hint="eastAsia"/>
        </w:rPr>
        <w:t>固化处理，本项目采取以水泥基固化法为主，药剂稳定化为辅的综合预处理技术，经稳定化</w:t>
      </w:r>
      <w:r>
        <w:t>/</w:t>
      </w:r>
      <w:r>
        <w:rPr>
          <w:rFonts w:hint="eastAsia"/>
        </w:rPr>
        <w:t>固化处理达到《危险废物填埋污染控制标准》</w:t>
      </w:r>
      <w:r>
        <w:t>(GB18598-2001)</w:t>
      </w:r>
      <w:r>
        <w:rPr>
          <w:rFonts w:hint="eastAsia"/>
        </w:rPr>
        <w:t>要求的危险废物容许进入填埋场的控制限值后的固化体经养护后送至本项目安全填埋场作业区进行压实和覆盖。</w:t>
      </w:r>
    </w:p>
    <w:p>
      <w:pPr>
        <w:ind w:firstLine="480"/>
      </w:pPr>
      <w:r>
        <w:rPr>
          <w:rFonts w:hint="eastAsia"/>
        </w:rPr>
        <w:t>固化体在固化体养护间养护约</w:t>
      </w:r>
      <w:r>
        <w:t>5</w:t>
      </w:r>
      <w:r>
        <w:rPr>
          <w:rFonts w:hint="eastAsia"/>
        </w:rPr>
        <w:t>天后其抗压强度能达到</w:t>
      </w:r>
      <w:r>
        <w:t>10kg/cm</w:t>
      </w:r>
      <w:r>
        <w:rPr>
          <w:vertAlign w:val="superscript"/>
        </w:rPr>
        <w:t>2</w:t>
      </w:r>
      <w:r>
        <w:rPr>
          <w:rFonts w:hint="eastAsia"/>
        </w:rPr>
        <w:t>，此时可将养护后的固化体输送安全填埋场填埋。</w:t>
      </w:r>
    </w:p>
    <w:p>
      <w:pPr>
        <w:pStyle w:val="6"/>
      </w:pPr>
      <w:r>
        <w:rPr>
          <w:rFonts w:hint="eastAsia"/>
        </w:rPr>
        <w:t>3.5.3.5安全填埋处置</w:t>
      </w:r>
    </w:p>
    <w:p>
      <w:pPr>
        <w:ind w:firstLine="480"/>
      </w:pPr>
      <w:r>
        <w:rPr>
          <w:rFonts w:hint="eastAsia"/>
          <w:szCs w:val="24"/>
        </w:rPr>
        <w:t>经固化</w:t>
      </w:r>
      <w:r>
        <w:rPr>
          <w:szCs w:val="24"/>
        </w:rPr>
        <w:t>/</w:t>
      </w:r>
      <w:r>
        <w:rPr>
          <w:rFonts w:hint="eastAsia"/>
          <w:szCs w:val="24"/>
        </w:rPr>
        <w:t>稳定化处理后的固化体由专用转运车辆运送进入安全填埋场，然后进入填埋区分区堆填作业单元，在管理人员的指挥下，进行卸料、摊铺、压实、覆盖，最终完成堆填作业；安全填埋场渗滤液通过场底铺设的渗滤液导排系统进入渗滤液调节池，最终送至本项目危废综合处置厂内进行处理；场区周围设置排水沟，洪水和雨水经截洪沟收集后导排至填埋场外。</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20"/>
        <w:jc w:val="center"/>
      </w:pPr>
      <w:r>
        <w:rPr>
          <w:rFonts w:cs="Times New Roman"/>
          <w:sz w:val="21"/>
          <w:szCs w:val="20"/>
        </w:rPr>
        <w:object>
          <v:shape id="_x0000_i1031" o:spt="75" type="#_x0000_t75" style="height:498.5pt;width:338.5pt;" o:ole="t" filled="f" o:preferrelative="t" stroked="f" coordsize="21600,21600">
            <v:path/>
            <v:fill on="f" focussize="0,0"/>
            <v:stroke on="f" joinstyle="miter"/>
            <v:imagedata r:id="rId30" o:title=""/>
            <o:lock v:ext="edit" aspectratio="t"/>
            <w10:wrap type="none"/>
            <w10:anchorlock/>
          </v:shape>
          <o:OLEObject Type="Embed" ProgID="Visio.Drawing.11" ShapeID="_x0000_i1031" DrawAspect="Content" ObjectID="_1468075731" r:id="rId29">
            <o:LockedField>false</o:LockedField>
          </o:OLEObject>
        </w:object>
      </w:r>
    </w:p>
    <w:p>
      <w:pPr>
        <w:ind w:firstLine="480"/>
      </w:pPr>
      <w:r>
        <w:rPr>
          <w:rFonts w:hint="eastAsia"/>
        </w:rPr>
        <w:t>图</w:t>
      </w:r>
      <w:bookmarkStart w:id="201" w:name="OLE_LINK6"/>
      <w:bookmarkStart w:id="202" w:name="OLE_LINK5"/>
      <w:r>
        <w:rPr>
          <w:rFonts w:hint="eastAsia"/>
        </w:rPr>
        <w:t>3.5—6</w:t>
      </w:r>
      <w:bookmarkEnd w:id="201"/>
      <w:bookmarkEnd w:id="202"/>
      <w:r>
        <w:rPr>
          <w:rFonts w:hint="eastAsia"/>
        </w:rPr>
        <w:t>固化车间生产工艺流程及排污节点示意图</w:t>
      </w:r>
    </w:p>
    <w:p>
      <w:pPr>
        <w:ind w:firstLine="480"/>
      </w:pPr>
    </w:p>
    <w:p>
      <w:pPr>
        <w:ind w:firstLine="480"/>
      </w:pPr>
    </w:p>
    <w:p>
      <w:pPr>
        <w:ind w:firstLine="480"/>
      </w:pPr>
    </w:p>
    <w:p>
      <w:pPr>
        <w:ind w:firstLine="480"/>
      </w:pPr>
    </w:p>
    <w:p>
      <w:pPr>
        <w:autoSpaceDE w:val="0"/>
        <w:autoSpaceDN w:val="0"/>
        <w:ind w:firstLine="420"/>
        <w:jc w:val="center"/>
      </w:pPr>
      <w:r>
        <w:rPr>
          <w:rFonts w:cs="Times New Roman"/>
          <w:sz w:val="21"/>
          <w:szCs w:val="20"/>
        </w:rPr>
        <w:object>
          <v:shape id="_x0000_i1032" o:spt="75" type="#_x0000_t75" style="height:283.5pt;width:239.5pt;" o:ole="t" filled="f" o:preferrelative="t" stroked="f" coordsize="21600,21600">
            <v:path/>
            <v:fill on="f" focussize="0,0"/>
            <v:stroke on="f" joinstyle="miter"/>
            <v:imagedata r:id="rId32" o:title=""/>
            <o:lock v:ext="edit" aspectratio="t"/>
            <w10:wrap type="none"/>
            <w10:anchorlock/>
          </v:shape>
          <o:OLEObject Type="Embed" ProgID="Visio.Drawing.11" ShapeID="_x0000_i1032" DrawAspect="Content" ObjectID="_1468075732" r:id="rId31">
            <o:LockedField>false</o:LockedField>
          </o:OLEObject>
        </w:object>
      </w:r>
    </w:p>
    <w:p>
      <w:pPr>
        <w:autoSpaceDE w:val="0"/>
        <w:autoSpaceDN w:val="0"/>
        <w:ind w:firstLine="480"/>
        <w:jc w:val="left"/>
      </w:pPr>
      <w:r>
        <w:rPr>
          <w:rFonts w:hint="eastAsia"/>
        </w:rPr>
        <w:t>图3.5—7安全填埋场生产工艺流程及排污节点示意图</w:t>
      </w:r>
    </w:p>
    <w:p>
      <w:pPr>
        <w:ind w:firstLine="480"/>
      </w:pPr>
    </w:p>
    <w:p>
      <w:pPr>
        <w:pStyle w:val="5"/>
      </w:pPr>
      <w:bookmarkStart w:id="203" w:name="_Toc13760130"/>
      <w:r>
        <w:rPr>
          <w:rFonts w:hint="eastAsia"/>
        </w:rPr>
        <w:t>3.5.5污染防治对策简述</w:t>
      </w:r>
      <w:bookmarkEnd w:id="203"/>
    </w:p>
    <w:p>
      <w:pPr>
        <w:pStyle w:val="6"/>
      </w:pPr>
      <w:r>
        <w:rPr>
          <w:rFonts w:hint="eastAsia"/>
        </w:rPr>
        <w:t>3.5.5.1大气污染物及防治措施</w:t>
      </w:r>
    </w:p>
    <w:p>
      <w:pPr>
        <w:ind w:firstLine="480"/>
      </w:pPr>
      <w:r>
        <w:rPr>
          <w:rFonts w:hint="eastAsia"/>
        </w:rPr>
        <w:t>废物暂存库有组织废气经收集后经过同一套紫外光系统</w:t>
      </w:r>
      <w:r>
        <w:t>+</w:t>
      </w:r>
      <w:r>
        <w:rPr>
          <w:rFonts w:hint="eastAsia"/>
        </w:rPr>
        <w:t>活性炭纤维有机废气净化器处理，净化效率约为</w:t>
      </w:r>
      <w:r>
        <w:t>80%</w:t>
      </w:r>
      <w:r>
        <w:rPr>
          <w:rFonts w:hint="eastAsia"/>
        </w:rPr>
        <w:t>，净化后的尾气经由</w:t>
      </w:r>
      <w:r>
        <w:t>1</w:t>
      </w:r>
      <w:r>
        <w:rPr>
          <w:rFonts w:hint="eastAsia"/>
        </w:rPr>
        <w:t>根</w:t>
      </w:r>
      <w:r>
        <w:t>20m</w:t>
      </w:r>
      <w:r>
        <w:rPr>
          <w:rFonts w:hint="eastAsia"/>
        </w:rPr>
        <w:t>高排气筒外排。</w:t>
      </w:r>
    </w:p>
    <w:p>
      <w:pPr>
        <w:ind w:firstLine="480"/>
      </w:pPr>
      <w:r>
        <w:rPr>
          <w:rFonts w:hint="eastAsia"/>
        </w:rPr>
        <w:t>物化处理车间所产生的酸雾废气经酸性气体吸收塔处理后，通过高</w:t>
      </w:r>
      <w:r>
        <w:t>20m</w:t>
      </w:r>
      <w:r>
        <w:rPr>
          <w:rFonts w:hint="eastAsia"/>
        </w:rPr>
        <w:t>的烟囱达标排放。</w:t>
      </w:r>
    </w:p>
    <w:p>
      <w:pPr>
        <w:ind w:firstLine="480"/>
      </w:pPr>
      <w:r>
        <w:rPr>
          <w:rFonts w:hint="eastAsia"/>
          <w:lang w:val="pt-BR"/>
        </w:rPr>
        <w:t>焚烧车间的</w:t>
      </w:r>
      <w:r>
        <w:rPr>
          <w:rFonts w:hint="eastAsia"/>
          <w:kern w:val="0"/>
        </w:rPr>
        <w:t>焚烧烟气经过“</w:t>
      </w:r>
      <w:r>
        <w:t>SNCR</w:t>
      </w:r>
      <w:r>
        <w:rPr>
          <w:rFonts w:hint="eastAsia"/>
        </w:rPr>
        <w:t>脱硝系统</w:t>
      </w:r>
      <w:r>
        <w:t>+</w:t>
      </w:r>
      <w:r>
        <w:rPr>
          <w:rFonts w:hint="eastAsia"/>
        </w:rPr>
        <w:t>旋风收尘器</w:t>
      </w:r>
      <w:r>
        <w:t>+</w:t>
      </w:r>
      <w:r>
        <w:rPr>
          <w:rFonts w:hint="eastAsia"/>
        </w:rPr>
        <w:t>余热锅炉</w:t>
      </w:r>
      <w:r>
        <w:t>+</w:t>
      </w:r>
      <w:r>
        <w:rPr>
          <w:rFonts w:hint="eastAsia"/>
        </w:rPr>
        <w:t>急冷脱酸塔</w:t>
      </w:r>
      <w:r>
        <w:t>+</w:t>
      </w:r>
      <w:r>
        <w:rPr>
          <w:rFonts w:hint="eastAsia"/>
        </w:rPr>
        <w:t>干式反应器</w:t>
      </w:r>
      <w:r>
        <w:t>+</w:t>
      </w:r>
      <w:r>
        <w:rPr>
          <w:rFonts w:hint="eastAsia"/>
        </w:rPr>
        <w:t>袋式除尘器</w:t>
      </w:r>
      <w:r>
        <w:t>+</w:t>
      </w:r>
      <w:r>
        <w:rPr>
          <w:rFonts w:hint="eastAsia"/>
        </w:rPr>
        <w:t>喷淋洗涤塔</w:t>
      </w:r>
      <w:r>
        <w:rPr>
          <w:rFonts w:hint="eastAsia"/>
          <w:kern w:val="0"/>
        </w:rPr>
        <w:t>”的净化处理，</w:t>
      </w:r>
      <w:r>
        <w:rPr>
          <w:rFonts w:hint="eastAsia"/>
        </w:rPr>
        <w:t>净化后的尾气经由</w:t>
      </w:r>
      <w:r>
        <w:t>1</w:t>
      </w:r>
      <w:r>
        <w:rPr>
          <w:rFonts w:hint="eastAsia"/>
        </w:rPr>
        <w:t>根45</w:t>
      </w:r>
      <w:r>
        <w:t>m</w:t>
      </w:r>
      <w:r>
        <w:rPr>
          <w:rFonts w:hint="eastAsia"/>
        </w:rPr>
        <w:t>高烟囱外排。</w:t>
      </w:r>
    </w:p>
    <w:p>
      <w:pPr>
        <w:ind w:firstLine="480"/>
      </w:pPr>
      <w:r>
        <w:rPr>
          <w:rFonts w:hint="eastAsia"/>
        </w:rPr>
        <w:t>稳定化</w:t>
      </w:r>
      <w:r>
        <w:t>/</w:t>
      </w:r>
      <w:r>
        <w:rPr>
          <w:rFonts w:hint="eastAsia"/>
        </w:rPr>
        <w:t>固化车间各转运点及搅拌机进料口处安装集气罩，集气罩收集后的废气通过引风系统统一收集后经布袋除尘器除尘，除尘后的废气通过</w:t>
      </w:r>
      <w:r>
        <w:t>20m</w:t>
      </w:r>
      <w:r>
        <w:rPr>
          <w:rFonts w:hint="eastAsia"/>
        </w:rPr>
        <w:t>排气筒排放。</w:t>
      </w:r>
    </w:p>
    <w:p>
      <w:pPr>
        <w:ind w:firstLine="480"/>
      </w:pPr>
      <w:r>
        <w:rPr>
          <w:rFonts w:hint="eastAsia"/>
        </w:rPr>
        <w:t>蒸发系统产生的主要污染物为臭气，经一套活性炭纤维有机废气净化器处理后，通过</w:t>
      </w:r>
      <w:r>
        <w:t>15m</w:t>
      </w:r>
      <w:r>
        <w:rPr>
          <w:rFonts w:hint="eastAsia"/>
        </w:rPr>
        <w:t>的排气筒进行排放。</w:t>
      </w:r>
    </w:p>
    <w:p>
      <w:pPr>
        <w:pStyle w:val="6"/>
      </w:pPr>
      <w:r>
        <w:rPr>
          <w:rFonts w:hint="eastAsia"/>
        </w:rPr>
        <w:t>3.5.5.2水染物及防治措施</w:t>
      </w:r>
    </w:p>
    <w:p>
      <w:pPr>
        <w:ind w:firstLine="480"/>
      </w:pPr>
      <w:r>
        <w:rPr>
          <w:rFonts w:hint="eastAsia"/>
        </w:rPr>
        <w:t>危废综合处置厂的生活污水收集经装置区内的化粪池预处理后，</w:t>
      </w:r>
      <w:r>
        <w:rPr>
          <w:rFonts w:hint="eastAsia"/>
          <w:szCs w:val="24"/>
        </w:rPr>
        <w:t>送至全厂污水处理站进行处理</w:t>
      </w:r>
      <w:r>
        <w:rPr>
          <w:rFonts w:hint="eastAsia"/>
        </w:rPr>
        <w:t>；安全填埋场产生的生活污水排入厂区设置的防渗化粪池，定期由吸污车进行清理运输至全厂污水处理站进行处理。全厂生活污水产生量为</w:t>
      </w:r>
      <w:r>
        <w:t>9.92m</w:t>
      </w:r>
      <w:r>
        <w:rPr>
          <w:vertAlign w:val="superscript"/>
        </w:rPr>
        <w:t>3</w:t>
      </w:r>
      <w:r>
        <w:t>/d</w:t>
      </w:r>
      <w:r>
        <w:rPr>
          <w:rFonts w:hint="eastAsia"/>
        </w:rPr>
        <w:t>。</w:t>
      </w:r>
    </w:p>
    <w:p>
      <w:pPr>
        <w:ind w:firstLine="480"/>
      </w:pPr>
      <w:r>
        <w:rPr>
          <w:rFonts w:hint="eastAsia"/>
        </w:rPr>
        <w:t>化验废水为</w:t>
      </w:r>
      <w:r>
        <w:t>2.0m</w:t>
      </w:r>
      <w:r>
        <w:rPr>
          <w:vertAlign w:val="superscript"/>
        </w:rPr>
        <w:t>3</w:t>
      </w:r>
      <w:r>
        <w:t>/d</w:t>
      </w:r>
      <w:r>
        <w:rPr>
          <w:rFonts w:hint="eastAsia"/>
        </w:rPr>
        <w:t>，收集后送至本项目厂区污水处理站进行处理。</w:t>
      </w:r>
    </w:p>
    <w:p>
      <w:pPr>
        <w:ind w:firstLine="480"/>
      </w:pPr>
      <w:r>
        <w:rPr>
          <w:rFonts w:hint="eastAsia"/>
        </w:rPr>
        <w:t>危废综合处置厂的冲洗废水收集后直接送至全厂污水处理站，安全填埋场产生的冲洗废水排入安全填埋场洗车台处设置的容积为</w:t>
      </w:r>
      <w:r>
        <w:t>100m</w:t>
      </w:r>
      <w:r>
        <w:rPr>
          <w:vertAlign w:val="superscript"/>
        </w:rPr>
        <w:t>3</w:t>
      </w:r>
      <w:r>
        <w:rPr>
          <w:rFonts w:hint="eastAsia"/>
        </w:rPr>
        <w:t>的防渗暂存池，定期由吸污车进行清理运输至全厂污水处理站进行处理。全厂冲洗废水产生量为</w:t>
      </w:r>
      <w:r>
        <w:t>9.6m</w:t>
      </w:r>
      <w:r>
        <w:rPr>
          <w:vertAlign w:val="superscript"/>
        </w:rPr>
        <w:t>3</w:t>
      </w:r>
      <w:r>
        <w:t>/d</w:t>
      </w:r>
      <w:r>
        <w:rPr>
          <w:rFonts w:hint="eastAsia"/>
        </w:rPr>
        <w:t>。</w:t>
      </w:r>
    </w:p>
    <w:p>
      <w:pPr>
        <w:ind w:firstLine="480"/>
      </w:pPr>
      <w:r>
        <w:rPr>
          <w:rFonts w:hint="eastAsia"/>
        </w:rPr>
        <w:t>渗滤液产生量为</w:t>
      </w:r>
      <w:r>
        <w:t>8.6m</w:t>
      </w:r>
      <w:r>
        <w:rPr>
          <w:vertAlign w:val="superscript"/>
        </w:rPr>
        <w:t>3</w:t>
      </w:r>
      <w:r>
        <w:t>/d</w:t>
      </w:r>
      <w:r>
        <w:rPr>
          <w:rFonts w:hint="eastAsia"/>
        </w:rPr>
        <w:t>，</w:t>
      </w:r>
      <w:bookmarkStart w:id="204" w:name="OLE_LINK32"/>
      <w:r>
        <w:rPr>
          <w:rFonts w:hint="eastAsia"/>
        </w:rPr>
        <w:t>该部分废水由罐车送至全厂污水处理站进行处理。</w:t>
      </w:r>
      <w:bookmarkEnd w:id="204"/>
    </w:p>
    <w:p>
      <w:pPr>
        <w:ind w:firstLine="480"/>
      </w:pPr>
      <w:r>
        <w:rPr>
          <w:rFonts w:hint="eastAsia"/>
        </w:rPr>
        <w:t>物化车间排污水</w:t>
      </w:r>
      <w:r>
        <w:t>4.87m</w:t>
      </w:r>
      <w:r>
        <w:rPr>
          <w:vertAlign w:val="superscript"/>
        </w:rPr>
        <w:t>3</w:t>
      </w:r>
      <w:r>
        <w:t>/d</w:t>
      </w:r>
      <w:r>
        <w:rPr>
          <w:rFonts w:hint="eastAsia"/>
        </w:rPr>
        <w:t>，其中酸雾吸收塔排水</w:t>
      </w:r>
      <w:r>
        <w:t>0.33m</w:t>
      </w:r>
      <w:r>
        <w:rPr>
          <w:vertAlign w:val="superscript"/>
        </w:rPr>
        <w:t>3</w:t>
      </w:r>
      <w:r>
        <w:t>/d</w:t>
      </w:r>
      <w:r>
        <w:rPr>
          <w:rFonts w:hint="eastAsia"/>
        </w:rPr>
        <w:t>送至焚烧车间进行利用，澄清池排水</w:t>
      </w:r>
      <w:r>
        <w:t>3.96m</w:t>
      </w:r>
      <w:r>
        <w:rPr>
          <w:vertAlign w:val="superscript"/>
        </w:rPr>
        <w:t>3</w:t>
      </w:r>
      <w:r>
        <w:t>/d</w:t>
      </w:r>
      <w:r>
        <w:rPr>
          <w:rFonts w:hint="eastAsia"/>
        </w:rPr>
        <w:t>和沉淀池废水</w:t>
      </w:r>
      <w:r>
        <w:t>0.58m</w:t>
      </w:r>
      <w:r>
        <w:rPr>
          <w:vertAlign w:val="superscript"/>
        </w:rPr>
        <w:t>3</w:t>
      </w:r>
      <w:r>
        <w:t>/d</w:t>
      </w:r>
      <w:r>
        <w:rPr>
          <w:rFonts w:hint="eastAsia"/>
        </w:rPr>
        <w:t>经本车间污水处理模块处理后送至厂区污水处理系统；软化水站排污水</w:t>
      </w:r>
      <w:r>
        <w:t>14.4m</w:t>
      </w:r>
      <w:r>
        <w:rPr>
          <w:vertAlign w:val="superscript"/>
        </w:rPr>
        <w:t>3</w:t>
      </w:r>
      <w:r>
        <w:t>/d</w:t>
      </w:r>
      <w:r>
        <w:rPr>
          <w:rFonts w:hint="eastAsia"/>
        </w:rPr>
        <w:t>，该部分废水全部送至焚烧车间进行利用；循环水系统排污水</w:t>
      </w:r>
      <w:r>
        <w:t>0.57m</w:t>
      </w:r>
      <w:r>
        <w:rPr>
          <w:vertAlign w:val="superscript"/>
        </w:rPr>
        <w:t>3</w:t>
      </w:r>
      <w:r>
        <w:t>/d</w:t>
      </w:r>
      <w:r>
        <w:rPr>
          <w:rFonts w:hint="eastAsia"/>
        </w:rPr>
        <w:t>，该部分废水全部送至焚烧车间进行利用；焚烧车间排污水</w:t>
      </w:r>
      <w:r>
        <w:t>6.92m</w:t>
      </w:r>
      <w:r>
        <w:rPr>
          <w:vertAlign w:val="superscript"/>
        </w:rPr>
        <w:t>3</w:t>
      </w:r>
      <w:r>
        <w:t>/d</w:t>
      </w:r>
      <w:r>
        <w:rPr>
          <w:rFonts w:hint="eastAsia"/>
        </w:rPr>
        <w:t>，其中余热锅炉排水</w:t>
      </w:r>
      <w:r>
        <w:t>1.2m</w:t>
      </w:r>
      <w:r>
        <w:rPr>
          <w:vertAlign w:val="superscript"/>
        </w:rPr>
        <w:t>3</w:t>
      </w:r>
      <w:r>
        <w:t>/d</w:t>
      </w:r>
      <w:r>
        <w:rPr>
          <w:rFonts w:hint="eastAsia"/>
        </w:rPr>
        <w:t>回用于本车间，喷淋洗涤塔排水排水</w:t>
      </w:r>
      <w:r>
        <w:t>5.72m</w:t>
      </w:r>
      <w:r>
        <w:rPr>
          <w:vertAlign w:val="superscript"/>
        </w:rPr>
        <w:t>3</w:t>
      </w:r>
      <w:r>
        <w:t>/d</w:t>
      </w:r>
      <w:r>
        <w:rPr>
          <w:rFonts w:hint="eastAsia"/>
        </w:rPr>
        <w:t>经本车间污水处理模块处理后送至物化车间污水处理模块进行处理。</w:t>
      </w:r>
    </w:p>
    <w:p>
      <w:pPr>
        <w:ind w:firstLine="480"/>
        <w:rPr>
          <w:szCs w:val="24"/>
        </w:rPr>
      </w:pPr>
      <w:r>
        <w:rPr>
          <w:rFonts w:hint="eastAsia"/>
          <w:szCs w:val="24"/>
        </w:rPr>
        <w:t>生活废水、冲洗废水、化验用水、生活废水和全厂渗滤液一起经“絮凝沉淀</w:t>
      </w:r>
      <w:r>
        <w:rPr>
          <w:szCs w:val="24"/>
        </w:rPr>
        <w:t>+</w:t>
      </w:r>
      <w:r>
        <w:rPr>
          <w:rFonts w:hint="eastAsia"/>
          <w:szCs w:val="24"/>
        </w:rPr>
        <w:t>水解酸化</w:t>
      </w:r>
      <w:r>
        <w:rPr>
          <w:szCs w:val="24"/>
        </w:rPr>
        <w:t>+MBR+</w:t>
      </w:r>
      <w:r>
        <w:rPr>
          <w:rFonts w:hint="eastAsia"/>
          <w:szCs w:val="24"/>
        </w:rPr>
        <w:t>回用系统”进行处理，处理后的厂区污水处理站出水部分回用至固化车间，部分回用至焚烧车间，排浓水送至物化车间污水处理模块进行处置，不外排。</w:t>
      </w:r>
    </w:p>
    <w:p>
      <w:pPr>
        <w:ind w:firstLine="480"/>
        <w:rPr>
          <w:szCs w:val="24"/>
        </w:rPr>
      </w:pPr>
    </w:p>
    <w:p>
      <w:pPr>
        <w:ind w:firstLine="480"/>
        <w:rPr>
          <w:szCs w:val="24"/>
        </w:rPr>
      </w:pPr>
    </w:p>
    <w:p>
      <w:pPr>
        <w:ind w:firstLine="480"/>
        <w:rPr>
          <w:szCs w:val="24"/>
        </w:rPr>
      </w:pPr>
    </w:p>
    <w:p>
      <w:pPr>
        <w:ind w:firstLine="480"/>
        <w:rPr>
          <w:szCs w:val="24"/>
        </w:rPr>
      </w:pPr>
    </w:p>
    <w:p>
      <w:pPr>
        <w:ind w:firstLine="480"/>
        <w:rPr>
          <w:szCs w:val="24"/>
        </w:rPr>
      </w:pPr>
    </w:p>
    <w:p>
      <w:pPr>
        <w:ind w:firstLine="480"/>
        <w:rPr>
          <w:szCs w:val="24"/>
        </w:rPr>
      </w:pPr>
    </w:p>
    <w:p>
      <w:pPr>
        <w:ind w:firstLine="480"/>
        <w:rPr>
          <w:szCs w:val="24"/>
        </w:rPr>
      </w:pPr>
    </w:p>
    <w:p>
      <w:pPr>
        <w:ind w:firstLine="480"/>
        <w:rPr>
          <w:szCs w:val="24"/>
        </w:rPr>
      </w:pPr>
    </w:p>
    <w:p>
      <w:pPr>
        <w:ind w:firstLine="480"/>
        <w:rPr>
          <w:szCs w:val="24"/>
        </w:rPr>
      </w:pPr>
    </w:p>
    <w:p>
      <w:pPr>
        <w:ind w:firstLine="480"/>
        <w:rPr>
          <w:szCs w:val="24"/>
        </w:rPr>
      </w:pPr>
    </w:p>
    <w:p>
      <w:pPr>
        <w:ind w:firstLine="480"/>
        <w:rPr>
          <w:szCs w:val="24"/>
        </w:rPr>
      </w:pPr>
    </w:p>
    <w:p>
      <w:pPr>
        <w:ind w:firstLine="480"/>
        <w:rPr>
          <w:szCs w:val="24"/>
        </w:rPr>
      </w:pPr>
    </w:p>
    <w:p>
      <w:pPr>
        <w:ind w:firstLine="480"/>
        <w:rPr>
          <w:szCs w:val="24"/>
        </w:rPr>
      </w:pPr>
    </w:p>
    <w:p>
      <w:pPr>
        <w:pStyle w:val="178"/>
        <w:ind w:firstLine="0" w:firstLineChars="0"/>
        <w:jc w:val="center"/>
      </w:pPr>
      <w:r>
        <w:rPr>
          <w:rFonts w:hint="eastAsia" w:cs="Times New Roman"/>
          <w:szCs w:val="20"/>
        </w:rPr>
        <w:object>
          <v:shape id="_x0000_i1033" o:spt="75" type="#_x0000_t75" style="height:592.5pt;width:424.5pt;" o:ole="t" filled="f" o:preferrelative="t" stroked="f" coordsize="21600,21600">
            <v:path/>
            <v:fill on="f" focussize="0,0"/>
            <v:stroke on="f" joinstyle="miter"/>
            <v:imagedata r:id="rId34" o:title=""/>
            <o:lock v:ext="edit" aspectratio="t"/>
            <w10:wrap type="none"/>
            <w10:anchorlock/>
          </v:shape>
          <o:OLEObject Type="Embed" ProgID="Visio.Drawing.11" ShapeID="_x0000_i1033" DrawAspect="Content" ObjectID="_1468075733" r:id="rId33">
            <o:LockedField>false</o:LockedField>
          </o:OLEObject>
        </w:object>
      </w:r>
    </w:p>
    <w:p>
      <w:pPr>
        <w:ind w:firstLine="480"/>
      </w:pPr>
      <w:r>
        <w:rPr>
          <w:rFonts w:hint="eastAsia"/>
        </w:rPr>
        <w:t>图3.5—8厂区污水处理系统工艺流程图</w:t>
      </w:r>
    </w:p>
    <w:p>
      <w:pPr>
        <w:ind w:firstLine="480"/>
        <w:jc w:val="center"/>
        <w:rPr>
          <w:szCs w:val="24"/>
        </w:rPr>
      </w:pPr>
    </w:p>
    <w:p>
      <w:pPr>
        <w:ind w:firstLine="480"/>
        <w:rPr>
          <w:szCs w:val="24"/>
        </w:rPr>
      </w:pPr>
    </w:p>
    <w:p>
      <w:pPr>
        <w:ind w:firstLine="480"/>
        <w:rPr>
          <w:szCs w:val="24"/>
        </w:rPr>
      </w:pPr>
    </w:p>
    <w:p>
      <w:pPr>
        <w:pStyle w:val="6"/>
      </w:pPr>
      <w:r>
        <w:rPr>
          <w:rFonts w:hint="eastAsia"/>
        </w:rPr>
        <w:t>3.5.5.3固废及防治措施</w:t>
      </w:r>
    </w:p>
    <w:p>
      <w:pPr>
        <w:ind w:firstLine="480"/>
      </w:pPr>
      <w:r>
        <w:rPr>
          <w:rFonts w:hint="eastAsia"/>
          <w:kern w:val="0"/>
        </w:rPr>
        <w:t>项目危废暂存库有机废气净化器产生的废物主要为废活性炭，产生量为</w:t>
      </w:r>
      <w:r>
        <w:rPr>
          <w:kern w:val="0"/>
        </w:rPr>
        <w:t>19.7t/a</w:t>
      </w:r>
      <w:r>
        <w:rPr>
          <w:rFonts w:hint="eastAsia"/>
          <w:kern w:val="0"/>
        </w:rPr>
        <w:t>，送至回转窑进行焚烧处理；物化车间澄清池废渣主要成分为碳酸钙等，产生量为</w:t>
      </w:r>
      <w:r>
        <w:rPr>
          <w:kern w:val="0"/>
        </w:rPr>
        <w:t>796.8t/a</w:t>
      </w:r>
      <w:r>
        <w:rPr>
          <w:rFonts w:hint="eastAsia"/>
          <w:kern w:val="0"/>
        </w:rPr>
        <w:t>，送至固化车间经固化后安全填埋；物化车间隔油池废油产生量为</w:t>
      </w:r>
      <w:r>
        <w:rPr>
          <w:kern w:val="0"/>
        </w:rPr>
        <w:t>5.61t/a</w:t>
      </w:r>
      <w:r>
        <w:rPr>
          <w:rFonts w:hint="eastAsia"/>
          <w:kern w:val="0"/>
        </w:rPr>
        <w:t>，送至回转窑进行焚烧处理；物化车间沉淀池废渣主要成分为含重沉淀物等，产生量为</w:t>
      </w:r>
      <w:r>
        <w:rPr>
          <w:kern w:val="0"/>
        </w:rPr>
        <w:t>5.94t/a</w:t>
      </w:r>
      <w:r>
        <w:rPr>
          <w:rFonts w:hint="eastAsia"/>
          <w:kern w:val="0"/>
        </w:rPr>
        <w:t>，送至固化车间经固化后安全填埋；焚烧车间产生的焚烧炉渣量为</w:t>
      </w:r>
      <w:r>
        <w:rPr>
          <w:kern w:val="0"/>
        </w:rPr>
        <w:t>1310t/a</w:t>
      </w:r>
      <w:r>
        <w:rPr>
          <w:rFonts w:hint="eastAsia"/>
          <w:kern w:val="0"/>
        </w:rPr>
        <w:t>、焚烧飞灰量为</w:t>
      </w:r>
      <w:r>
        <w:rPr>
          <w:kern w:val="0"/>
        </w:rPr>
        <w:t>498t/a</w:t>
      </w:r>
      <w:r>
        <w:rPr>
          <w:rFonts w:hint="eastAsia"/>
          <w:kern w:val="0"/>
        </w:rPr>
        <w:t>，喷淋洗涤塔滤渣量为</w:t>
      </w:r>
      <w:r>
        <w:rPr>
          <w:kern w:val="0"/>
        </w:rPr>
        <w:t>8.9t/a</w:t>
      </w:r>
      <w:r>
        <w:rPr>
          <w:rFonts w:hint="eastAsia"/>
          <w:kern w:val="0"/>
        </w:rPr>
        <w:t>，主要成分为焚烧残渣及含重颗粒物等，送至固化车间经固化后安全填埋；污水处理站污泥产生量约</w:t>
      </w:r>
      <w:r>
        <w:rPr>
          <w:kern w:val="0"/>
        </w:rPr>
        <w:t>12.54t/a</w:t>
      </w:r>
      <w:r>
        <w:rPr>
          <w:rFonts w:hint="eastAsia"/>
          <w:kern w:val="0"/>
        </w:rPr>
        <w:t>，送至固化车间经固化后安全填埋；强制循环蒸发系统产生盐泥主要成分为盐类及重金属，产生量为</w:t>
      </w:r>
      <w:r>
        <w:rPr>
          <w:kern w:val="0"/>
        </w:rPr>
        <w:t>409.2t/a</w:t>
      </w:r>
      <w:r>
        <w:rPr>
          <w:rFonts w:hint="eastAsia"/>
          <w:kern w:val="0"/>
        </w:rPr>
        <w:t>，送至固化车间经固化后安全填埋；强制循环蒸发系统净化器产生的废物主要成分为废活性炭，产生量为</w:t>
      </w:r>
      <w:r>
        <w:rPr>
          <w:kern w:val="0"/>
        </w:rPr>
        <w:t>1.6t/a</w:t>
      </w:r>
      <w:r>
        <w:rPr>
          <w:rFonts w:hint="eastAsia"/>
          <w:kern w:val="0"/>
        </w:rPr>
        <w:t>，送至回转窑进行焚烧处理；本项目定员</w:t>
      </w:r>
      <w:r>
        <w:rPr>
          <w:kern w:val="0"/>
        </w:rPr>
        <w:t>124</w:t>
      </w:r>
      <w:r>
        <w:rPr>
          <w:rFonts w:hint="eastAsia"/>
          <w:kern w:val="0"/>
        </w:rPr>
        <w:t>人，垃圾产生量按</w:t>
      </w:r>
      <w:r>
        <w:rPr>
          <w:kern w:val="0"/>
        </w:rPr>
        <w:t>1.2kg/</w:t>
      </w:r>
      <w:r>
        <w:rPr>
          <w:rFonts w:hint="eastAsia"/>
          <w:kern w:val="0"/>
        </w:rPr>
        <w:t>人</w:t>
      </w:r>
      <w:r>
        <w:rPr>
          <w:kern w:val="0"/>
        </w:rPr>
        <w:t>.</w:t>
      </w:r>
      <w:r>
        <w:rPr>
          <w:rFonts w:hint="eastAsia"/>
          <w:kern w:val="0"/>
        </w:rPr>
        <w:t>天计，生活垃圾产生量为</w:t>
      </w:r>
      <w:r>
        <w:rPr>
          <w:kern w:val="0"/>
        </w:rPr>
        <w:t>49.1t/a</w:t>
      </w:r>
      <w:r>
        <w:rPr>
          <w:rFonts w:hint="eastAsia"/>
          <w:kern w:val="0"/>
        </w:rPr>
        <w:t>，由当地环卫部门统一收集处理。</w:t>
      </w:r>
    </w:p>
    <w:p>
      <w:pPr>
        <w:pStyle w:val="6"/>
      </w:pPr>
      <w:r>
        <w:rPr>
          <w:rFonts w:hint="eastAsia"/>
        </w:rPr>
        <w:t>3.5.5.4噪声及防治措施</w:t>
      </w:r>
    </w:p>
    <w:p>
      <w:pPr>
        <w:ind w:firstLine="480"/>
        <w:rPr>
          <w:kern w:val="0"/>
        </w:rPr>
      </w:pPr>
      <w:r>
        <w:rPr>
          <w:kern w:val="0"/>
        </w:rPr>
        <w:t>(1)</w:t>
      </w:r>
      <w:r>
        <w:rPr>
          <w:rFonts w:hint="eastAsia"/>
          <w:kern w:val="0"/>
        </w:rPr>
        <w:t>对车辆噪声除了选用低噪声的废物运输车外，主要靠车辆的低速平稳行驶和少鸣喇叭等措施降噪。</w:t>
      </w:r>
    </w:p>
    <w:p>
      <w:pPr>
        <w:ind w:firstLine="480"/>
        <w:rPr>
          <w:kern w:val="0"/>
        </w:rPr>
      </w:pPr>
      <w:r>
        <w:rPr>
          <w:kern w:val="0"/>
        </w:rPr>
        <w:t>(2)</w:t>
      </w:r>
      <w:r>
        <w:rPr>
          <w:rFonts w:hint="eastAsia"/>
          <w:kern w:val="0"/>
        </w:rPr>
        <w:t>在鼓风机、引风机进出口装设软管，在吸气口和排气口安装消声器。</w:t>
      </w:r>
    </w:p>
    <w:p>
      <w:pPr>
        <w:ind w:firstLine="480"/>
        <w:rPr>
          <w:kern w:val="0"/>
        </w:rPr>
      </w:pPr>
      <w:r>
        <w:rPr>
          <w:kern w:val="0"/>
        </w:rPr>
        <w:t>(3)</w:t>
      </w:r>
      <w:r>
        <w:rPr>
          <w:rFonts w:hint="eastAsia"/>
          <w:kern w:val="0"/>
        </w:rPr>
        <w:t>搅拌机、空压机、破碎机、离心机、鼓风机和水泵尽量安装在厂房内，室内墙壁安装吸声材料。</w:t>
      </w:r>
    </w:p>
    <w:p>
      <w:pPr>
        <w:ind w:firstLine="480"/>
        <w:rPr>
          <w:kern w:val="0"/>
        </w:rPr>
      </w:pPr>
      <w:r>
        <w:rPr>
          <w:kern w:val="0"/>
        </w:rPr>
        <w:t>(4)</w:t>
      </w:r>
      <w:r>
        <w:rPr>
          <w:rFonts w:hint="eastAsia"/>
          <w:kern w:val="0"/>
        </w:rPr>
        <w:t>对水泵、风机安装隔声罩，并在风机、水泵、破碎机、离心机、空压机与基础之间安装减振器。</w:t>
      </w:r>
    </w:p>
    <w:p>
      <w:pPr>
        <w:ind w:firstLine="480"/>
        <w:rPr>
          <w:kern w:val="0"/>
        </w:rPr>
      </w:pPr>
      <w:r>
        <w:rPr>
          <w:kern w:val="0"/>
        </w:rPr>
        <w:t>(5)</w:t>
      </w:r>
      <w:r>
        <w:rPr>
          <w:rFonts w:hint="eastAsia"/>
          <w:kern w:val="0"/>
        </w:rPr>
        <w:t>管路系统噪声控制：合理设计和布置管线，设计管道时尽量选用较大管径以降低流速，减少管道拐弯、交叉和变径，弯头的曲率半径至少</w:t>
      </w:r>
      <w:r>
        <w:rPr>
          <w:kern w:val="0"/>
        </w:rPr>
        <w:t xml:space="preserve">1.5 </w:t>
      </w:r>
      <w:r>
        <w:rPr>
          <w:rFonts w:hint="eastAsia"/>
          <w:kern w:val="0"/>
        </w:rPr>
        <w:t>倍于管径，管线支承架设要牢固，靠近振源的管线处设置波纹膨胀节或其它软接头，隔绝固体声传播，在管线穿过墙体时最好采用弹性连接；在管道外壁敷设阻尼隔声层。</w:t>
      </w:r>
    </w:p>
    <w:p>
      <w:pPr>
        <w:pStyle w:val="6"/>
      </w:pPr>
      <w:r>
        <w:rPr>
          <w:rFonts w:hint="eastAsia"/>
        </w:rPr>
        <w:t>3.5.5.5地下水污染及防治措施</w:t>
      </w:r>
    </w:p>
    <w:p>
      <w:pPr>
        <w:ind w:firstLine="480"/>
      </w:pPr>
      <w:r>
        <w:t>(1)</w:t>
      </w:r>
      <w:r>
        <w:rPr>
          <w:rFonts w:hint="eastAsia"/>
        </w:rPr>
        <w:t>对危废综合处置厂和安全填埋场废水进入含水层分别提出相应的源头控制管理措施；</w:t>
      </w:r>
    </w:p>
    <w:p>
      <w:pPr>
        <w:ind w:firstLine="480"/>
      </w:pPr>
      <w:r>
        <w:t>(2)</w:t>
      </w:r>
      <w:r>
        <w:rPr>
          <w:rFonts w:hint="eastAsia"/>
        </w:rPr>
        <w:t>进行分区防渗，</w:t>
      </w:r>
      <w:r>
        <w:t>1#</w:t>
      </w:r>
      <w:r>
        <w:rPr>
          <w:rFonts w:hint="eastAsia"/>
        </w:rPr>
        <w:t>和</w:t>
      </w:r>
      <w:r>
        <w:t>2#</w:t>
      </w:r>
      <w:r>
        <w:rPr>
          <w:rFonts w:hint="eastAsia"/>
        </w:rPr>
        <w:t>危废仓库、综合仓库、危废暂存车间、物化车间、固化稳定化车间、焚烧车间可视范围内的地面设置为重点防渗区，防渗等级等效</w:t>
      </w:r>
      <w:r>
        <w:t>2mm</w:t>
      </w:r>
      <w:r>
        <w:rPr>
          <w:rFonts w:hint="eastAsia"/>
        </w:rPr>
        <w:t>高密度人工聚乙烯，或其他人工材料，渗透系数不大于</w:t>
      </w:r>
      <w:r>
        <w:t>10-10cm/s</w:t>
      </w:r>
      <w:r>
        <w:rPr>
          <w:rFonts w:hint="eastAsia"/>
        </w:rPr>
        <w:t>；废液储罐、厂区所有污水处理系统、所有半地下污水池、所有地埋式污水管道和安全填埋场调节池设为重点污染防渗区，防渗等级等效于</w:t>
      </w:r>
      <w:r>
        <w:t>6m</w:t>
      </w:r>
      <w:r>
        <w:rPr>
          <w:rFonts w:hint="eastAsia"/>
        </w:rPr>
        <w:t>厚粘土，渗透系数不大于</w:t>
      </w:r>
      <w:r>
        <w:t>10</w:t>
      </w:r>
      <w:r>
        <w:rPr>
          <w:vertAlign w:val="superscript"/>
        </w:rPr>
        <w:t>-7</w:t>
      </w:r>
      <w:r>
        <w:t>cm/s</w:t>
      </w:r>
      <w:r>
        <w:rPr>
          <w:rFonts w:hint="eastAsia"/>
        </w:rPr>
        <w:t>；安全填埋场填埋区设为重点污染防渗区，采用双层人工防渗衬层设置防渗，每层防渗等级等效于</w:t>
      </w:r>
      <w:r>
        <w:t>6m</w:t>
      </w:r>
      <w:r>
        <w:rPr>
          <w:rFonts w:hint="eastAsia"/>
        </w:rPr>
        <w:t>厚粘土，渗透系数不大于</w:t>
      </w:r>
      <w:r>
        <w:t>10</w:t>
      </w:r>
      <w:r>
        <w:rPr>
          <w:vertAlign w:val="superscript"/>
        </w:rPr>
        <w:t>-7</w:t>
      </w:r>
      <w:r>
        <w:t>cm/s</w:t>
      </w:r>
      <w:r>
        <w:rPr>
          <w:rFonts w:hint="eastAsia"/>
        </w:rPr>
        <w:t>；事故应急池、初期雨水收集池、安全填埋场洗车台设定为一般污染防渗区，防渗等级等效于</w:t>
      </w:r>
      <w:r>
        <w:t>1.5m</w:t>
      </w:r>
      <w:r>
        <w:rPr>
          <w:rFonts w:hint="eastAsia"/>
        </w:rPr>
        <w:t>厚粘土，渗透系数不大于</w:t>
      </w:r>
      <w:r>
        <w:t>10</w:t>
      </w:r>
      <w:r>
        <w:rPr>
          <w:vertAlign w:val="superscript"/>
        </w:rPr>
        <w:t>-7</w:t>
      </w:r>
      <w:r>
        <w:t>cm/s</w:t>
      </w:r>
      <w:r>
        <w:rPr>
          <w:rFonts w:hint="eastAsia"/>
        </w:rPr>
        <w:t>；其它区域设定为简单污染防渗区，进行简单地面硬化。</w:t>
      </w:r>
    </w:p>
    <w:p>
      <w:pPr>
        <w:ind w:firstLine="480"/>
      </w:pPr>
      <w:r>
        <w:t>(3)</w:t>
      </w:r>
      <w:r>
        <w:rPr>
          <w:rFonts w:hint="eastAsia"/>
        </w:rPr>
        <w:t>分别在安全填埋场和危废综合处置厂设置地下水污染跟踪监测井网，进行地下水污染跟踪监测。</w:t>
      </w:r>
    </w:p>
    <w:p>
      <w:pPr>
        <w:pStyle w:val="6"/>
      </w:pPr>
      <w:r>
        <w:rPr>
          <w:rFonts w:hint="eastAsia"/>
        </w:rPr>
        <w:t>3.5.5.6储运过程污染治理措施</w:t>
      </w:r>
    </w:p>
    <w:p>
      <w:pPr>
        <w:ind w:firstLine="480"/>
      </w:pPr>
      <w:r>
        <w:rPr>
          <w:rFonts w:hint="eastAsia"/>
        </w:rPr>
        <w:t>危险废物储运过程中应严格执行《危险废物转移联单管理》、《道路危险废物运输管理规定》、《危险品运输管理规范》、《道路运输危险货物车辆标志》以及《危险废物贮存污染控制标准》</w:t>
      </w:r>
      <w:r>
        <w:t>(GB18597-2001)</w:t>
      </w:r>
      <w:r>
        <w:rPr>
          <w:rFonts w:hint="eastAsia"/>
        </w:rPr>
        <w:t>等相关规定和要求。根据国家有关危险废物贮运法规要求，采取运输、储存全过程的安全和环保措施。</w:t>
      </w:r>
    </w:p>
    <w:p>
      <w:pPr>
        <w:pStyle w:val="6"/>
      </w:pPr>
      <w:r>
        <w:rPr>
          <w:rFonts w:hint="eastAsia"/>
        </w:rPr>
        <w:t>3.5.5.7服务期满后治理措施</w:t>
      </w:r>
    </w:p>
    <w:p>
      <w:pPr>
        <w:ind w:firstLine="480"/>
      </w:pPr>
      <w:r>
        <w:rPr>
          <w:rFonts w:hint="eastAsia"/>
        </w:rPr>
        <w:t>服务期满后，安全填埋场封场采用以下结构</w:t>
      </w:r>
      <w:r>
        <w:t>(</w:t>
      </w:r>
      <w:r>
        <w:rPr>
          <w:rFonts w:hint="eastAsia"/>
        </w:rPr>
        <w:t>从绿化至废物堆体</w:t>
      </w:r>
      <w:r>
        <w:t>)</w:t>
      </w:r>
      <w:r>
        <w:rPr>
          <w:rFonts w:hint="eastAsia"/>
        </w:rPr>
        <w:t>：绿化植被</w:t>
      </w:r>
      <w:r>
        <w:t>+0.6m</w:t>
      </w:r>
      <w:r>
        <w:rPr>
          <w:rFonts w:hint="eastAsia"/>
        </w:rPr>
        <w:t>植被土层</w:t>
      </w:r>
      <w:r>
        <w:t>+0.2m</w:t>
      </w:r>
      <w:r>
        <w:rPr>
          <w:rFonts w:hint="eastAsia"/>
        </w:rPr>
        <w:t>厚小粒径卵石层</w:t>
      </w:r>
      <w:r>
        <w:t>+600g/m</w:t>
      </w:r>
      <w:r>
        <w:rPr>
          <w:vertAlign w:val="superscript"/>
        </w:rPr>
        <w:t>2</w:t>
      </w:r>
      <w:r>
        <w:rPr>
          <w:rFonts w:hint="eastAsia"/>
        </w:rPr>
        <w:t>无纺土工布</w:t>
      </w:r>
      <w:r>
        <w:t xml:space="preserve">+1.0mmHDPE </w:t>
      </w:r>
      <w:r>
        <w:rPr>
          <w:rFonts w:hint="eastAsia"/>
        </w:rPr>
        <w:t>防渗膜</w:t>
      </w:r>
      <w:r>
        <w:t>+0.3m</w:t>
      </w:r>
      <w:r>
        <w:rPr>
          <w:rFonts w:hint="eastAsia"/>
        </w:rPr>
        <w:t>厚压实粘土层</w:t>
      </w:r>
      <w:r>
        <w:t>+0.2m</w:t>
      </w:r>
      <w:r>
        <w:rPr>
          <w:rFonts w:hint="eastAsia"/>
        </w:rPr>
        <w:t>厚粗砂层</w:t>
      </w:r>
      <w:r>
        <w:t>+</w:t>
      </w:r>
      <w:r>
        <w:rPr>
          <w:rFonts w:hint="eastAsia"/>
        </w:rPr>
        <w:t>废物堆体。在填埋场周围设置</w:t>
      </w:r>
      <w:r>
        <w:t>10m</w:t>
      </w:r>
      <w:r>
        <w:rPr>
          <w:rFonts w:hint="eastAsia"/>
        </w:rPr>
        <w:t>宽的绿化隔离带，使处置中心处在一个舒适、优美的环境中。</w:t>
      </w:r>
    </w:p>
    <w:p>
      <w:pPr>
        <w:ind w:firstLine="480"/>
        <w:rPr>
          <w:rFonts w:hAnsi="宋体"/>
          <w:kern w:val="0"/>
          <w:szCs w:val="24"/>
        </w:rPr>
      </w:pPr>
      <w:r>
        <w:rPr>
          <w:rFonts w:hint="eastAsia"/>
        </w:rPr>
        <w:t>由于本项目拟建场地为凹型谷底，厂区四周为山体边坡，为了防止周边边坡发生塌落，须在本项目投产前和运行期间，根据对边坡的稳定性等的观测结果，对厂址周边的边坡进行必要的支护及加固，维持其稳定性，制定详细的加固维护方案和应急措施，防止由于周边边坡的塌落对本项目填埋场的填埋体造成不良影响。封场后还应对渗滤液进行永久的收集和处理，并定期清理渗滤液收集系统。</w:t>
      </w:r>
    </w:p>
    <w:p>
      <w:pPr>
        <w:ind w:firstLine="480"/>
      </w:pPr>
    </w:p>
    <w:p>
      <w:pPr>
        <w:ind w:firstLine="480"/>
      </w:pPr>
    </w:p>
    <w:p>
      <w:pPr>
        <w:ind w:firstLine="480"/>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type w:val="continuous"/>
          <w:pgSz w:w="11906" w:h="16838"/>
          <w:pgMar w:top="1418" w:right="1134" w:bottom="1418" w:left="1134" w:header="851" w:footer="851" w:gutter="0"/>
          <w:cols w:space="425" w:num="1"/>
          <w:docGrid w:type="lines" w:linePitch="326" w:charSpace="0"/>
        </w:sectPr>
      </w:pPr>
    </w:p>
    <w:p>
      <w:pPr>
        <w:pStyle w:val="3"/>
        <w:spacing w:before="163" w:after="163"/>
      </w:pPr>
      <w:bookmarkStart w:id="205" w:name="_Toc3282136"/>
      <w:bookmarkStart w:id="206" w:name="_Toc13760131"/>
      <w:r>
        <w:rPr>
          <w:rFonts w:hint="eastAsia"/>
        </w:rPr>
        <w:t>4.改扩建工程概况及工程分析</w:t>
      </w:r>
      <w:bookmarkEnd w:id="205"/>
      <w:bookmarkEnd w:id="206"/>
    </w:p>
    <w:p>
      <w:pPr>
        <w:pStyle w:val="4"/>
      </w:pPr>
      <w:bookmarkStart w:id="207" w:name="_Toc3282137"/>
      <w:bookmarkStart w:id="208" w:name="_Toc13760132"/>
      <w:r>
        <w:rPr>
          <w:rFonts w:hint="eastAsia"/>
        </w:rPr>
        <w:t>4.1</w:t>
      </w:r>
      <w:r>
        <w:rPr>
          <w:rFonts w:hint="eastAsia" w:hAnsi="宋体"/>
          <w:kern w:val="0"/>
          <w:szCs w:val="24"/>
        </w:rPr>
        <w:t>改扩建</w:t>
      </w:r>
      <w:r>
        <w:rPr>
          <w:rFonts w:hAnsi="宋体"/>
          <w:kern w:val="0"/>
          <w:szCs w:val="24"/>
        </w:rPr>
        <w:t>工程</w:t>
      </w:r>
      <w:r>
        <w:rPr>
          <w:rFonts w:hint="eastAsia"/>
        </w:rPr>
        <w:t>项目概况</w:t>
      </w:r>
      <w:bookmarkEnd w:id="207"/>
      <w:bookmarkEnd w:id="208"/>
    </w:p>
    <w:p>
      <w:pPr>
        <w:ind w:firstLine="480"/>
      </w:pPr>
      <w:bookmarkStart w:id="209" w:name="_Toc3282138"/>
      <w:r>
        <w:rPr>
          <w:rFonts w:hint="eastAsia"/>
        </w:rPr>
        <w:t>项目性质：改扩建</w:t>
      </w:r>
    </w:p>
    <w:p>
      <w:pPr>
        <w:ind w:firstLine="480"/>
      </w:pPr>
      <w:r>
        <w:rPr>
          <w:rFonts w:hint="eastAsia"/>
        </w:rPr>
        <w:t>年操作时间：危废综合处置厂址年操作时间</w:t>
      </w:r>
      <w:r>
        <w:t>330d(</w:t>
      </w:r>
      <w:r>
        <w:rPr>
          <w:rFonts w:hint="eastAsia"/>
        </w:rPr>
        <w:t>每天工作按</w:t>
      </w:r>
      <w:r>
        <w:t>24h</w:t>
      </w:r>
      <w:r>
        <w:rPr>
          <w:rFonts w:hint="eastAsia"/>
        </w:rPr>
        <w:t>计，全年工作按</w:t>
      </w:r>
      <w:r>
        <w:t>7920h</w:t>
      </w:r>
      <w:r>
        <w:rPr>
          <w:rFonts w:hint="eastAsia"/>
        </w:rPr>
        <w:t>计</w:t>
      </w:r>
      <w:r>
        <w:t>)</w:t>
      </w:r>
      <w:r>
        <w:rPr>
          <w:rFonts w:hint="eastAsia"/>
        </w:rPr>
        <w:t>。</w:t>
      </w:r>
    </w:p>
    <w:p>
      <w:pPr>
        <w:ind w:firstLine="480"/>
      </w:pPr>
      <w:r>
        <w:rPr>
          <w:rFonts w:hint="eastAsia"/>
        </w:rPr>
        <w:t>建设单位：阿拉善盟绿能环保科技有限公司</w:t>
      </w:r>
    </w:p>
    <w:p>
      <w:pPr>
        <w:ind w:firstLine="480"/>
      </w:pPr>
      <w:r>
        <w:rPr>
          <w:rFonts w:hint="eastAsia"/>
        </w:rPr>
        <w:t>建设地点：</w:t>
      </w:r>
      <w:r>
        <w:rPr>
          <w:rFonts w:hint="eastAsia" w:hAnsi="宋体"/>
        </w:rPr>
        <w:t>内蒙古阿拉善腾格里经济技术开发区</w:t>
      </w:r>
    </w:p>
    <w:p>
      <w:pPr>
        <w:ind w:firstLine="480"/>
        <w:rPr>
          <w:szCs w:val="24"/>
        </w:rPr>
      </w:pPr>
      <w:r>
        <w:rPr>
          <w:rFonts w:hint="eastAsia"/>
          <w:szCs w:val="24"/>
        </w:rPr>
        <w:t>项目占地及位置关系：</w:t>
      </w:r>
      <w:r>
        <w:rPr>
          <w:rFonts w:hint="eastAsia"/>
        </w:rPr>
        <w:t>危废综合处置厂址</w:t>
      </w:r>
      <w:r>
        <w:t>(</w:t>
      </w:r>
      <w:r>
        <w:rPr>
          <w:rFonts w:hint="eastAsia"/>
        </w:rPr>
        <w:t>包括</w:t>
      </w:r>
      <w:r>
        <w:rPr>
          <w:rFonts w:hint="eastAsia" w:hAnsi="宋体"/>
          <w:bCs/>
        </w:rPr>
        <w:t>危险废物的焚烧、物化、稳定化</w:t>
      </w:r>
      <w:r>
        <w:rPr>
          <w:bCs/>
        </w:rPr>
        <w:t>/</w:t>
      </w:r>
      <w:r>
        <w:rPr>
          <w:rFonts w:hint="eastAsia" w:hAnsi="宋体"/>
          <w:bCs/>
        </w:rPr>
        <w:t>固化及其他公辅工程</w:t>
      </w:r>
      <w:r>
        <w:t>)</w:t>
      </w:r>
      <w:r>
        <w:rPr>
          <w:rFonts w:hint="eastAsia"/>
        </w:rPr>
        <w:t>位于开发区葡萄墩片区</w:t>
      </w:r>
      <w:r>
        <w:rPr>
          <w:rFonts w:hint="eastAsia" w:hAnsi="宋体"/>
          <w:bCs/>
        </w:rPr>
        <w:t>，占地为</w:t>
      </w:r>
      <w:r>
        <w:rPr>
          <w:bCs/>
        </w:rPr>
        <w:t>66634m</w:t>
      </w:r>
      <w:r>
        <w:rPr>
          <w:bCs/>
          <w:vertAlign w:val="superscript"/>
        </w:rPr>
        <w:t>2</w:t>
      </w:r>
      <w:r>
        <w:rPr>
          <w:rFonts w:hint="eastAsia" w:hAnsi="宋体"/>
          <w:bCs/>
        </w:rPr>
        <w:t>。</w:t>
      </w:r>
    </w:p>
    <w:p>
      <w:pPr>
        <w:ind w:firstLine="480"/>
      </w:pPr>
      <w:r>
        <w:rPr>
          <w:rFonts w:hint="eastAsia"/>
        </w:rPr>
        <w:t>建设期限：</w:t>
      </w:r>
      <w:r>
        <w:t>30</w:t>
      </w:r>
      <w:r>
        <w:rPr>
          <w:rFonts w:hint="eastAsia"/>
        </w:rPr>
        <w:t>个月</w:t>
      </w:r>
    </w:p>
    <w:p>
      <w:pPr>
        <w:ind w:firstLine="480"/>
      </w:pPr>
      <w:r>
        <w:rPr>
          <w:rFonts w:hint="eastAsia"/>
        </w:rPr>
        <w:t>改扩建项目投资：35</w:t>
      </w:r>
      <w:r>
        <w:t>28.</w:t>
      </w:r>
      <w:r>
        <w:rPr>
          <w:rFonts w:hint="eastAsia"/>
        </w:rPr>
        <w:t>7</w:t>
      </w:r>
      <w:r>
        <w:rPr>
          <w:bCs/>
        </w:rPr>
        <w:t>×10</w:t>
      </w:r>
      <w:r>
        <w:rPr>
          <w:bCs/>
          <w:vertAlign w:val="superscript"/>
        </w:rPr>
        <w:t>4</w:t>
      </w:r>
      <w:r>
        <w:rPr>
          <w:rFonts w:hint="eastAsia"/>
          <w:bCs/>
        </w:rPr>
        <w:t>元</w:t>
      </w:r>
    </w:p>
    <w:p>
      <w:pPr>
        <w:ind w:firstLine="480"/>
      </w:pPr>
      <w:r>
        <w:rPr>
          <w:rFonts w:hint="eastAsia"/>
        </w:rPr>
        <w:t>工作制度及全厂定员：劳动定员总数为</w:t>
      </w:r>
      <w:r>
        <w:t>124</w:t>
      </w:r>
      <w:r>
        <w:rPr>
          <w:rFonts w:hint="eastAsia"/>
        </w:rPr>
        <w:t>人。其中生产人员定员为</w:t>
      </w:r>
      <w:r>
        <w:t>63</w:t>
      </w:r>
      <w:r>
        <w:rPr>
          <w:rFonts w:hint="eastAsia"/>
        </w:rPr>
        <w:t>人，管理技术人员和其他人员为</w:t>
      </w:r>
      <w:r>
        <w:t>61</w:t>
      </w:r>
      <w:r>
        <w:rPr>
          <w:rFonts w:hint="eastAsia"/>
        </w:rPr>
        <w:t>人，其中危废综合处置厂采用四班三运转制。</w:t>
      </w:r>
    </w:p>
    <w:p>
      <w:pPr>
        <w:ind w:firstLine="480"/>
      </w:pPr>
      <w:bookmarkStart w:id="210" w:name="_Hlk530157636"/>
      <w:r>
        <w:rPr>
          <w:rFonts w:hint="eastAsia"/>
        </w:rPr>
        <w:t>建设进度：本项目目前未开始建设</w:t>
      </w:r>
    </w:p>
    <w:bookmarkEnd w:id="210"/>
    <w:p>
      <w:pPr>
        <w:ind w:firstLine="480"/>
      </w:pPr>
      <w:r>
        <w:rPr>
          <w:rFonts w:hint="eastAsia"/>
        </w:rPr>
        <w:t>扩建工程项目基本组成见表</w:t>
      </w:r>
      <w:r>
        <w:t>4.1</w:t>
      </w:r>
      <w:r>
        <w:rPr>
          <w:rFonts w:hint="eastAsia"/>
        </w:rPr>
        <w:t>—</w:t>
      </w:r>
      <w:r>
        <w:t>1</w:t>
      </w:r>
      <w:r>
        <w:rPr>
          <w:rFonts w:hint="eastAsia"/>
        </w:rPr>
        <w:t>。</w:t>
      </w:r>
    </w:p>
    <w:p>
      <w:pPr>
        <w:ind w:firstLine="480"/>
      </w:pPr>
      <w:r>
        <w:rPr>
          <w:rFonts w:hint="eastAsia"/>
        </w:rPr>
        <w:t>表</w:t>
      </w:r>
      <w:r>
        <w:t>4.1</w:t>
      </w:r>
      <w:r>
        <w:rPr>
          <w:rFonts w:hint="eastAsia"/>
        </w:rPr>
        <w:t>—</w:t>
      </w:r>
      <w:r>
        <w:t xml:space="preserve">1             </w:t>
      </w:r>
      <w:r>
        <w:rPr>
          <w:rFonts w:hint="eastAsia"/>
        </w:rPr>
        <w:t>变更工程基本组成表</w:t>
      </w:r>
    </w:p>
    <w:tbl>
      <w:tblPr>
        <w:tblStyle w:val="88"/>
        <w:tblW w:w="963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60"/>
        <w:gridCol w:w="616"/>
        <w:gridCol w:w="719"/>
        <w:gridCol w:w="764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jc w:val="center"/>
        </w:trPr>
        <w:tc>
          <w:tcPr>
            <w:tcW w:w="660" w:type="dxa"/>
            <w:tcBorders>
              <w:top w:val="single" w:color="auto" w:sz="12" w:space="0"/>
              <w:left w:val="nil"/>
              <w:bottom w:val="single" w:color="auto" w:sz="12" w:space="0"/>
              <w:right w:val="dotted" w:color="auto" w:sz="4" w:space="0"/>
            </w:tcBorders>
            <w:vAlign w:val="center"/>
          </w:tcPr>
          <w:p>
            <w:pPr>
              <w:pStyle w:val="184"/>
              <w:spacing w:line="240" w:lineRule="exact"/>
              <w:jc w:val="both"/>
              <w:rPr>
                <w:rFonts w:ascii="Times New Roman"/>
                <w:color w:val="auto"/>
                <w:lang w:val="zh-CN"/>
              </w:rPr>
            </w:pPr>
            <w:r>
              <w:rPr>
                <w:rFonts w:hint="eastAsia" w:ascii="Times New Roman"/>
                <w:color w:val="auto"/>
                <w:lang w:val="zh-CN"/>
              </w:rPr>
              <w:t>序号</w:t>
            </w:r>
          </w:p>
        </w:tc>
        <w:tc>
          <w:tcPr>
            <w:tcW w:w="1335" w:type="dxa"/>
            <w:gridSpan w:val="2"/>
            <w:tcBorders>
              <w:top w:val="single" w:color="auto" w:sz="12" w:space="0"/>
              <w:left w:val="dotted" w:color="auto" w:sz="4" w:space="0"/>
              <w:bottom w:val="single" w:color="auto" w:sz="12" w:space="0"/>
              <w:right w:val="dotted" w:color="auto" w:sz="4" w:space="0"/>
            </w:tcBorders>
            <w:vAlign w:val="center"/>
          </w:tcPr>
          <w:p>
            <w:pPr>
              <w:pStyle w:val="184"/>
              <w:spacing w:line="240" w:lineRule="exact"/>
              <w:rPr>
                <w:rFonts w:ascii="Times New Roman"/>
                <w:color w:val="auto"/>
                <w:lang w:val="zh-CN"/>
              </w:rPr>
            </w:pPr>
            <w:r>
              <w:rPr>
                <w:rFonts w:hint="eastAsia" w:ascii="Times New Roman"/>
                <w:color w:val="auto"/>
              </w:rPr>
              <w:t>项目名称</w:t>
            </w:r>
          </w:p>
        </w:tc>
        <w:tc>
          <w:tcPr>
            <w:tcW w:w="7643" w:type="dxa"/>
            <w:tcBorders>
              <w:top w:val="single" w:color="auto" w:sz="12" w:space="0"/>
              <w:left w:val="dotted" w:color="auto" w:sz="4" w:space="0"/>
              <w:bottom w:val="single" w:color="auto" w:sz="12" w:space="0"/>
              <w:right w:val="nil"/>
            </w:tcBorders>
            <w:vAlign w:val="center"/>
          </w:tcPr>
          <w:p>
            <w:pPr>
              <w:pStyle w:val="184"/>
              <w:spacing w:line="240" w:lineRule="exact"/>
              <w:ind w:firstLine="602"/>
              <w:rPr>
                <w:rFonts w:ascii="Times New Roman"/>
                <w:color w:val="auto"/>
              </w:rPr>
            </w:pPr>
            <w:r>
              <w:rPr>
                <w:rFonts w:hint="eastAsia" w:ascii="Times New Roman"/>
                <w:color w:val="auto"/>
              </w:rPr>
              <w:t>建设内容及规模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single" w:color="auto" w:sz="12" w:space="0"/>
              <w:left w:val="nil"/>
              <w:bottom w:val="single" w:color="auto" w:sz="12"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w:t>
            </w:r>
          </w:p>
        </w:tc>
        <w:tc>
          <w:tcPr>
            <w:tcW w:w="8978" w:type="dxa"/>
            <w:gridSpan w:val="3"/>
            <w:tcBorders>
              <w:top w:val="single" w:color="auto" w:sz="12" w:space="0"/>
              <w:left w:val="dotted" w:color="auto" w:sz="4" w:space="0"/>
              <w:bottom w:val="single" w:color="auto" w:sz="12" w:space="0"/>
              <w:right w:val="nil"/>
            </w:tcBorders>
            <w:vAlign w:val="center"/>
          </w:tcPr>
          <w:p>
            <w:pPr>
              <w:pStyle w:val="184"/>
              <w:spacing w:line="240" w:lineRule="exact"/>
              <w:ind w:firstLine="602"/>
              <w:rPr>
                <w:rFonts w:ascii="Times New Roman"/>
                <w:color w:val="auto"/>
              </w:rPr>
            </w:pPr>
            <w:r>
              <w:rPr>
                <w:rFonts w:hint="eastAsia" w:ascii="Times New Roman"/>
                <w:color w:val="auto"/>
                <w:lang w:val="zh-CN"/>
              </w:rPr>
              <w:t>主体工程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1.1</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cs="Times New Roman"/>
                <w:kern w:val="2"/>
                <w:lang w:eastAsia="zh-CN"/>
              </w:rPr>
              <w:t>物化车间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ascii="Times New Roman" w:hAnsi="Times New Roman" w:cs="Times New Roman"/>
                <w:sz w:val="21"/>
              </w:rPr>
              <w:t>废酸碱处理系统主要包括1套中和反应釜、澄清池、搅拌机、输送泵、板框压滤机、盛装容器等设备，废碱的处理能力为10000t/a，废酸的处理能力为10000t/a。</w:t>
            </w:r>
          </w:p>
          <w:p>
            <w:pPr>
              <w:pStyle w:val="183"/>
              <w:spacing w:line="240" w:lineRule="exact"/>
              <w:ind w:firstLine="0" w:firstLineChars="0"/>
              <w:jc w:val="left"/>
              <w:rPr>
                <w:rFonts w:ascii="Times New Roman" w:hAnsi="Times New Roman" w:cs="Times New Roman"/>
                <w:sz w:val="21"/>
              </w:rPr>
            </w:pPr>
            <w:r>
              <w:rPr>
                <w:rFonts w:ascii="Times New Roman" w:hAnsi="Times New Roman" w:cs="Times New Roman"/>
                <w:sz w:val="21"/>
              </w:rPr>
              <w:t>废乳化液处理系统主要包括1套</w:t>
            </w:r>
            <w:r>
              <w:rPr>
                <w:rFonts w:ascii="Times New Roman" w:cs="Times New Roman"/>
                <w:sz w:val="21"/>
              </w:rPr>
              <w:t>涡凹气浮机</w:t>
            </w:r>
            <w:r>
              <w:rPr>
                <w:rFonts w:ascii="Times New Roman" w:hAnsi="Times New Roman" w:cs="Times New Roman"/>
                <w:sz w:val="21"/>
              </w:rPr>
              <w:t>、PAC加药装置、PAM加药装置、隔油池、沉淀池等设备，废乳化液处理能力为3000t/a。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1.2</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cs="Times New Roman"/>
                <w:kern w:val="2"/>
                <w:lang w:eastAsia="zh-CN"/>
              </w:rPr>
              <w:t>焚烧车间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ascii="Times New Roman" w:hAnsi="Times New Roman" w:cs="Times New Roman"/>
                <w:sz w:val="21"/>
              </w:rPr>
              <w:t>主要包括暂存及预处理、配伍及进料系统，灰、渣输送系统，</w:t>
            </w:r>
            <w:r>
              <w:rPr>
                <w:rFonts w:hint="eastAsia" w:ascii="Times New Roman" w:hAnsi="Times New Roman" w:cs="Times New Roman"/>
                <w:sz w:val="21"/>
              </w:rPr>
              <w:t>2</w:t>
            </w:r>
            <w:r>
              <w:rPr>
                <w:rFonts w:ascii="Times New Roman" w:hAnsi="Times New Roman" w:cs="Times New Roman"/>
                <w:sz w:val="21"/>
              </w:rPr>
              <w:t>套回转窑+二燃室焚烧系统+SNCR脱硝系统+余热锅炉+急冷脱酸塔+干式反应器+袋式除尘器+喷淋洗涤塔+</w:t>
            </w:r>
            <w:r>
              <w:rPr>
                <w:rFonts w:hint="eastAsia" w:ascii="Times New Roman" w:hAnsi="Times New Roman" w:cs="Times New Roman"/>
                <w:sz w:val="21"/>
              </w:rPr>
              <w:t>湿电除尘</w:t>
            </w:r>
            <w:r>
              <w:rPr>
                <w:rFonts w:ascii="Times New Roman" w:hAnsi="Times New Roman" w:cs="Times New Roman"/>
                <w:sz w:val="21"/>
              </w:rPr>
              <w:t>+引风排烟系统等，处理能力为100t/d。</w:t>
            </w:r>
            <w:r>
              <w:rPr>
                <w:rFonts w:hint="eastAsia" w:ascii="Times New Roman" w:hAnsi="Times New Roman" w:cs="Times New Roman"/>
                <w:sz w:val="21"/>
              </w:rPr>
              <w:t>分期建设。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1.3</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cs="Times New Roman"/>
                <w:kern w:val="2"/>
                <w:lang w:eastAsia="zh-CN"/>
              </w:rPr>
              <w:t>固化车间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ascii="Times New Roman" w:hAnsi="Times New Roman" w:cs="Times New Roman"/>
                <w:sz w:val="21"/>
              </w:rPr>
              <w:t>主要包括搅拌机、成型机、单斗提升机及养护设施等，处理能力为</w:t>
            </w:r>
            <w:r>
              <w:rPr>
                <w:rFonts w:hint="eastAsia" w:ascii="Times New Roman" w:hAnsi="Times New Roman" w:cs="Times New Roman"/>
                <w:sz w:val="21"/>
              </w:rPr>
              <w:t>9</w:t>
            </w:r>
            <w:r>
              <w:rPr>
                <w:rFonts w:ascii="Times New Roman" w:hAnsi="Times New Roman" w:cs="Times New Roman"/>
                <w:sz w:val="21"/>
              </w:rPr>
              <w:t>0t/d。</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single" w:color="auto" w:sz="12" w:space="0"/>
              <w:left w:val="nil"/>
              <w:bottom w:val="single" w:color="auto" w:sz="12"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w:t>
            </w:r>
          </w:p>
        </w:tc>
        <w:tc>
          <w:tcPr>
            <w:tcW w:w="8978" w:type="dxa"/>
            <w:gridSpan w:val="3"/>
            <w:tcBorders>
              <w:top w:val="single" w:color="auto" w:sz="12" w:space="0"/>
              <w:left w:val="dotted" w:color="auto" w:sz="4" w:space="0"/>
              <w:bottom w:val="single" w:color="auto" w:sz="12" w:space="0"/>
              <w:right w:val="nil"/>
            </w:tcBorders>
            <w:vAlign w:val="center"/>
          </w:tcPr>
          <w:p>
            <w:pPr>
              <w:pStyle w:val="184"/>
              <w:spacing w:line="240" w:lineRule="exact"/>
              <w:ind w:firstLine="602"/>
              <w:rPr>
                <w:rFonts w:ascii="Times New Roman"/>
                <w:color w:val="auto"/>
                <w:lang w:val="zh-CN"/>
              </w:rPr>
            </w:pPr>
            <w:r>
              <w:rPr>
                <w:rFonts w:hint="eastAsia" w:ascii="Times New Roman"/>
                <w:color w:val="auto"/>
                <w:lang w:val="zh-CN"/>
              </w:rPr>
              <w:t>公用和辅助工程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2.1</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jc w:val="center"/>
              <w:rPr>
                <w:rFonts w:ascii="Times New Roman" w:hAnsi="Times New Roman" w:cs="Times New Roman"/>
                <w:sz w:val="21"/>
              </w:rPr>
            </w:pPr>
            <w:r>
              <w:rPr>
                <w:rFonts w:ascii="Times New Roman" w:hAnsi="Times New Roman" w:cs="Times New Roman"/>
                <w:sz w:val="21"/>
              </w:rPr>
              <w:t>供水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ascii="Times New Roman" w:cs="Times New Roman"/>
                <w:sz w:val="21"/>
              </w:rPr>
              <w:t>全厂用水由内蒙古阿拉善腾格里经济技术开发区供水工程统一集中供给。</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hint="eastAsia" w:ascii="Times New Roman"/>
                <w:color w:val="auto"/>
                <w:lang w:val="zh-CN"/>
              </w:rPr>
              <w:t>2.2</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jc w:val="center"/>
              <w:rPr>
                <w:sz w:val="21"/>
              </w:rPr>
            </w:pPr>
            <w:r>
              <w:rPr>
                <w:rFonts w:hint="eastAsia"/>
                <w:sz w:val="21"/>
              </w:rPr>
              <w:t>排水</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rPr>
                <w:sz w:val="21"/>
              </w:rPr>
            </w:pPr>
            <w:r>
              <w:rPr>
                <w:rFonts w:cs="Times New Roman"/>
                <w:sz w:val="21"/>
              </w:rPr>
              <w:t>本项目物化车间澄清池排水和沉淀池废水经“絮凝沉淀”处理后</w:t>
            </w:r>
            <w:r>
              <w:rPr>
                <w:rFonts w:hint="eastAsia" w:cs="Times New Roman"/>
                <w:sz w:val="21"/>
              </w:rPr>
              <w:t>排水、</w:t>
            </w:r>
            <w:r>
              <w:rPr>
                <w:rFonts w:cs="Times New Roman"/>
                <w:sz w:val="21"/>
              </w:rPr>
              <w:t>焚烧车间喷淋洗涤塔排水由本车间污水处理模块经“絮凝沉淀”处理后排水、冲洗废水、安全填埋场渗滤液</w:t>
            </w:r>
            <w:r>
              <w:rPr>
                <w:rFonts w:hint="eastAsia" w:cs="Times New Roman"/>
                <w:sz w:val="21"/>
              </w:rPr>
              <w:t>、</w:t>
            </w:r>
            <w:r>
              <w:rPr>
                <w:rFonts w:cs="Times New Roman"/>
                <w:sz w:val="21"/>
              </w:rPr>
              <w:t>物化车间酸雾吸收塔排水</w:t>
            </w:r>
            <w:r>
              <w:rPr>
                <w:rFonts w:hint="eastAsia" w:cs="Times New Roman"/>
                <w:sz w:val="21"/>
              </w:rPr>
              <w:t>、</w:t>
            </w:r>
            <w:r>
              <w:rPr>
                <w:rFonts w:cs="Times New Roman"/>
                <w:sz w:val="21"/>
              </w:rPr>
              <w:t>循环水系统排水</w:t>
            </w:r>
            <w:r>
              <w:rPr>
                <w:rFonts w:hint="eastAsia" w:cs="Times New Roman"/>
                <w:sz w:val="21"/>
              </w:rPr>
              <w:t>、</w:t>
            </w:r>
            <w:r>
              <w:rPr>
                <w:rFonts w:cs="Times New Roman"/>
                <w:sz w:val="21"/>
              </w:rPr>
              <w:t>余热锅炉排水及软化水系统排水</w:t>
            </w:r>
            <w:r>
              <w:rPr>
                <w:rFonts w:hint="eastAsia" w:cs="Times New Roman"/>
                <w:sz w:val="21"/>
              </w:rPr>
              <w:t>、</w:t>
            </w:r>
            <w:r>
              <w:rPr>
                <w:rFonts w:cs="Times New Roman"/>
                <w:sz w:val="21"/>
              </w:rPr>
              <w:t>污水处理站排浓水</w:t>
            </w:r>
            <w:r>
              <w:rPr>
                <w:rFonts w:hint="eastAsia" w:cs="Times New Roman"/>
                <w:sz w:val="21"/>
              </w:rPr>
              <w:t>进污水处理站</w:t>
            </w:r>
            <w:r>
              <w:rPr>
                <w:rFonts w:cs="Times New Roman"/>
                <w:sz w:val="21"/>
              </w:rPr>
              <w:t>采用“Fenton+强制循环蒸发”的方法进行处理，处理后的冷凝液与化验用水以及生活污水送至污水处理站，经“絮凝沉淀+水解酸化+MBR+回用系统”处理后，出水部分回用至固化车间，其余回用至焚烧车间，浓水送至</w:t>
            </w:r>
            <w:r>
              <w:rPr>
                <w:rFonts w:hint="eastAsia" w:cs="Times New Roman"/>
                <w:sz w:val="21"/>
              </w:rPr>
              <w:t>固化</w:t>
            </w:r>
            <w:r>
              <w:rPr>
                <w:rFonts w:cs="Times New Roman"/>
                <w:sz w:val="21"/>
              </w:rPr>
              <w:t>车间。</w:t>
            </w:r>
            <w:r>
              <w:rPr>
                <w:rFonts w:cs="Times New Roman"/>
                <w:sz w:val="21"/>
                <w:lang w:val="pt-BR"/>
              </w:rPr>
              <w:t>本项目处理后的废水全部回用于各生产工段，全厂无废水外排。</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w:t>
            </w:r>
            <w:r>
              <w:rPr>
                <w:rFonts w:hint="eastAsia" w:ascii="Times New Roman"/>
                <w:color w:val="auto"/>
              </w:rPr>
              <w:t>3</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供汽及供热</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rPr>
                <w:rFonts w:cs="Times New Roman"/>
                <w:sz w:val="21"/>
              </w:rPr>
            </w:pPr>
            <w:r>
              <w:rPr>
                <w:rFonts w:cs="Times New Roman"/>
                <w:sz w:val="21"/>
              </w:rPr>
              <w:t>焚烧车间建设1台余热锅炉，向危废综合处置厂全厂提供蒸汽及供热，余热锅炉产生蒸汽为0.80MPa、180</w:t>
            </w:r>
            <w:r>
              <w:rPr>
                <w:rFonts w:hint="eastAsia" w:ascii="宋体" w:hAnsi="宋体" w:cs="宋体"/>
                <w:sz w:val="21"/>
              </w:rPr>
              <w:t>℃</w:t>
            </w:r>
            <w:r>
              <w:rPr>
                <w:rFonts w:cs="Times New Roman"/>
                <w:sz w:val="21"/>
              </w:rPr>
              <w:t>，产汽量为5t/h。另外在危废综合处置厂设置一台</w:t>
            </w:r>
            <w:r>
              <w:rPr>
                <w:rFonts w:hint="eastAsia" w:cs="Times New Roman"/>
                <w:sz w:val="21"/>
              </w:rPr>
              <w:t>10</w:t>
            </w:r>
            <w:r>
              <w:rPr>
                <w:rFonts w:cs="Times New Roman"/>
                <w:sz w:val="21"/>
              </w:rPr>
              <w:t>t/h的备用</w:t>
            </w:r>
            <w:r>
              <w:rPr>
                <w:rFonts w:hint="eastAsia" w:cs="Times New Roman"/>
                <w:sz w:val="21"/>
              </w:rPr>
              <w:t>燃气</w:t>
            </w:r>
            <w:r>
              <w:rPr>
                <w:rFonts w:cs="Times New Roman"/>
                <w:sz w:val="21"/>
              </w:rPr>
              <w:t>锅炉。</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w:t>
            </w:r>
            <w:r>
              <w:rPr>
                <w:rFonts w:hint="eastAsia" w:ascii="Times New Roman"/>
                <w:color w:val="auto"/>
              </w:rPr>
              <w:t>4</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供配电</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ascii="Times New Roman" w:cs="Times New Roman"/>
                <w:sz w:val="21"/>
              </w:rPr>
              <w:t>本项目全厂全年需外供电量</w:t>
            </w:r>
            <w:r>
              <w:rPr>
                <w:rFonts w:hint="eastAsia" w:ascii="Times New Roman" w:cs="Times New Roman"/>
                <w:sz w:val="21"/>
              </w:rPr>
              <w:t>1080</w:t>
            </w:r>
            <w:r>
              <w:rPr>
                <w:rFonts w:ascii="Times New Roman" w:hAnsi="Times New Roman" w:cs="Times New Roman"/>
                <w:sz w:val="21"/>
              </w:rPr>
              <w:t>×10</w:t>
            </w:r>
            <w:r>
              <w:rPr>
                <w:rFonts w:ascii="Times New Roman" w:hAnsi="Times New Roman" w:cs="Times New Roman"/>
                <w:sz w:val="21"/>
                <w:vertAlign w:val="superscript"/>
              </w:rPr>
              <w:t>4</w:t>
            </w:r>
            <w:r>
              <w:rPr>
                <w:rFonts w:ascii="Times New Roman" w:hAnsi="Times New Roman" w:cs="Times New Roman"/>
                <w:sz w:val="21"/>
              </w:rPr>
              <w:t>kWh</w:t>
            </w:r>
            <w:r>
              <w:rPr>
                <w:rFonts w:ascii="Times New Roman" w:cs="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2.5</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循环水系统</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highlight w:val="yellow"/>
              </w:rPr>
            </w:pPr>
            <w:r>
              <w:rPr>
                <w:rFonts w:ascii="Times New Roman" w:cs="Times New Roman"/>
                <w:kern w:val="0"/>
                <w:sz w:val="21"/>
              </w:rPr>
              <w:t>项目循环冷却水总用水量为</w:t>
            </w:r>
            <w:r>
              <w:rPr>
                <w:rFonts w:ascii="Times New Roman" w:hAnsi="Times New Roman" w:cs="Times New Roman"/>
                <w:kern w:val="0"/>
                <w:sz w:val="21"/>
              </w:rPr>
              <w:t>600m</w:t>
            </w:r>
            <w:r>
              <w:rPr>
                <w:rFonts w:ascii="Times New Roman" w:hAnsi="Times New Roman" w:cs="Times New Roman"/>
                <w:kern w:val="0"/>
                <w:sz w:val="21"/>
                <w:vertAlign w:val="superscript"/>
              </w:rPr>
              <w:t>3</w:t>
            </w:r>
            <w:r>
              <w:rPr>
                <w:rFonts w:ascii="Times New Roman" w:hAnsi="Times New Roman" w:cs="Times New Roman"/>
                <w:kern w:val="0"/>
                <w:sz w:val="21"/>
              </w:rPr>
              <w:t>/d</w:t>
            </w:r>
            <w:r>
              <w:rPr>
                <w:rFonts w:hint="eastAsia" w:ascii="Times New Roman" w:cs="Times New Roman"/>
                <w:kern w:val="0"/>
                <w:sz w:val="21"/>
              </w:rPr>
              <w:t>，设置占地面积为106.47m</w:t>
            </w:r>
            <w:r>
              <w:rPr>
                <w:rFonts w:hint="eastAsia" w:ascii="Times New Roman" w:cs="Times New Roman"/>
                <w:kern w:val="0"/>
                <w:sz w:val="21"/>
                <w:vertAlign w:val="superscript"/>
              </w:rPr>
              <w:t>2</w:t>
            </w:r>
            <w:r>
              <w:rPr>
                <w:rFonts w:hint="eastAsia" w:ascii="Times New Roman" w:cs="Times New Roman"/>
                <w:kern w:val="0"/>
                <w:sz w:val="21"/>
              </w:rPr>
              <w:t>的循环水池（容积873.05</w:t>
            </w:r>
            <w:r>
              <w:rPr>
                <w:rFonts w:ascii="Times New Roman" w:hAnsi="Times New Roman" w:cs="Times New Roman"/>
                <w:sz w:val="21"/>
              </w:rPr>
              <w:t xml:space="preserve"> m</w:t>
            </w:r>
            <w:r>
              <w:rPr>
                <w:rFonts w:ascii="Times New Roman" w:hAnsi="Times New Roman" w:cs="Times New Roman"/>
                <w:sz w:val="21"/>
                <w:vertAlign w:val="superscript"/>
              </w:rPr>
              <w:t>3</w:t>
            </w:r>
            <w:r>
              <w:rPr>
                <w:rFonts w:hint="eastAsia" w:asci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2.6</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软化水系统</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ascii="Times New Roman" w:cs="Times New Roman"/>
                <w:sz w:val="21"/>
              </w:rPr>
              <w:t>本项目共需软化水</w:t>
            </w:r>
            <w:r>
              <w:rPr>
                <w:rFonts w:hint="eastAsia" w:ascii="Times New Roman" w:hAnsi="Times New Roman" w:cs="Times New Roman"/>
                <w:sz w:val="21"/>
              </w:rPr>
              <w:t>147.60</w:t>
            </w:r>
            <w:r>
              <w:rPr>
                <w:rFonts w:ascii="Times New Roman" w:hAnsi="Times New Roman" w:cs="Times New Roman"/>
                <w:sz w:val="21"/>
              </w:rPr>
              <w:t>m</w:t>
            </w:r>
            <w:r>
              <w:rPr>
                <w:rFonts w:ascii="Times New Roman" w:hAnsi="Times New Roman" w:cs="Times New Roman"/>
                <w:sz w:val="21"/>
                <w:vertAlign w:val="superscript"/>
              </w:rPr>
              <w:t>3</w:t>
            </w:r>
            <w:r>
              <w:rPr>
                <w:rFonts w:ascii="Times New Roman" w:hAnsi="Times New Roman" w:cs="Times New Roman"/>
                <w:sz w:val="21"/>
              </w:rPr>
              <w:t>/d</w:t>
            </w:r>
            <w:r>
              <w:rPr>
                <w:rFonts w:ascii="Times New Roman" w:cs="Times New Roman"/>
                <w:sz w:val="21"/>
              </w:rPr>
              <w:t>，软化水的补水量为</w:t>
            </w:r>
            <w:r>
              <w:rPr>
                <w:rFonts w:hint="eastAsia" w:ascii="Times New Roman" w:hAnsi="Times New Roman" w:cs="Times New Roman"/>
                <w:sz w:val="21"/>
              </w:rPr>
              <w:t>22.33</w:t>
            </w:r>
            <w:r>
              <w:rPr>
                <w:rFonts w:ascii="Times New Roman" w:hAnsi="Times New Roman" w:cs="Times New Roman"/>
                <w:sz w:val="21"/>
              </w:rPr>
              <w:t>m</w:t>
            </w:r>
            <w:r>
              <w:rPr>
                <w:rFonts w:ascii="Times New Roman" w:hAnsi="Times New Roman" w:cs="Times New Roman"/>
                <w:sz w:val="21"/>
                <w:vertAlign w:val="superscript"/>
              </w:rPr>
              <w:t>3</w:t>
            </w:r>
            <w:r>
              <w:rPr>
                <w:rFonts w:ascii="Times New Roman" w:hAnsi="Times New Roman" w:cs="Times New Roman"/>
                <w:sz w:val="21"/>
              </w:rPr>
              <w:t>/d</w:t>
            </w:r>
            <w:r>
              <w:rPr>
                <w:rFonts w:ascii="Times New Roman" w:cs="Times New Roman"/>
                <w:sz w:val="21"/>
              </w:rPr>
              <w:t>，主要用于全厂蒸汽系统。软化水系统制备能力按</w:t>
            </w:r>
            <w:r>
              <w:rPr>
                <w:rFonts w:ascii="Times New Roman" w:hAnsi="Times New Roman" w:cs="Times New Roman"/>
                <w:sz w:val="21"/>
              </w:rPr>
              <w:t>1</w:t>
            </w:r>
            <w:r>
              <w:rPr>
                <w:rFonts w:hint="eastAsia" w:ascii="Times New Roman" w:hAnsi="Times New Roman" w:cs="Times New Roman"/>
                <w:sz w:val="21"/>
              </w:rPr>
              <w:t>5</w:t>
            </w:r>
            <w:r>
              <w:rPr>
                <w:rFonts w:ascii="Times New Roman" w:hAnsi="Times New Roman" w:cs="Times New Roman"/>
                <w:sz w:val="21"/>
              </w:rPr>
              <w:t>0m</w:t>
            </w:r>
            <w:r>
              <w:rPr>
                <w:rFonts w:ascii="Times New Roman" w:hAnsi="Times New Roman" w:cs="Times New Roman"/>
                <w:sz w:val="21"/>
                <w:vertAlign w:val="superscript"/>
              </w:rPr>
              <w:t>3</w:t>
            </w:r>
            <w:r>
              <w:rPr>
                <w:rFonts w:ascii="Times New Roman" w:hAnsi="Times New Roman" w:cs="Times New Roman"/>
                <w:sz w:val="21"/>
              </w:rPr>
              <w:t>/d</w:t>
            </w:r>
            <w:r>
              <w:rPr>
                <w:rFonts w:ascii="Times New Roman" w:cs="Times New Roman"/>
                <w:sz w:val="21"/>
              </w:rPr>
              <w:t>。软化水系统采用超滤</w:t>
            </w:r>
            <w:r>
              <w:rPr>
                <w:rFonts w:ascii="Times New Roman" w:hAnsi="Times New Roman" w:cs="Times New Roman"/>
                <w:sz w:val="21"/>
              </w:rPr>
              <w:t>-</w:t>
            </w:r>
            <w:r>
              <w:rPr>
                <w:rFonts w:ascii="Times New Roman" w:cs="Times New Roman"/>
                <w:sz w:val="21"/>
              </w:rPr>
              <w:t>反渗透工艺生产软化水。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2.7</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ascii="Times New Roman"/>
                <w:color w:val="auto"/>
                <w:kern w:val="0"/>
              </w:rPr>
              <w:t>事故水池及初期雨水收集池</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jc w:val="left"/>
              <w:textAlignment w:val="baseline"/>
              <w:rPr>
                <w:kern w:val="0"/>
                <w:sz w:val="21"/>
              </w:rPr>
            </w:pPr>
            <w:r>
              <w:rPr>
                <w:rFonts w:cs="Times New Roman"/>
                <w:kern w:val="0"/>
                <w:sz w:val="21"/>
              </w:rPr>
              <w:t>危废综合处置厂全厂设置1座</w:t>
            </w:r>
            <w:r>
              <w:rPr>
                <w:rFonts w:hint="eastAsia" w:cs="Times New Roman"/>
                <w:kern w:val="0"/>
                <w:sz w:val="21"/>
              </w:rPr>
              <w:t>占地面积为281.25</w:t>
            </w:r>
            <w:r>
              <w:rPr>
                <w:rFonts w:cs="Times New Roman"/>
                <w:sz w:val="21"/>
              </w:rPr>
              <w:t xml:space="preserve"> m</w:t>
            </w:r>
            <w:r>
              <w:rPr>
                <w:rFonts w:hint="eastAsia" w:cs="Times New Roman"/>
                <w:sz w:val="21"/>
                <w:vertAlign w:val="superscript"/>
              </w:rPr>
              <w:t>2</w:t>
            </w:r>
            <w:r>
              <w:rPr>
                <w:rFonts w:hint="eastAsia" w:cs="Times New Roman"/>
                <w:sz w:val="21"/>
              </w:rPr>
              <w:t>的事故及雨水池，总容积为1406.25</w:t>
            </w:r>
            <w:r>
              <w:rPr>
                <w:rFonts w:cs="Times New Roman"/>
                <w:sz w:val="21"/>
              </w:rPr>
              <w:t xml:space="preserve"> m</w:t>
            </w:r>
            <w:r>
              <w:rPr>
                <w:rFonts w:cs="Times New Roman"/>
                <w:sz w:val="21"/>
                <w:vertAlign w:val="superscript"/>
              </w:rPr>
              <w:t>3</w:t>
            </w:r>
            <w:r>
              <w:rPr>
                <w:rFonts w:hint="eastAsia" w:cs="Times New Roman"/>
                <w:sz w:val="21"/>
              </w:rPr>
              <w:t>，</w:t>
            </w:r>
            <w:r>
              <w:rPr>
                <w:rFonts w:cs="Times New Roman"/>
                <w:sz w:val="21"/>
              </w:rPr>
              <w:t>1</w:t>
            </w:r>
            <w:r>
              <w:rPr>
                <w:rFonts w:cs="Times New Roman"/>
                <w:kern w:val="0"/>
                <w:sz w:val="21"/>
              </w:rPr>
              <w:t>座容积为500</w:t>
            </w:r>
            <w:r>
              <w:rPr>
                <w:rFonts w:cs="Times New Roman"/>
                <w:sz w:val="21"/>
              </w:rPr>
              <w:t>m</w:t>
            </w:r>
            <w:r>
              <w:rPr>
                <w:rFonts w:cs="Times New Roman"/>
                <w:sz w:val="21"/>
                <w:vertAlign w:val="superscript"/>
              </w:rPr>
              <w:t>3</w:t>
            </w:r>
            <w:r>
              <w:rPr>
                <w:rFonts w:cs="Times New Roman"/>
                <w:sz w:val="21"/>
              </w:rPr>
              <w:t>的焚烧车间废水收集池。</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vMerge w:val="restart"/>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w:t>
            </w:r>
            <w:r>
              <w:rPr>
                <w:rFonts w:hint="eastAsia" w:ascii="Times New Roman"/>
                <w:color w:val="auto"/>
              </w:rPr>
              <w:t>8</w:t>
            </w:r>
          </w:p>
        </w:tc>
        <w:tc>
          <w:tcPr>
            <w:tcW w:w="616" w:type="dxa"/>
            <w:vMerge w:val="restart"/>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厂内道路</w:t>
            </w:r>
          </w:p>
        </w:tc>
        <w:tc>
          <w:tcPr>
            <w:tcW w:w="71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kern w:val="0"/>
              </w:rPr>
            </w:pPr>
            <w:r>
              <w:rPr>
                <w:rFonts w:hint="eastAsia"/>
                <w:kern w:val="0"/>
              </w:rPr>
              <w:t>主要</w:t>
            </w:r>
          </w:p>
          <w:p>
            <w:pPr>
              <w:pStyle w:val="184"/>
              <w:spacing w:line="240" w:lineRule="exact"/>
              <w:rPr>
                <w:rFonts w:ascii="Times New Roman"/>
                <w:color w:val="auto"/>
                <w:kern w:val="0"/>
              </w:rPr>
            </w:pPr>
            <w:r>
              <w:rPr>
                <w:rFonts w:hint="eastAsia"/>
                <w:kern w:val="0"/>
              </w:rPr>
              <w:t>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路幅宽度为</w:t>
            </w:r>
            <w:r>
              <w:rPr>
                <w:spacing w:val="2"/>
                <w:sz w:val="21"/>
              </w:rPr>
              <w:t>13.5m</w:t>
            </w:r>
            <w:r>
              <w:rPr>
                <w:rFonts w:hint="eastAsia"/>
                <w:spacing w:val="2"/>
                <w:sz w:val="21"/>
              </w:rPr>
              <w:t>，路面结构采用：</w:t>
            </w:r>
            <w:r>
              <w:rPr>
                <w:spacing w:val="2"/>
                <w:sz w:val="21"/>
              </w:rPr>
              <w:t>C35</w:t>
            </w:r>
            <w:r>
              <w:rPr>
                <w:rFonts w:hint="eastAsia"/>
                <w:spacing w:val="2"/>
                <w:sz w:val="21"/>
              </w:rPr>
              <w:t>混凝土面层，厚度</w:t>
            </w:r>
            <w:r>
              <w:rPr>
                <w:spacing w:val="2"/>
                <w:sz w:val="21"/>
              </w:rPr>
              <w:t>24cm</w:t>
            </w:r>
            <w:r>
              <w:rPr>
                <w:rFonts w:hint="eastAsia"/>
                <w:spacing w:val="2"/>
                <w:sz w:val="21"/>
              </w:rPr>
              <w:t>；</w:t>
            </w:r>
            <w:r>
              <w:rPr>
                <w:spacing w:val="2"/>
                <w:sz w:val="21"/>
              </w:rPr>
              <w:t>5%</w:t>
            </w:r>
            <w:r>
              <w:rPr>
                <w:rFonts w:hint="eastAsia"/>
                <w:spacing w:val="2"/>
                <w:sz w:val="21"/>
              </w:rPr>
              <w:t>水泥稳定碎石基层，厚度</w:t>
            </w:r>
            <w:r>
              <w:rPr>
                <w:spacing w:val="2"/>
                <w:sz w:val="21"/>
              </w:rPr>
              <w:t>20cm</w:t>
            </w:r>
            <w:r>
              <w:rPr>
                <w:rFonts w:hint="eastAsia"/>
                <w:spacing w:val="2"/>
                <w:sz w:val="21"/>
              </w:rPr>
              <w:t>；碎石垫层，厚度</w:t>
            </w:r>
            <w:r>
              <w:rPr>
                <w:spacing w:val="2"/>
                <w:sz w:val="21"/>
              </w:rPr>
              <w:t>20cm</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vMerge w:val="continue"/>
            <w:tcBorders>
              <w:top w:val="dotted" w:color="auto" w:sz="4" w:space="0"/>
              <w:left w:val="nil"/>
              <w:bottom w:val="dotted" w:color="auto" w:sz="4" w:space="0"/>
              <w:right w:val="dotted" w:color="auto" w:sz="4" w:space="0"/>
            </w:tcBorders>
            <w:vAlign w:val="center"/>
          </w:tcPr>
          <w:p>
            <w:pPr>
              <w:widowControl/>
              <w:ind w:firstLine="420"/>
              <w:jc w:val="left"/>
              <w:rPr>
                <w:sz w:val="21"/>
              </w:rPr>
            </w:pPr>
          </w:p>
        </w:tc>
        <w:tc>
          <w:tcPr>
            <w:tcW w:w="616" w:type="dxa"/>
            <w:vMerge w:val="continue"/>
            <w:tcBorders>
              <w:top w:val="dotted" w:color="auto" w:sz="4" w:space="0"/>
              <w:left w:val="dotted" w:color="auto" w:sz="4" w:space="0"/>
              <w:bottom w:val="dotted" w:color="auto" w:sz="4" w:space="0"/>
              <w:right w:val="dotted" w:color="auto" w:sz="4" w:space="0"/>
            </w:tcBorders>
            <w:vAlign w:val="center"/>
          </w:tcPr>
          <w:p>
            <w:pPr>
              <w:widowControl/>
              <w:ind w:firstLine="420"/>
              <w:jc w:val="left"/>
              <w:rPr>
                <w:kern w:val="0"/>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kern w:val="0"/>
              </w:rPr>
            </w:pPr>
            <w:r>
              <w:rPr>
                <w:rFonts w:hint="eastAsia"/>
                <w:kern w:val="0"/>
              </w:rPr>
              <w:t>次要</w:t>
            </w:r>
          </w:p>
          <w:p>
            <w:pPr>
              <w:pStyle w:val="184"/>
              <w:spacing w:line="240" w:lineRule="exact"/>
              <w:rPr>
                <w:rFonts w:ascii="Times New Roman"/>
                <w:color w:val="auto"/>
                <w:kern w:val="0"/>
              </w:rPr>
            </w:pPr>
            <w:r>
              <w:rPr>
                <w:rFonts w:hint="eastAsia"/>
                <w:kern w:val="0"/>
              </w:rPr>
              <w:t>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路幅宽度为</w:t>
            </w:r>
            <w:r>
              <w:rPr>
                <w:spacing w:val="2"/>
                <w:sz w:val="21"/>
              </w:rPr>
              <w:t>9m</w:t>
            </w:r>
            <w:r>
              <w:rPr>
                <w:rFonts w:hint="eastAsia"/>
                <w:spacing w:val="2"/>
                <w:sz w:val="21"/>
              </w:rPr>
              <w:t>，路面结构为：</w:t>
            </w:r>
            <w:r>
              <w:rPr>
                <w:spacing w:val="2"/>
                <w:sz w:val="21"/>
              </w:rPr>
              <w:t>C35</w:t>
            </w:r>
            <w:r>
              <w:rPr>
                <w:rFonts w:hint="eastAsia"/>
                <w:spacing w:val="2"/>
                <w:sz w:val="21"/>
              </w:rPr>
              <w:t>混凝土面层，厚度</w:t>
            </w:r>
            <w:r>
              <w:rPr>
                <w:spacing w:val="2"/>
                <w:sz w:val="21"/>
              </w:rPr>
              <w:t>22cm</w:t>
            </w:r>
            <w:r>
              <w:rPr>
                <w:rFonts w:hint="eastAsia"/>
                <w:spacing w:val="2"/>
                <w:sz w:val="21"/>
              </w:rPr>
              <w:t>；</w:t>
            </w:r>
            <w:r>
              <w:rPr>
                <w:spacing w:val="2"/>
                <w:sz w:val="21"/>
              </w:rPr>
              <w:t>5%</w:t>
            </w:r>
            <w:r>
              <w:rPr>
                <w:rFonts w:hint="eastAsia"/>
                <w:spacing w:val="2"/>
                <w:sz w:val="21"/>
              </w:rPr>
              <w:t>水泥稳定碎石基层，厚度</w:t>
            </w:r>
            <w:r>
              <w:rPr>
                <w:spacing w:val="2"/>
                <w:sz w:val="21"/>
              </w:rPr>
              <w:t>18cm</w:t>
            </w:r>
            <w:r>
              <w:rPr>
                <w:rFonts w:hint="eastAsia"/>
                <w:spacing w:val="2"/>
                <w:sz w:val="21"/>
              </w:rPr>
              <w:t>；碎石垫层，厚度</w:t>
            </w:r>
            <w:r>
              <w:rPr>
                <w:spacing w:val="2"/>
                <w:sz w:val="21"/>
              </w:rPr>
              <w:t>17cm</w:t>
            </w:r>
            <w:r>
              <w:rPr>
                <w:rFonts w:hint="eastAsia"/>
                <w:spacing w:val="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vMerge w:val="continue"/>
            <w:tcBorders>
              <w:top w:val="dotted" w:color="auto" w:sz="4" w:space="0"/>
              <w:left w:val="nil"/>
              <w:bottom w:val="dotted" w:color="auto" w:sz="4" w:space="0"/>
              <w:right w:val="dotted" w:color="auto" w:sz="4" w:space="0"/>
            </w:tcBorders>
            <w:vAlign w:val="center"/>
          </w:tcPr>
          <w:p>
            <w:pPr>
              <w:widowControl/>
              <w:ind w:firstLine="420"/>
              <w:jc w:val="left"/>
              <w:rPr>
                <w:sz w:val="21"/>
              </w:rPr>
            </w:pPr>
          </w:p>
        </w:tc>
        <w:tc>
          <w:tcPr>
            <w:tcW w:w="616" w:type="dxa"/>
            <w:vMerge w:val="continue"/>
            <w:tcBorders>
              <w:top w:val="dotted" w:color="auto" w:sz="4" w:space="0"/>
              <w:left w:val="dotted" w:color="auto" w:sz="4" w:space="0"/>
              <w:bottom w:val="dotted" w:color="auto" w:sz="4" w:space="0"/>
              <w:right w:val="dotted" w:color="auto" w:sz="4" w:space="0"/>
            </w:tcBorders>
            <w:vAlign w:val="center"/>
          </w:tcPr>
          <w:p>
            <w:pPr>
              <w:widowControl/>
              <w:ind w:firstLine="420"/>
              <w:jc w:val="left"/>
              <w:rPr>
                <w:kern w:val="0"/>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kern w:val="0"/>
              </w:rPr>
              <w:t>支路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路幅宽度为</w:t>
            </w:r>
            <w:r>
              <w:rPr>
                <w:spacing w:val="2"/>
                <w:sz w:val="21"/>
              </w:rPr>
              <w:t>6m</w:t>
            </w:r>
            <w:r>
              <w:rPr>
                <w:rFonts w:hint="eastAsia"/>
                <w:spacing w:val="2"/>
                <w:sz w:val="21"/>
              </w:rPr>
              <w:t>，路面结构为：</w:t>
            </w:r>
            <w:r>
              <w:rPr>
                <w:spacing w:val="2"/>
                <w:sz w:val="21"/>
              </w:rPr>
              <w:t>C30</w:t>
            </w:r>
            <w:r>
              <w:rPr>
                <w:rFonts w:hint="eastAsia"/>
                <w:spacing w:val="2"/>
                <w:sz w:val="21"/>
              </w:rPr>
              <w:t>混凝土面层，厚度</w:t>
            </w:r>
            <w:r>
              <w:rPr>
                <w:spacing w:val="2"/>
                <w:sz w:val="21"/>
              </w:rPr>
              <w:t>20cm</w:t>
            </w:r>
            <w:r>
              <w:rPr>
                <w:rFonts w:hint="eastAsia"/>
                <w:spacing w:val="2"/>
                <w:sz w:val="21"/>
              </w:rPr>
              <w:t>；</w:t>
            </w:r>
            <w:r>
              <w:rPr>
                <w:spacing w:val="2"/>
                <w:sz w:val="21"/>
              </w:rPr>
              <w:t>5%</w:t>
            </w:r>
            <w:r>
              <w:rPr>
                <w:rFonts w:hint="eastAsia"/>
                <w:spacing w:val="2"/>
                <w:sz w:val="21"/>
              </w:rPr>
              <w:t>水泥稳定碎石基层，厚度</w:t>
            </w:r>
            <w:r>
              <w:rPr>
                <w:spacing w:val="2"/>
                <w:sz w:val="21"/>
              </w:rPr>
              <w:t>15cm</w:t>
            </w:r>
            <w:r>
              <w:rPr>
                <w:rFonts w:hint="eastAsia"/>
                <w:spacing w:val="2"/>
                <w:sz w:val="21"/>
              </w:rPr>
              <w:t>；碎石垫层，厚度</w:t>
            </w:r>
            <w:r>
              <w:rPr>
                <w:spacing w:val="2"/>
                <w:sz w:val="21"/>
              </w:rPr>
              <w:t>15cm</w:t>
            </w:r>
            <w:r>
              <w:rPr>
                <w:rFonts w:hint="eastAsia"/>
                <w:spacing w:val="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vMerge w:val="continue"/>
            <w:tcBorders>
              <w:top w:val="dotted" w:color="auto" w:sz="4" w:space="0"/>
              <w:left w:val="nil"/>
              <w:bottom w:val="dotted" w:color="auto" w:sz="4" w:space="0"/>
              <w:right w:val="dotted" w:color="auto" w:sz="4" w:space="0"/>
            </w:tcBorders>
            <w:vAlign w:val="center"/>
          </w:tcPr>
          <w:p>
            <w:pPr>
              <w:widowControl/>
              <w:ind w:firstLine="420"/>
              <w:jc w:val="left"/>
              <w:rPr>
                <w:sz w:val="21"/>
              </w:rPr>
            </w:pPr>
          </w:p>
        </w:tc>
        <w:tc>
          <w:tcPr>
            <w:tcW w:w="616" w:type="dxa"/>
            <w:vMerge w:val="continue"/>
            <w:tcBorders>
              <w:top w:val="dotted" w:color="auto" w:sz="4" w:space="0"/>
              <w:left w:val="dotted" w:color="auto" w:sz="4" w:space="0"/>
              <w:bottom w:val="dotted" w:color="auto" w:sz="4" w:space="0"/>
              <w:right w:val="dotted" w:color="auto" w:sz="4" w:space="0"/>
            </w:tcBorders>
            <w:vAlign w:val="center"/>
          </w:tcPr>
          <w:p>
            <w:pPr>
              <w:widowControl/>
              <w:ind w:firstLine="420"/>
              <w:jc w:val="left"/>
              <w:rPr>
                <w:kern w:val="0"/>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kern w:val="0"/>
              </w:rPr>
            </w:pPr>
            <w:r>
              <w:rPr>
                <w:rFonts w:hint="eastAsia"/>
                <w:kern w:val="0"/>
              </w:rPr>
              <w:t>人行</w:t>
            </w:r>
          </w:p>
          <w:p>
            <w:pPr>
              <w:pStyle w:val="184"/>
              <w:spacing w:line="240" w:lineRule="exact"/>
              <w:rPr>
                <w:rFonts w:ascii="Times New Roman"/>
                <w:color w:val="auto"/>
                <w:kern w:val="0"/>
              </w:rPr>
            </w:pPr>
            <w:r>
              <w:rPr>
                <w:rFonts w:hint="eastAsia"/>
                <w:kern w:val="0"/>
              </w:rPr>
              <w:t>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采用</w:t>
            </w:r>
            <w:r>
              <w:rPr>
                <w:spacing w:val="2"/>
                <w:sz w:val="21"/>
              </w:rPr>
              <w:t>C25</w:t>
            </w:r>
            <w:r>
              <w:rPr>
                <w:rFonts w:hint="eastAsia"/>
                <w:spacing w:val="2"/>
                <w:sz w:val="21"/>
              </w:rPr>
              <w:t>混凝土路面砖，规格</w:t>
            </w:r>
            <w:r>
              <w:rPr>
                <w:spacing w:val="2"/>
                <w:sz w:val="21"/>
              </w:rPr>
              <w:t>25×25×5cm</w:t>
            </w:r>
            <w:r>
              <w:rPr>
                <w:rFonts w:hint="eastAsia"/>
                <w:spacing w:val="2"/>
                <w:sz w:val="21"/>
              </w:rPr>
              <w:t>；</w:t>
            </w:r>
            <w:r>
              <w:rPr>
                <w:spacing w:val="2"/>
                <w:sz w:val="21"/>
              </w:rPr>
              <w:t>M10</w:t>
            </w:r>
            <w:r>
              <w:rPr>
                <w:rFonts w:hint="eastAsia"/>
                <w:spacing w:val="2"/>
                <w:sz w:val="21"/>
              </w:rPr>
              <w:t>水泥砂浆，厚度</w:t>
            </w:r>
            <w:r>
              <w:rPr>
                <w:spacing w:val="2"/>
                <w:sz w:val="21"/>
              </w:rPr>
              <w:t>3cm</w:t>
            </w:r>
            <w:r>
              <w:rPr>
                <w:rFonts w:hint="eastAsia"/>
                <w:spacing w:val="2"/>
                <w:sz w:val="21"/>
              </w:rPr>
              <w:t>；</w:t>
            </w:r>
            <w:r>
              <w:rPr>
                <w:spacing w:val="2"/>
                <w:sz w:val="21"/>
              </w:rPr>
              <w:t>3%</w:t>
            </w:r>
            <w:r>
              <w:rPr>
                <w:rFonts w:hint="eastAsia"/>
                <w:spacing w:val="2"/>
                <w:sz w:val="21"/>
              </w:rPr>
              <w:t>水泥稳定沙砾垫层，厚度</w:t>
            </w:r>
            <w:r>
              <w:rPr>
                <w:spacing w:val="2"/>
                <w:sz w:val="21"/>
              </w:rPr>
              <w:t>15cm</w:t>
            </w:r>
            <w:r>
              <w:rPr>
                <w:rFonts w:hint="eastAsia"/>
                <w:spacing w:val="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48" w:hRule="atLeast"/>
          <w:jc w:val="center"/>
        </w:trPr>
        <w:tc>
          <w:tcPr>
            <w:tcW w:w="660" w:type="dxa"/>
            <w:vMerge w:val="restart"/>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2.</w:t>
            </w:r>
            <w:r>
              <w:rPr>
                <w:rFonts w:hint="eastAsia" w:ascii="Times New Roman"/>
                <w:color w:val="auto"/>
              </w:rPr>
              <w:t>9</w:t>
            </w:r>
          </w:p>
        </w:tc>
        <w:tc>
          <w:tcPr>
            <w:tcW w:w="616" w:type="dxa"/>
            <w:vMerge w:val="restart"/>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仓储设施</w:t>
            </w: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1#</w:t>
            </w:r>
          </w:p>
          <w:p>
            <w:pPr>
              <w:pStyle w:val="187"/>
              <w:spacing w:line="240" w:lineRule="exact"/>
              <w:rPr>
                <w:rFonts w:ascii="Times New Roman"/>
                <w:color w:val="auto"/>
              </w:rPr>
            </w:pPr>
            <w:r>
              <w:rPr>
                <w:rFonts w:ascii="Times New Roman"/>
                <w:color w:val="auto"/>
              </w:rPr>
              <w:t>仓库</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cs="Times New Roman"/>
                <w:sz w:val="21"/>
              </w:rPr>
              <w:t>建设1510.27</w:t>
            </w:r>
            <w:r>
              <w:rPr>
                <w:rFonts w:ascii="Times New Roman" w:hAnsi="Times New Roman" w:cs="Times New Roman"/>
                <w:sz w:val="21"/>
              </w:rPr>
              <w:t xml:space="preserve"> m</w:t>
            </w:r>
            <w:r>
              <w:rPr>
                <w:rFonts w:ascii="Times New Roman" w:hAnsi="Times New Roman" w:cs="Times New Roman"/>
                <w:sz w:val="21"/>
                <w:vertAlign w:val="superscript"/>
              </w:rPr>
              <w:t>2</w:t>
            </w:r>
            <w:r>
              <w:rPr>
                <w:rFonts w:ascii="Times New Roman" w:hAnsi="Times New Roman" w:cs="Times New Roman"/>
                <w:sz w:val="21"/>
              </w:rPr>
              <w:t>×</w:t>
            </w:r>
            <w:r>
              <w:rPr>
                <w:rFonts w:hint="eastAsia" w:ascii="Times New Roman" w:hAnsi="Times New Roman" w:cs="Times New Roman"/>
                <w:sz w:val="21"/>
              </w:rPr>
              <w:t>8.10</w:t>
            </w:r>
            <w:r>
              <w:rPr>
                <w:rFonts w:ascii="Times New Roman" w:hAnsi="Times New Roman" w:cs="Times New Roman"/>
                <w:sz w:val="21"/>
              </w:rPr>
              <w:t>m</w:t>
            </w:r>
            <w:r>
              <w:rPr>
                <w:rFonts w:ascii="Times New Roman" w:cs="Times New Roman"/>
                <w:sz w:val="21"/>
              </w:rPr>
              <w:t>，</w:t>
            </w:r>
            <w:r>
              <w:rPr>
                <w:rFonts w:ascii="Times New Roman" w:hAnsi="Times New Roman" w:cs="Times New Roman"/>
                <w:sz w:val="21"/>
              </w:rPr>
              <w:t>主要用于储存外来及本项目产生的送至焚烧车间的危废</w:t>
            </w:r>
            <w:r>
              <w:rPr>
                <w:rFonts w:hint="eastAsia" w:ascii="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4"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ind w:firstLine="420"/>
              <w:jc w:val="left"/>
              <w:rPr>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420"/>
              <w:jc w:val="left"/>
              <w:rPr>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w:t>
            </w:r>
          </w:p>
          <w:p>
            <w:pPr>
              <w:pStyle w:val="187"/>
              <w:spacing w:line="240" w:lineRule="exact"/>
              <w:rPr>
                <w:rFonts w:ascii="Times New Roman"/>
                <w:color w:val="auto"/>
              </w:rPr>
            </w:pPr>
            <w:r>
              <w:rPr>
                <w:rFonts w:ascii="Times New Roman"/>
                <w:color w:val="auto"/>
              </w:rPr>
              <w:t>仓库</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cs="Times New Roman"/>
                <w:sz w:val="21"/>
              </w:rPr>
              <w:t>建设1510.27</w:t>
            </w:r>
            <w:r>
              <w:rPr>
                <w:rFonts w:ascii="Times New Roman" w:hAnsi="Times New Roman" w:cs="Times New Roman"/>
                <w:sz w:val="21"/>
              </w:rPr>
              <w:t xml:space="preserve"> m</w:t>
            </w:r>
            <w:r>
              <w:rPr>
                <w:rFonts w:ascii="Times New Roman" w:hAnsi="Times New Roman" w:cs="Times New Roman"/>
                <w:sz w:val="21"/>
                <w:vertAlign w:val="superscript"/>
              </w:rPr>
              <w:t>2</w:t>
            </w:r>
            <w:r>
              <w:rPr>
                <w:rFonts w:ascii="Times New Roman" w:hAnsi="Times New Roman" w:cs="Times New Roman"/>
                <w:sz w:val="21"/>
              </w:rPr>
              <w:t>×</w:t>
            </w:r>
            <w:r>
              <w:rPr>
                <w:rFonts w:hint="eastAsia" w:ascii="Times New Roman" w:hAnsi="Times New Roman" w:cs="Times New Roman"/>
                <w:sz w:val="21"/>
              </w:rPr>
              <w:t>8.10</w:t>
            </w:r>
            <w:r>
              <w:rPr>
                <w:rFonts w:ascii="Times New Roman" w:hAnsi="Times New Roman" w:cs="Times New Roman"/>
                <w:sz w:val="21"/>
              </w:rPr>
              <w:t>m</w:t>
            </w:r>
            <w:r>
              <w:rPr>
                <w:rFonts w:ascii="Times New Roman" w:cs="Times New Roman"/>
                <w:sz w:val="21"/>
              </w:rPr>
              <w:t>，</w:t>
            </w:r>
            <w:r>
              <w:rPr>
                <w:rFonts w:ascii="Times New Roman" w:hAnsi="Times New Roman" w:cs="Times New Roman"/>
                <w:sz w:val="21"/>
              </w:rPr>
              <w:t>主要用于储存外来及本项目产生的送至</w:t>
            </w:r>
            <w:r>
              <w:rPr>
                <w:rFonts w:hint="eastAsia" w:ascii="Times New Roman" w:hAnsi="Times New Roman" w:cs="Times New Roman"/>
                <w:sz w:val="21"/>
              </w:rPr>
              <w:t>物化</w:t>
            </w:r>
            <w:r>
              <w:rPr>
                <w:rFonts w:ascii="Times New Roman" w:hAnsi="Times New Roman" w:cs="Times New Roman"/>
                <w:sz w:val="21"/>
              </w:rPr>
              <w:t>车间的危废</w:t>
            </w:r>
            <w:r>
              <w:rPr>
                <w:rFonts w:hint="eastAsia" w:ascii="Times New Roman" w:hAnsi="Times New Roman" w:cs="Times New Roman"/>
                <w:sz w:val="21"/>
              </w:rPr>
              <w:t>，还有飞灰</w:t>
            </w:r>
            <w:r>
              <w:rPr>
                <w:rFonts w:hint="eastAsia" w:ascii="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35"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ind w:firstLine="420"/>
              <w:jc w:val="left"/>
              <w:rPr>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420"/>
              <w:jc w:val="left"/>
              <w:rPr>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rPr>
              <w:t>危废暂存库</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cs="Times New Roman"/>
                <w:sz w:val="21"/>
              </w:rPr>
              <w:t>新增1710.27</w:t>
            </w:r>
            <w:r>
              <w:rPr>
                <w:rFonts w:ascii="Times New Roman" w:hAnsi="Times New Roman" w:cs="Times New Roman"/>
                <w:sz w:val="21"/>
              </w:rPr>
              <w:t xml:space="preserve"> m</w:t>
            </w:r>
            <w:r>
              <w:rPr>
                <w:rFonts w:ascii="Times New Roman" w:hAnsi="Times New Roman" w:cs="Times New Roman"/>
                <w:sz w:val="21"/>
                <w:vertAlign w:val="superscript"/>
              </w:rPr>
              <w:t>2</w:t>
            </w:r>
            <w:r>
              <w:rPr>
                <w:rFonts w:ascii="Times New Roman" w:hAnsi="Times New Roman" w:cs="Times New Roman"/>
                <w:sz w:val="21"/>
              </w:rPr>
              <w:t>×</w:t>
            </w:r>
            <w:r>
              <w:rPr>
                <w:rFonts w:hint="eastAsia" w:ascii="Times New Roman" w:hAnsi="Times New Roman" w:cs="Times New Roman"/>
                <w:sz w:val="21"/>
              </w:rPr>
              <w:t>8.10</w:t>
            </w:r>
            <w:r>
              <w:rPr>
                <w:rFonts w:ascii="Times New Roman" w:hAnsi="Times New Roman" w:cs="Times New Roman"/>
                <w:sz w:val="21"/>
              </w:rPr>
              <w:t>m</w:t>
            </w:r>
            <w:r>
              <w:rPr>
                <w:rFonts w:hint="eastAsia" w:ascii="Times New Roman" w:cs="Times New Roman"/>
                <w:sz w:val="21"/>
              </w:rPr>
              <w:t>的危废暂存库，主要用于</w:t>
            </w:r>
            <w:r>
              <w:rPr>
                <w:rFonts w:hint="eastAsia"/>
                <w:sz w:val="21"/>
              </w:rPr>
              <w:t>储存入场需要送检的危废。</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35"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ind w:firstLine="420"/>
              <w:jc w:val="left"/>
              <w:rPr>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420"/>
              <w:jc w:val="left"/>
              <w:rPr>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危废</w:t>
            </w:r>
          </w:p>
          <w:p>
            <w:pPr>
              <w:pStyle w:val="187"/>
              <w:spacing w:line="240" w:lineRule="exact"/>
              <w:rPr>
                <w:rFonts w:ascii="Times New Roman"/>
                <w:color w:val="auto"/>
              </w:rPr>
            </w:pPr>
            <w:r>
              <w:rPr>
                <w:rFonts w:ascii="Times New Roman"/>
                <w:color w:val="auto"/>
              </w:rPr>
              <w:t>罐区</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cs="Times New Roman"/>
                <w:sz w:val="21"/>
              </w:rPr>
            </w:pPr>
            <w:r>
              <w:rPr>
                <w:rFonts w:hint="eastAsia" w:ascii="Times New Roman" w:cs="Times New Roman"/>
                <w:sz w:val="21"/>
              </w:rPr>
              <w:t>物化车间废液储存罐区：</w:t>
            </w:r>
            <w:r>
              <w:rPr>
                <w:rFonts w:ascii="Times New Roman" w:cs="Times New Roman"/>
                <w:sz w:val="21"/>
              </w:rPr>
              <w:t>4</w:t>
            </w:r>
            <w:r>
              <w:rPr>
                <w:rFonts w:hint="eastAsia" w:ascii="Times New Roman" w:cs="Times New Roman"/>
                <w:sz w:val="21"/>
              </w:rPr>
              <w:t>台容积为100</w:t>
            </w:r>
            <w:r>
              <w:rPr>
                <w:rFonts w:ascii="Times New Roman" w:cs="Times New Roman"/>
                <w:sz w:val="21"/>
              </w:rPr>
              <w:t xml:space="preserve"> m</w:t>
            </w:r>
            <w:r>
              <w:rPr>
                <w:rFonts w:ascii="Times New Roman" w:cs="Times New Roman"/>
                <w:sz w:val="21"/>
                <w:vertAlign w:val="superscript"/>
              </w:rPr>
              <w:t>3</w:t>
            </w:r>
            <w:r>
              <w:rPr>
                <w:rFonts w:hint="eastAsia" w:ascii="Times New Roman" w:cs="Times New Roman"/>
                <w:sz w:val="21"/>
              </w:rPr>
              <w:t>的废酸储罐；</w:t>
            </w:r>
            <w:r>
              <w:rPr>
                <w:rFonts w:ascii="Times New Roman" w:cs="Times New Roman"/>
                <w:sz w:val="21"/>
              </w:rPr>
              <w:t>2</w:t>
            </w:r>
            <w:r>
              <w:rPr>
                <w:rFonts w:hint="eastAsia" w:ascii="Times New Roman" w:cs="Times New Roman"/>
                <w:sz w:val="21"/>
              </w:rPr>
              <w:t>台容积为100</w:t>
            </w:r>
            <w:r>
              <w:rPr>
                <w:rFonts w:ascii="Times New Roman" w:cs="Times New Roman"/>
                <w:sz w:val="21"/>
              </w:rPr>
              <w:t xml:space="preserve"> m</w:t>
            </w:r>
            <w:r>
              <w:rPr>
                <w:rFonts w:ascii="Times New Roman" w:cs="Times New Roman"/>
                <w:sz w:val="21"/>
                <w:vertAlign w:val="superscript"/>
              </w:rPr>
              <w:t>3</w:t>
            </w:r>
            <w:r>
              <w:rPr>
                <w:rFonts w:hint="eastAsia" w:ascii="Times New Roman" w:cs="Times New Roman"/>
                <w:sz w:val="21"/>
              </w:rPr>
              <w:t>的废乳化液储罐；4台容积为100</w:t>
            </w:r>
            <w:r>
              <w:rPr>
                <w:rFonts w:ascii="Times New Roman" w:cs="Times New Roman"/>
                <w:sz w:val="21"/>
              </w:rPr>
              <w:t xml:space="preserve"> m</w:t>
            </w:r>
            <w:r>
              <w:rPr>
                <w:rFonts w:ascii="Times New Roman" w:cs="Times New Roman"/>
                <w:sz w:val="21"/>
                <w:vertAlign w:val="superscript"/>
              </w:rPr>
              <w:t>3</w:t>
            </w:r>
            <w:r>
              <w:rPr>
                <w:rFonts w:hint="eastAsia" w:ascii="Times New Roman" w:cs="Times New Roman"/>
                <w:sz w:val="21"/>
              </w:rPr>
              <w:t>的废碱储罐；5台容积为15</w:t>
            </w:r>
            <w:r>
              <w:rPr>
                <w:rFonts w:ascii="Times New Roman" w:cs="Times New Roman"/>
                <w:sz w:val="21"/>
              </w:rPr>
              <w:t xml:space="preserve"> m</w:t>
            </w:r>
            <w:r>
              <w:rPr>
                <w:rFonts w:ascii="Times New Roman" w:cs="Times New Roman"/>
                <w:sz w:val="21"/>
                <w:vertAlign w:val="superscript"/>
              </w:rPr>
              <w:t>3</w:t>
            </w:r>
            <w:r>
              <w:rPr>
                <w:rFonts w:hint="eastAsia" w:ascii="Times New Roman" w:cs="Times New Roman"/>
                <w:sz w:val="21"/>
              </w:rPr>
              <w:t>的预处理罐。</w:t>
            </w:r>
          </w:p>
          <w:p>
            <w:pPr>
              <w:pStyle w:val="183"/>
              <w:spacing w:line="240" w:lineRule="exact"/>
              <w:ind w:firstLine="0" w:firstLineChars="0"/>
              <w:rPr>
                <w:rFonts w:ascii="Times New Roman" w:hAnsi="Times New Roman" w:cs="Times New Roman"/>
                <w:sz w:val="21"/>
              </w:rPr>
            </w:pPr>
            <w:r>
              <w:rPr>
                <w:rFonts w:hint="eastAsia" w:ascii="Times New Roman" w:cs="Times New Roman"/>
                <w:sz w:val="21"/>
              </w:rPr>
              <w:t>送往焚烧车间废液储存罐区：4台容积为300</w:t>
            </w:r>
            <w:r>
              <w:rPr>
                <w:rFonts w:ascii="Times New Roman" w:cs="Times New Roman"/>
                <w:sz w:val="21"/>
              </w:rPr>
              <w:t>m</w:t>
            </w:r>
            <w:r>
              <w:rPr>
                <w:rFonts w:ascii="Times New Roman" w:cs="Times New Roman"/>
                <w:sz w:val="21"/>
                <w:vertAlign w:val="superscript"/>
              </w:rPr>
              <w:t>3</w:t>
            </w:r>
            <w:r>
              <w:rPr>
                <w:rFonts w:hint="eastAsia" w:ascii="Times New Roman" w:cs="Times New Roman"/>
                <w:sz w:val="21"/>
              </w:rPr>
              <w:t>的废液储罐。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35"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ind w:firstLine="420"/>
              <w:jc w:val="left"/>
              <w:rPr>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420"/>
              <w:jc w:val="left"/>
              <w:rPr>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综合</w:t>
            </w:r>
          </w:p>
          <w:p>
            <w:pPr>
              <w:pStyle w:val="187"/>
              <w:spacing w:line="240" w:lineRule="exact"/>
              <w:rPr>
                <w:rFonts w:ascii="Times New Roman"/>
                <w:color w:val="auto"/>
              </w:rPr>
            </w:pPr>
            <w:r>
              <w:rPr>
                <w:rFonts w:ascii="Times New Roman"/>
                <w:color w:val="auto"/>
              </w:rPr>
              <w:t>仓库</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rPr>
                <w:sz w:val="21"/>
              </w:rPr>
            </w:pPr>
            <w:r>
              <w:rPr>
                <w:rFonts w:cs="Times New Roman"/>
                <w:sz w:val="21"/>
              </w:rPr>
              <w:t>1座696m</w:t>
            </w:r>
            <w:r>
              <w:rPr>
                <w:rFonts w:cs="Times New Roman"/>
                <w:sz w:val="21"/>
                <w:vertAlign w:val="superscript"/>
              </w:rPr>
              <w:t>2</w:t>
            </w:r>
            <w:r>
              <w:rPr>
                <w:rFonts w:cs="Times New Roman"/>
                <w:sz w:val="21"/>
              </w:rPr>
              <w:t>×6.5m的综合仓库，用来贮存消石灰、氢氧化钠等辅助材料</w:t>
            </w:r>
            <w:r>
              <w:rPr>
                <w:rFonts w:hint="eastAsia" w:cs="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ind w:firstLine="420"/>
              <w:jc w:val="left"/>
              <w:rPr>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ind w:firstLine="420"/>
              <w:jc w:val="left"/>
              <w:rPr>
                <w:sz w:val="21"/>
              </w:rPr>
            </w:pPr>
          </w:p>
        </w:tc>
        <w:tc>
          <w:tcPr>
            <w:tcW w:w="719" w:type="dxa"/>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柴油</w:t>
            </w:r>
          </w:p>
          <w:p>
            <w:pPr>
              <w:pStyle w:val="187"/>
              <w:spacing w:line="240" w:lineRule="exact"/>
              <w:rPr>
                <w:rFonts w:ascii="Times New Roman"/>
                <w:color w:val="auto"/>
              </w:rPr>
            </w:pPr>
            <w:r>
              <w:rPr>
                <w:rFonts w:ascii="Times New Roman"/>
                <w:color w:val="auto"/>
              </w:rPr>
              <w:t>储罐</w:t>
            </w:r>
          </w:p>
        </w:tc>
        <w:tc>
          <w:tcPr>
            <w:tcW w:w="7643" w:type="dxa"/>
            <w:tcBorders>
              <w:top w:val="dotted" w:color="auto" w:sz="4" w:space="0"/>
              <w:left w:val="dotted" w:color="auto" w:sz="4" w:space="0"/>
              <w:bottom w:val="single" w:color="auto" w:sz="12" w:space="0"/>
              <w:right w:val="nil"/>
            </w:tcBorders>
            <w:vAlign w:val="center"/>
          </w:tcPr>
          <w:p>
            <w:pPr>
              <w:pStyle w:val="187"/>
              <w:spacing w:line="240" w:lineRule="exact"/>
              <w:jc w:val="both"/>
              <w:rPr>
                <w:rFonts w:ascii="Times New Roman"/>
                <w:color w:val="auto"/>
              </w:rPr>
            </w:pPr>
            <w:r>
              <w:rPr>
                <w:rFonts w:ascii="Times New Roman"/>
              </w:rPr>
              <w:t>1个</w:t>
            </w:r>
            <w:r>
              <w:rPr>
                <w:rFonts w:hint="eastAsia" w:ascii="Times New Roman"/>
              </w:rPr>
              <w:t>20</w:t>
            </w:r>
            <w:r>
              <w:rPr>
                <w:rFonts w:ascii="Times New Roman"/>
              </w:rPr>
              <w:t>m</w:t>
            </w:r>
            <w:r>
              <w:rPr>
                <w:rFonts w:ascii="Times New Roman"/>
                <w:vertAlign w:val="superscript"/>
              </w:rPr>
              <w:t>3</w:t>
            </w:r>
            <w:r>
              <w:rPr>
                <w:rFonts w:ascii="Times New Roman"/>
              </w:rPr>
              <w:t>的柴油储罐，设置于储罐区</w:t>
            </w:r>
            <w:r>
              <w:rPr>
                <w:rFonts w:hint="eastAsia" w:ascii="Times New Roma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22" w:hRule="atLeast"/>
          <w:jc w:val="center"/>
        </w:trPr>
        <w:tc>
          <w:tcPr>
            <w:tcW w:w="660"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3</w:t>
            </w:r>
          </w:p>
        </w:tc>
        <w:tc>
          <w:tcPr>
            <w:tcW w:w="8978" w:type="dxa"/>
            <w:gridSpan w:val="3"/>
            <w:tcBorders>
              <w:top w:val="dotted" w:color="auto" w:sz="4" w:space="0"/>
              <w:left w:val="dotted" w:color="auto" w:sz="4" w:space="0"/>
              <w:bottom w:val="single" w:color="auto" w:sz="12" w:space="0"/>
              <w:right w:val="nil"/>
            </w:tcBorders>
            <w:vAlign w:val="center"/>
          </w:tcPr>
          <w:p>
            <w:pPr>
              <w:pStyle w:val="187"/>
              <w:spacing w:line="240" w:lineRule="exact"/>
              <w:rPr>
                <w:rFonts w:ascii="Times New Roman"/>
                <w:color w:val="auto"/>
              </w:rPr>
            </w:pPr>
            <w:r>
              <w:rPr>
                <w:rFonts w:hint="eastAsia" w:ascii="Times New Roman"/>
                <w:color w:val="auto"/>
              </w:rPr>
              <w:t>环保工程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660" w:type="dxa"/>
            <w:tcBorders>
              <w:top w:val="single" w:color="auto" w:sz="12"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3.1</w:t>
            </w:r>
          </w:p>
        </w:tc>
        <w:tc>
          <w:tcPr>
            <w:tcW w:w="1335" w:type="dxa"/>
            <w:gridSpan w:val="2"/>
            <w:tcBorders>
              <w:top w:val="single" w:color="auto" w:sz="12"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废气治理</w:t>
            </w:r>
          </w:p>
        </w:tc>
        <w:tc>
          <w:tcPr>
            <w:tcW w:w="7643" w:type="dxa"/>
            <w:tcBorders>
              <w:top w:val="single" w:color="auto" w:sz="12" w:space="0"/>
              <w:left w:val="dotted" w:color="auto" w:sz="4" w:space="0"/>
              <w:bottom w:val="dotted" w:color="auto" w:sz="4" w:space="0"/>
              <w:right w:val="nil"/>
            </w:tcBorders>
            <w:vAlign w:val="center"/>
          </w:tcPr>
          <w:p>
            <w:pPr>
              <w:pStyle w:val="187"/>
              <w:snapToGrid w:val="0"/>
              <w:spacing w:line="240" w:lineRule="exact"/>
              <w:jc w:val="both"/>
              <w:rPr>
                <w:rFonts w:ascii="Times New Roman"/>
                <w:color w:val="auto"/>
              </w:rPr>
            </w:pPr>
            <w:r>
              <w:rPr>
                <w:rFonts w:hint="eastAsia" w:ascii="Times New Roman"/>
                <w:color w:val="auto"/>
                <w:lang w:val="pt-BR"/>
              </w:rPr>
              <w:t>各危废暂存库有组织废气经液碱喷淋塔+紫外光系统</w:t>
            </w:r>
            <w:r>
              <w:rPr>
                <w:rFonts w:ascii="Times New Roman"/>
                <w:color w:val="auto"/>
                <w:lang w:val="pt-BR"/>
              </w:rPr>
              <w:t>+</w:t>
            </w:r>
            <w:r>
              <w:rPr>
                <w:rFonts w:hint="eastAsia" w:ascii="Times New Roman"/>
                <w:color w:val="auto"/>
                <w:lang w:val="pt-BR"/>
              </w:rPr>
              <w:t>活性炭纤维有机废气净化器处理后，由</w:t>
            </w:r>
            <w:r>
              <w:rPr>
                <w:rFonts w:ascii="Times New Roman"/>
                <w:color w:val="auto"/>
                <w:lang w:val="pt-BR"/>
              </w:rPr>
              <w:t>20m</w:t>
            </w:r>
            <w:r>
              <w:rPr>
                <w:rFonts w:hint="eastAsia" w:ascii="Times New Roman"/>
                <w:color w:val="auto"/>
                <w:lang w:val="pt-BR"/>
              </w:rPr>
              <w:t>烟囱排放</w:t>
            </w:r>
            <w:r>
              <w:rPr>
                <w:rFonts w:hint="eastAsia" w:ascii="Times New Roman"/>
                <w:color w:val="auto"/>
              </w:rPr>
              <w:t>；</w:t>
            </w:r>
            <w:r>
              <w:rPr>
                <w:rFonts w:hint="eastAsia" w:ascii="Times New Roman"/>
                <w:color w:val="auto"/>
                <w:lang w:val="pt-BR"/>
              </w:rPr>
              <w:t>焚烧车间焚烧废气经</w:t>
            </w:r>
            <w:r>
              <w:rPr>
                <w:rFonts w:ascii="Times New Roman"/>
              </w:rPr>
              <w:t>SNCR</w:t>
            </w:r>
            <w:r>
              <w:rPr>
                <w:rFonts w:hint="eastAsia" w:ascii="Times New Roman"/>
              </w:rPr>
              <w:t>脱硝</w:t>
            </w:r>
            <w:r>
              <w:rPr>
                <w:rFonts w:ascii="Times New Roman"/>
              </w:rPr>
              <w:t>+</w:t>
            </w:r>
            <w:r>
              <w:rPr>
                <w:rFonts w:hint="eastAsia" w:ascii="Times New Roman"/>
              </w:rPr>
              <w:t>急冷塔</w:t>
            </w:r>
            <w:r>
              <w:rPr>
                <w:rFonts w:ascii="Times New Roman"/>
              </w:rPr>
              <w:t>+</w:t>
            </w:r>
            <w:r>
              <w:rPr>
                <w:rFonts w:hint="eastAsia" w:ascii="Times New Roman"/>
              </w:rPr>
              <w:t>干式反应器</w:t>
            </w:r>
            <w:r>
              <w:rPr>
                <w:rFonts w:ascii="Times New Roman"/>
              </w:rPr>
              <w:t>+</w:t>
            </w:r>
            <w:r>
              <w:rPr>
                <w:rFonts w:hint="eastAsia" w:ascii="Times New Roman"/>
              </w:rPr>
              <w:t>袋式除尘</w:t>
            </w:r>
            <w:r>
              <w:rPr>
                <w:rFonts w:ascii="Times New Roman"/>
              </w:rPr>
              <w:t>+</w:t>
            </w:r>
            <w:r>
              <w:rPr>
                <w:rFonts w:hint="eastAsia" w:ascii="Times New Roman"/>
              </w:rPr>
              <w:t>二级湿法脱酸系统</w:t>
            </w:r>
            <w:r>
              <w:rPr>
                <w:rFonts w:ascii="Times New Roman"/>
              </w:rPr>
              <w:t>+</w:t>
            </w:r>
            <w:r>
              <w:rPr>
                <w:rFonts w:hint="eastAsia" w:ascii="Times New Roman"/>
              </w:rPr>
              <w:t>湿式电除雾器</w:t>
            </w:r>
            <w:r>
              <w:rPr>
                <w:rFonts w:ascii="Times New Roman"/>
                <w:color w:val="auto"/>
                <w:lang w:val="pt-BR"/>
              </w:rPr>
              <w:t>+</w:t>
            </w:r>
            <w:r>
              <w:rPr>
                <w:rFonts w:hint="eastAsia" w:ascii="Times New Roman"/>
                <w:color w:val="auto"/>
                <w:lang w:val="pt-BR"/>
              </w:rPr>
              <w:t>尾气加热后，由</w:t>
            </w:r>
            <w:r>
              <w:rPr>
                <w:rFonts w:ascii="Times New Roman"/>
                <w:color w:val="auto"/>
                <w:lang w:val="pt-BR"/>
              </w:rPr>
              <w:t>50m</w:t>
            </w:r>
            <w:r>
              <w:rPr>
                <w:rFonts w:hint="eastAsia" w:ascii="Times New Roman"/>
                <w:color w:val="auto"/>
                <w:lang w:val="pt-BR"/>
              </w:rPr>
              <w:t>烟囱排放；污水处理系统三效蒸发器排气经活性炭纤维有机废气净化器处理后，由</w:t>
            </w:r>
            <w:r>
              <w:rPr>
                <w:rFonts w:ascii="Times New Roman"/>
                <w:color w:val="auto"/>
                <w:lang w:val="pt-BR"/>
              </w:rPr>
              <w:t>15m</w:t>
            </w:r>
            <w:r>
              <w:rPr>
                <w:rFonts w:hint="eastAsia" w:ascii="Times New Roman"/>
                <w:color w:val="auto"/>
                <w:lang w:val="pt-BR"/>
              </w:rPr>
              <w:t>烟囱排放；</w:t>
            </w:r>
            <w:r>
              <w:rPr>
                <w:rFonts w:hint="eastAsia" w:ascii="Times New Roman"/>
                <w:color w:val="auto"/>
              </w:rPr>
              <w:t>填埋库区设置气体收集排气系统，导排采用导气竖井的方式，导气竖井间距按</w:t>
            </w:r>
            <w:r>
              <w:rPr>
                <w:rFonts w:ascii="Times New Roman"/>
                <w:color w:val="auto"/>
              </w:rPr>
              <w:t>50m</w:t>
            </w:r>
            <w:r>
              <w:rPr>
                <w:rFonts w:hint="eastAsia" w:ascii="Times New Roman"/>
                <w:color w:val="auto"/>
              </w:rPr>
              <w:t>考虑。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59" w:hRule="atLeast"/>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3.2</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废水治理</w:t>
            </w:r>
          </w:p>
        </w:tc>
        <w:tc>
          <w:tcPr>
            <w:tcW w:w="7643" w:type="dxa"/>
            <w:tcBorders>
              <w:top w:val="dotted" w:color="auto" w:sz="4" w:space="0"/>
              <w:left w:val="dotted" w:color="auto" w:sz="4" w:space="0"/>
              <w:bottom w:val="dotted" w:color="auto" w:sz="4" w:space="0"/>
              <w:right w:val="nil"/>
            </w:tcBorders>
            <w:vAlign w:val="center"/>
          </w:tcPr>
          <w:p>
            <w:pPr>
              <w:pStyle w:val="187"/>
              <w:spacing w:line="240" w:lineRule="exact"/>
              <w:jc w:val="both"/>
              <w:rPr>
                <w:rFonts w:ascii="Times New Roman"/>
                <w:color w:val="auto"/>
              </w:rPr>
            </w:pPr>
            <w:r>
              <w:t>本项目物化车间澄清池排水和沉淀池废水经“絮凝沉淀”处理后</w:t>
            </w:r>
            <w:r>
              <w:rPr>
                <w:rFonts w:hint="eastAsia"/>
              </w:rPr>
              <w:t>排水、</w:t>
            </w:r>
            <w:r>
              <w:t>焚烧车间喷淋洗涤塔排水由本车间污水处理模块经“絮凝沉淀”处理后排水、冲洗废水、安全填埋场渗滤液</w:t>
            </w:r>
            <w:r>
              <w:rPr>
                <w:rFonts w:hint="eastAsia"/>
              </w:rPr>
              <w:t>、</w:t>
            </w:r>
            <w:r>
              <w:t>物化车间酸雾吸收塔排水</w:t>
            </w:r>
            <w:r>
              <w:rPr>
                <w:rFonts w:hint="eastAsia"/>
              </w:rPr>
              <w:t>、</w:t>
            </w:r>
            <w:r>
              <w:t>循环水系统排水</w:t>
            </w:r>
            <w:r>
              <w:rPr>
                <w:rFonts w:hint="eastAsia"/>
              </w:rPr>
              <w:t>、</w:t>
            </w:r>
            <w:r>
              <w:t>余热锅炉排水及软化水系统排水</w:t>
            </w:r>
            <w:r>
              <w:rPr>
                <w:rFonts w:hint="eastAsia"/>
              </w:rPr>
              <w:t>、</w:t>
            </w:r>
            <w:r>
              <w:t>污水处理站排浓水</w:t>
            </w:r>
            <w:r>
              <w:rPr>
                <w:rFonts w:hint="eastAsia"/>
              </w:rPr>
              <w:t>进污水处理站</w:t>
            </w:r>
            <w:r>
              <w:t>采用“Fenton+强制循环蒸发”的方法进行处理，处理后的冷凝液与化验用水以及生活污水送至污水处理站，经“絮凝沉淀+水解酸化+MBR+回用系统”处理后，出水部分回用至固化车间，其余回用至焚烧车间，浓水送至</w:t>
            </w:r>
            <w:r>
              <w:rPr>
                <w:rFonts w:hint="eastAsia"/>
              </w:rPr>
              <w:t>固化</w:t>
            </w:r>
            <w:r>
              <w:t>车间。</w:t>
            </w:r>
            <w:r>
              <w:rPr>
                <w:lang w:val="pt-BR"/>
              </w:rPr>
              <w:t>本项目处理后的废水全部回用于各生产工段，全厂无废水外排。</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3.3</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地下水防治</w:t>
            </w:r>
          </w:p>
        </w:tc>
        <w:tc>
          <w:tcPr>
            <w:tcW w:w="7643" w:type="dxa"/>
            <w:tcBorders>
              <w:top w:val="dotted" w:color="auto" w:sz="4" w:space="0"/>
              <w:left w:val="dotted" w:color="auto" w:sz="4" w:space="0"/>
              <w:bottom w:val="dotted" w:color="auto" w:sz="4" w:space="0"/>
              <w:right w:val="nil"/>
            </w:tcBorders>
            <w:vAlign w:val="center"/>
          </w:tcPr>
          <w:p>
            <w:pPr>
              <w:snapToGrid w:val="0"/>
              <w:spacing w:line="280" w:lineRule="exact"/>
              <w:ind w:firstLine="0" w:firstLineChars="0"/>
              <w:rPr>
                <w:rFonts w:hAnsi="宋体"/>
                <w:sz w:val="21"/>
              </w:rPr>
            </w:pPr>
            <w:r>
              <w:rPr>
                <w:rFonts w:cs="Times New Roman"/>
                <w:sz w:val="21"/>
              </w:rPr>
              <w:t>本项目危废综合处置厂区分为重点污染防治区和一般污染防治区，重点污染防治区设置防渗层，防渗性能应不低于6.0m厚渗透系数为1.0×10</w:t>
            </w:r>
            <w:r>
              <w:rPr>
                <w:rFonts w:cs="Times New Roman"/>
                <w:sz w:val="21"/>
                <w:vertAlign w:val="superscript"/>
              </w:rPr>
              <w:t>-7</w:t>
            </w:r>
            <w:r>
              <w:rPr>
                <w:rFonts w:cs="Times New Roman"/>
                <w:sz w:val="21"/>
              </w:rPr>
              <w:t>cm/s的黏土层；一般污染防治区设置防渗层，防渗性能应不低于1.5m厚渗透系数为1.0×10</w:t>
            </w:r>
            <w:r>
              <w:rPr>
                <w:rFonts w:cs="Times New Roman"/>
                <w:sz w:val="21"/>
                <w:vertAlign w:val="superscript"/>
              </w:rPr>
              <w:t>-7</w:t>
            </w:r>
            <w:r>
              <w:rPr>
                <w:rFonts w:cs="Times New Roman"/>
                <w:sz w:val="21"/>
              </w:rPr>
              <w:t>cm/s的黏土层。全厂污染防渗层内设置渗漏污染物收集系统。</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1" w:hRule="atLeast"/>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3.4</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废渣治理</w:t>
            </w:r>
          </w:p>
        </w:tc>
        <w:tc>
          <w:tcPr>
            <w:tcW w:w="7643" w:type="dxa"/>
            <w:tcBorders>
              <w:top w:val="dotted" w:color="auto" w:sz="4" w:space="0"/>
              <w:left w:val="dotted" w:color="auto" w:sz="4" w:space="0"/>
              <w:bottom w:val="dotted" w:color="auto" w:sz="4" w:space="0"/>
              <w:right w:val="nil"/>
            </w:tcBorders>
            <w:vAlign w:val="center"/>
          </w:tcPr>
          <w:p>
            <w:pPr>
              <w:pStyle w:val="187"/>
              <w:spacing w:line="240" w:lineRule="exact"/>
              <w:jc w:val="both"/>
              <w:rPr>
                <w:rFonts w:ascii="Times New Roman"/>
                <w:color w:val="auto"/>
                <w:highlight w:val="yellow"/>
              </w:rPr>
            </w:pPr>
            <w:r>
              <w:rPr>
                <w:rFonts w:ascii="Times New Roman"/>
                <w:kern w:val="0"/>
              </w:rPr>
              <w:t>有机废气净化器产生的废物送至回转窑进行焚烧处理；物化车间澄清池废渣送至固化车间经固化后安全填埋；物化车间隔油池产生的废油送至回转窑进行焚烧处理；物化车间沉淀池废渣送至固化车间经固化后安全填埋；焚烧车间产生的焚烧炉炉渣、飞灰和喷淋洗涤塔滤渣送至固化车间经固化后安全填埋；厂区污水处理站污泥送至固化车间经固化后安全填埋；强制循环蒸发系统产生盐泥送至固化车间经固化后安全填埋；强制循环蒸发系统净化器产生的废物送至回转窑进行焚烧处理；</w:t>
            </w:r>
            <w:r>
              <w:rPr>
                <w:rFonts w:ascii="Times New Roman"/>
              </w:rPr>
              <w:t>生活垃圾由当地环卫部门进行统一处理。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61" w:hRule="atLeast"/>
          <w:jc w:val="center"/>
        </w:trPr>
        <w:tc>
          <w:tcPr>
            <w:tcW w:w="660"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3.5</w:t>
            </w:r>
          </w:p>
        </w:tc>
        <w:tc>
          <w:tcPr>
            <w:tcW w:w="1335" w:type="dxa"/>
            <w:gridSpan w:val="2"/>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噪声治理</w:t>
            </w:r>
          </w:p>
        </w:tc>
        <w:tc>
          <w:tcPr>
            <w:tcW w:w="7643" w:type="dxa"/>
            <w:tcBorders>
              <w:top w:val="dotted" w:color="auto" w:sz="4" w:space="0"/>
              <w:left w:val="dotted" w:color="auto" w:sz="4" w:space="0"/>
              <w:bottom w:val="single" w:color="auto" w:sz="12" w:space="0"/>
              <w:right w:val="nil"/>
            </w:tcBorders>
            <w:vAlign w:val="center"/>
          </w:tcPr>
          <w:p>
            <w:pPr>
              <w:pStyle w:val="187"/>
              <w:spacing w:line="240" w:lineRule="exact"/>
              <w:jc w:val="both"/>
              <w:rPr>
                <w:rFonts w:ascii="Times New Roman"/>
                <w:color w:val="auto"/>
              </w:rPr>
            </w:pPr>
            <w:r>
              <w:rPr>
                <w:rFonts w:hint="eastAsia" w:ascii="Times New Roman"/>
                <w:color w:val="auto"/>
              </w:rPr>
              <w:t>各噪声源均采用相应的隔声、基础减震设备。</w:t>
            </w:r>
          </w:p>
        </w:tc>
      </w:tr>
      <w:bookmarkEnd w:id="209"/>
    </w:tbl>
    <w:p>
      <w:pPr>
        <w:ind w:firstLine="480"/>
        <w:rPr>
          <w:rFonts w:asciiTheme="minorEastAsia" w:hAnsiTheme="minorEastAsia" w:eastAsiaTheme="minorEastAsia"/>
          <w:szCs w:val="24"/>
        </w:rPr>
        <w:sectPr>
          <w:pgSz w:w="11906" w:h="16838"/>
          <w:pgMar w:top="1418" w:right="1134" w:bottom="1418" w:left="1134" w:header="851" w:footer="851" w:gutter="0"/>
          <w:cols w:space="425" w:num="1"/>
          <w:docGrid w:type="lines" w:linePitch="326" w:charSpace="0"/>
        </w:sectPr>
      </w:pPr>
    </w:p>
    <w:p>
      <w:pPr>
        <w:pStyle w:val="186"/>
        <w:adjustRightInd w:val="0"/>
        <w:snapToGrid w:val="0"/>
        <w:ind w:firstLine="480"/>
        <w:rPr>
          <w:rFonts w:ascii="Times New Roman" w:hAnsi="Times New Roman"/>
          <w:color w:val="auto"/>
        </w:rPr>
      </w:pPr>
      <w:bookmarkStart w:id="211" w:name="_Hlk530157884"/>
      <w:r>
        <w:rPr>
          <w:rFonts w:hint="eastAsia" w:ascii="Times New Roman" w:hAnsi="Times New Roman"/>
          <w:color w:val="auto"/>
        </w:rPr>
        <w:t>表</w:t>
      </w:r>
      <w:r>
        <w:rPr>
          <w:rFonts w:ascii="Times New Roman" w:hAnsi="Times New Roman"/>
          <w:color w:val="auto"/>
        </w:rPr>
        <w:t>4.1</w:t>
      </w:r>
      <w:r>
        <w:rPr>
          <w:rFonts w:hint="eastAsia" w:ascii="Times New Roman" w:hAnsi="Times New Roman"/>
          <w:color w:val="auto"/>
        </w:rPr>
        <w:t>—</w:t>
      </w:r>
      <w:r>
        <w:rPr>
          <w:rFonts w:ascii="Times New Roman" w:hAnsi="Times New Roman"/>
          <w:color w:val="auto"/>
        </w:rPr>
        <w:t xml:space="preserve">2                                    </w:t>
      </w:r>
      <w:r>
        <w:rPr>
          <w:rFonts w:hint="eastAsia" w:ascii="Times New Roman" w:hAnsi="Times New Roman"/>
          <w:color w:val="auto"/>
        </w:rPr>
        <w:t>与原批复环评对照表</w:t>
      </w:r>
    </w:p>
    <w:tbl>
      <w:tblPr>
        <w:tblStyle w:val="88"/>
        <w:tblW w:w="14041"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389"/>
        <w:gridCol w:w="472"/>
        <w:gridCol w:w="649"/>
        <w:gridCol w:w="5892"/>
        <w:gridCol w:w="20"/>
        <w:gridCol w:w="5142"/>
        <w:gridCol w:w="147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vMerge w:val="restart"/>
            <w:tcBorders>
              <w:top w:val="single" w:color="auto" w:sz="12" w:space="0"/>
              <w:left w:val="nil"/>
              <w:bottom w:val="single" w:color="auto" w:sz="12"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序号</w:t>
            </w:r>
          </w:p>
        </w:tc>
        <w:tc>
          <w:tcPr>
            <w:tcW w:w="1121" w:type="dxa"/>
            <w:gridSpan w:val="2"/>
            <w:vMerge w:val="restart"/>
            <w:tcBorders>
              <w:top w:val="single" w:color="auto" w:sz="12" w:space="0"/>
              <w:left w:val="dotted" w:color="auto" w:sz="4" w:space="0"/>
              <w:bottom w:val="single" w:color="auto" w:sz="12" w:space="0"/>
              <w:right w:val="dotted" w:color="auto" w:sz="4" w:space="0"/>
            </w:tcBorders>
            <w:vAlign w:val="center"/>
          </w:tcPr>
          <w:p>
            <w:pPr>
              <w:pStyle w:val="184"/>
              <w:spacing w:line="240" w:lineRule="exact"/>
              <w:rPr>
                <w:rFonts w:ascii="Times New Roman"/>
                <w:color w:val="FF0000"/>
                <w:lang w:val="zh-CN"/>
              </w:rPr>
            </w:pPr>
            <w:r>
              <w:rPr>
                <w:rFonts w:ascii="Times New Roman"/>
                <w:color w:val="FF0000"/>
              </w:rPr>
              <w:t>项目名称</w:t>
            </w:r>
          </w:p>
        </w:tc>
        <w:tc>
          <w:tcPr>
            <w:tcW w:w="11054" w:type="dxa"/>
            <w:gridSpan w:val="3"/>
            <w:tcBorders>
              <w:top w:val="single" w:color="auto" w:sz="12" w:space="0"/>
              <w:left w:val="dotted" w:color="auto" w:sz="4" w:space="0"/>
              <w:bottom w:val="dotted" w:color="auto" w:sz="4" w:space="0"/>
              <w:right w:val="dotted" w:color="auto" w:sz="4" w:space="0"/>
            </w:tcBorders>
            <w:vAlign w:val="center"/>
          </w:tcPr>
          <w:p>
            <w:pPr>
              <w:pStyle w:val="184"/>
              <w:spacing w:line="240" w:lineRule="exact"/>
              <w:ind w:firstLine="602"/>
              <w:rPr>
                <w:rFonts w:ascii="Times New Roman"/>
                <w:color w:val="FF0000"/>
              </w:rPr>
            </w:pPr>
            <w:r>
              <w:rPr>
                <w:rFonts w:ascii="Times New Roman"/>
                <w:color w:val="FF0000"/>
              </w:rPr>
              <w:t>建设内容及规模</w:t>
            </w:r>
          </w:p>
        </w:tc>
        <w:tc>
          <w:tcPr>
            <w:tcW w:w="1477" w:type="dxa"/>
            <w:tcBorders>
              <w:top w:val="single" w:color="auto" w:sz="12" w:space="0"/>
              <w:left w:val="dotted" w:color="auto" w:sz="4" w:space="0"/>
              <w:bottom w:val="dotted" w:color="auto" w:sz="4" w:space="0"/>
              <w:right w:val="nil"/>
            </w:tcBorders>
            <w:vAlign w:val="center"/>
          </w:tcPr>
          <w:p>
            <w:pPr>
              <w:pStyle w:val="184"/>
              <w:spacing w:line="240" w:lineRule="exact"/>
              <w:rPr>
                <w:rFonts w:ascii="Times New Roman"/>
                <w:color w:val="FF0000"/>
              </w:rPr>
            </w:pPr>
            <w:r>
              <w:rPr>
                <w:rFonts w:ascii="Times New Roman"/>
                <w:color w:val="FF0000"/>
              </w:rPr>
              <w:t>备注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vMerge w:val="continue"/>
            <w:tcBorders>
              <w:top w:val="single" w:color="auto" w:sz="12" w:space="0"/>
              <w:left w:val="nil"/>
              <w:bottom w:val="single" w:color="auto" w:sz="12" w:space="0"/>
              <w:right w:val="dotted" w:color="auto" w:sz="4" w:space="0"/>
            </w:tcBorders>
            <w:vAlign w:val="center"/>
          </w:tcPr>
          <w:p>
            <w:pPr>
              <w:widowControl/>
              <w:ind w:firstLine="420"/>
              <w:jc w:val="left"/>
              <w:rPr>
                <w:rFonts w:cs="Times New Roman"/>
                <w:color w:val="FF0000"/>
                <w:sz w:val="21"/>
                <w:lang w:val="zh-CN"/>
              </w:rPr>
            </w:pPr>
          </w:p>
        </w:tc>
        <w:tc>
          <w:tcPr>
            <w:tcW w:w="1121" w:type="dxa"/>
            <w:gridSpan w:val="2"/>
            <w:vMerge w:val="continue"/>
            <w:tcBorders>
              <w:top w:val="single" w:color="auto" w:sz="12" w:space="0"/>
              <w:left w:val="dotted" w:color="auto" w:sz="4" w:space="0"/>
              <w:bottom w:val="single" w:color="auto" w:sz="12" w:space="0"/>
              <w:right w:val="dotted" w:color="auto" w:sz="4" w:space="0"/>
            </w:tcBorders>
            <w:vAlign w:val="center"/>
          </w:tcPr>
          <w:p>
            <w:pPr>
              <w:widowControl/>
              <w:ind w:firstLine="420"/>
              <w:jc w:val="left"/>
              <w:rPr>
                <w:rFonts w:cs="Times New Roman"/>
                <w:color w:val="FF0000"/>
                <w:sz w:val="21"/>
                <w:lang w:val="zh-CN"/>
              </w:rPr>
            </w:pPr>
          </w:p>
        </w:tc>
        <w:tc>
          <w:tcPr>
            <w:tcW w:w="5892" w:type="dxa"/>
            <w:tcBorders>
              <w:top w:val="dotted" w:color="auto" w:sz="4" w:space="0"/>
              <w:left w:val="dotted" w:color="auto" w:sz="4" w:space="0"/>
              <w:bottom w:val="single" w:color="auto" w:sz="12" w:space="0"/>
              <w:right w:val="dotted" w:color="auto" w:sz="4" w:space="0"/>
            </w:tcBorders>
            <w:vAlign w:val="center"/>
          </w:tcPr>
          <w:p>
            <w:pPr>
              <w:pStyle w:val="184"/>
              <w:spacing w:line="240" w:lineRule="exact"/>
              <w:ind w:firstLine="602"/>
              <w:rPr>
                <w:rFonts w:ascii="Times New Roman"/>
                <w:color w:val="FF0000"/>
              </w:rPr>
            </w:pPr>
            <w:r>
              <w:rPr>
                <w:rFonts w:hint="eastAsia" w:ascii="Times New Roman"/>
                <w:color w:val="FF0000"/>
              </w:rPr>
              <w:t>改扩建</w:t>
            </w:r>
            <w:r>
              <w:rPr>
                <w:rFonts w:ascii="Times New Roman"/>
                <w:color w:val="FF0000"/>
              </w:rPr>
              <w:t>前</w:t>
            </w:r>
          </w:p>
        </w:tc>
        <w:tc>
          <w:tcPr>
            <w:tcW w:w="5162" w:type="dxa"/>
            <w:gridSpan w:val="2"/>
            <w:tcBorders>
              <w:top w:val="dotted" w:color="auto" w:sz="4" w:space="0"/>
              <w:left w:val="dotted" w:color="auto" w:sz="4" w:space="0"/>
              <w:bottom w:val="single" w:color="auto" w:sz="12" w:space="0"/>
              <w:right w:val="dotted" w:color="auto" w:sz="4" w:space="0"/>
            </w:tcBorders>
            <w:vAlign w:val="center"/>
          </w:tcPr>
          <w:p>
            <w:pPr>
              <w:pStyle w:val="184"/>
              <w:spacing w:line="240" w:lineRule="exact"/>
              <w:ind w:firstLine="602"/>
              <w:rPr>
                <w:rFonts w:ascii="Times New Roman"/>
                <w:color w:val="FF0000"/>
              </w:rPr>
            </w:pPr>
            <w:r>
              <w:rPr>
                <w:rFonts w:hint="eastAsia" w:ascii="Times New Roman"/>
                <w:color w:val="FF0000"/>
              </w:rPr>
              <w:t>改扩建</w:t>
            </w:r>
            <w:r>
              <w:rPr>
                <w:rFonts w:ascii="Times New Roman"/>
                <w:color w:val="FF0000"/>
              </w:rPr>
              <w:t>后</w:t>
            </w:r>
          </w:p>
        </w:tc>
        <w:tc>
          <w:tcPr>
            <w:tcW w:w="1477" w:type="dxa"/>
            <w:tcBorders>
              <w:top w:val="dotted" w:color="auto" w:sz="4" w:space="0"/>
              <w:left w:val="dotted" w:color="auto" w:sz="4" w:space="0"/>
              <w:bottom w:val="single" w:color="auto" w:sz="12" w:space="0"/>
              <w:right w:val="nil"/>
            </w:tcBorders>
            <w:vAlign w:val="center"/>
          </w:tcPr>
          <w:p>
            <w:pPr>
              <w:pStyle w:val="184"/>
              <w:spacing w:line="240" w:lineRule="exact"/>
              <w:ind w:firstLine="602"/>
              <w:rPr>
                <w:rFonts w:ascii="Times New Roman"/>
                <w:color w:val="FF000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single" w:color="auto" w:sz="12" w:space="0"/>
              <w:left w:val="nil"/>
              <w:bottom w:val="single" w:color="auto" w:sz="12"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1</w:t>
            </w:r>
          </w:p>
        </w:tc>
        <w:tc>
          <w:tcPr>
            <w:tcW w:w="13652" w:type="dxa"/>
            <w:gridSpan w:val="6"/>
            <w:tcBorders>
              <w:top w:val="single" w:color="auto" w:sz="12" w:space="0"/>
              <w:left w:val="dotted" w:color="auto" w:sz="4" w:space="0"/>
              <w:bottom w:val="single" w:color="auto" w:sz="12" w:space="0"/>
              <w:right w:val="nil"/>
            </w:tcBorders>
            <w:vAlign w:val="center"/>
          </w:tcPr>
          <w:p>
            <w:pPr>
              <w:pStyle w:val="184"/>
              <w:spacing w:line="240" w:lineRule="exact"/>
              <w:rPr>
                <w:rFonts w:ascii="Times New Roman"/>
                <w:color w:val="FF0000"/>
              </w:rPr>
            </w:pPr>
            <w:r>
              <w:rPr>
                <w:rFonts w:ascii="Times New Roman"/>
                <w:color w:val="FF0000"/>
                <w:lang w:val="zh-CN"/>
              </w:rPr>
              <w:t>主体工程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1.1</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color w:val="FF0000"/>
                <w:kern w:val="2"/>
                <w:lang w:eastAsia="zh-CN"/>
              </w:rPr>
            </w:pPr>
            <w:r>
              <w:rPr>
                <w:rFonts w:cs="Times New Roman"/>
                <w:color w:val="FF0000"/>
                <w:kern w:val="2"/>
                <w:lang w:eastAsia="zh-CN"/>
              </w:rPr>
              <w:t>物化车间</w:t>
            </w:r>
          </w:p>
        </w:tc>
        <w:tc>
          <w:tcPr>
            <w:tcW w:w="5892" w:type="dxa"/>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废酸碱处理系统主要包括1套中和反应釜、澄清池、搅拌机、输送泵、板框压滤机、盛装容器等设备，废碱的处理能力为1000t/a，废酸的处理能力为1000t/a。</w:t>
            </w:r>
          </w:p>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废乳化液处理系统主要包括1套</w:t>
            </w:r>
            <w:r>
              <w:rPr>
                <w:rFonts w:ascii="Times New Roman" w:cs="Times New Roman"/>
                <w:color w:val="FF0000"/>
                <w:sz w:val="21"/>
              </w:rPr>
              <w:t>涡凹气浮机</w:t>
            </w:r>
            <w:r>
              <w:rPr>
                <w:rFonts w:ascii="Times New Roman" w:hAnsi="Times New Roman" w:cs="Times New Roman"/>
                <w:color w:val="FF0000"/>
                <w:sz w:val="21"/>
              </w:rPr>
              <w:t>、PAC加药装置、PAM加药装置、隔油池、沉淀池等设备，废乳化液处理能力为200t/a。</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废酸碱处理系统</w:t>
            </w:r>
            <w:r>
              <w:rPr>
                <w:rFonts w:hint="eastAsia" w:ascii="Times New Roman" w:hAnsi="Times New Roman" w:cs="Times New Roman"/>
                <w:color w:val="FF0000"/>
                <w:sz w:val="21"/>
              </w:rPr>
              <w:t>主要工艺不变</w:t>
            </w:r>
            <w:r>
              <w:rPr>
                <w:rFonts w:ascii="Times New Roman" w:hAnsi="Times New Roman" w:cs="Times New Roman"/>
                <w:color w:val="FF0000"/>
                <w:sz w:val="21"/>
              </w:rPr>
              <w:t>，废碱的处理能力为10000t/a，废酸的处理能力为10000t/a。</w:t>
            </w:r>
          </w:p>
          <w:p>
            <w:pPr>
              <w:pStyle w:val="183"/>
              <w:spacing w:line="240" w:lineRule="exact"/>
              <w:ind w:firstLine="0" w:firstLineChars="0"/>
              <w:jc w:val="left"/>
              <w:rPr>
                <w:rFonts w:ascii="Times New Roman" w:hAnsi="Times New Roman" w:cs="Times New Roman"/>
                <w:color w:val="FF0000"/>
                <w:sz w:val="21"/>
              </w:rPr>
            </w:pPr>
            <w:r>
              <w:rPr>
                <w:rFonts w:ascii="Times New Roman" w:hAnsi="Times New Roman" w:cs="Times New Roman"/>
                <w:color w:val="FF0000"/>
                <w:sz w:val="21"/>
              </w:rPr>
              <w:t>废乳化液处理</w:t>
            </w:r>
            <w:r>
              <w:rPr>
                <w:rFonts w:hint="eastAsia" w:ascii="Times New Roman" w:hAnsi="Times New Roman" w:cs="Times New Roman"/>
                <w:color w:val="FF0000"/>
                <w:sz w:val="21"/>
              </w:rPr>
              <w:t>工艺不变，</w:t>
            </w:r>
            <w:r>
              <w:rPr>
                <w:rFonts w:ascii="Times New Roman" w:hAnsi="Times New Roman" w:cs="Times New Roman"/>
                <w:color w:val="FF0000"/>
                <w:sz w:val="21"/>
              </w:rPr>
              <w:t>废乳化液处理能力为3000t/a。</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jc w:val="center"/>
              <w:rPr>
                <w:rFonts w:ascii="Times New Roman" w:hAnsi="Times New Roman" w:cs="Times New Roman"/>
                <w:color w:val="FF0000"/>
                <w:sz w:val="21"/>
              </w:rPr>
            </w:pPr>
            <w:r>
              <w:rPr>
                <w:rFonts w:ascii="Times New Roman" w:hAnsi="Times New Roman" w:cs="Times New Roman"/>
                <w:color w:val="FF0000"/>
                <w:sz w:val="21"/>
              </w:rPr>
              <w:t>规模扩大，工艺不变</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1.2</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color w:val="FF0000"/>
                <w:kern w:val="2"/>
                <w:lang w:eastAsia="zh-CN"/>
              </w:rPr>
            </w:pPr>
            <w:r>
              <w:rPr>
                <w:rFonts w:cs="Times New Roman"/>
                <w:color w:val="FF0000"/>
                <w:kern w:val="2"/>
                <w:lang w:eastAsia="zh-CN"/>
              </w:rPr>
              <w:t>焚烧车间</w:t>
            </w:r>
          </w:p>
        </w:tc>
        <w:tc>
          <w:tcPr>
            <w:tcW w:w="5892" w:type="dxa"/>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主要包括暂存及预处理、配伍及进料系统，灰、渣输送系统，1套回转窑+二燃室焚烧系统+SNCR脱硝系统+旋风收尘器+余热锅炉+急冷脱酸塔+干式反应器+袋式除尘器+喷淋洗涤塔+引风排烟系统等，处理能力为15t/d。</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主要包括暂存及预处理、配伍及进料系统，灰、渣输送系统，</w:t>
            </w:r>
            <w:r>
              <w:rPr>
                <w:rFonts w:hint="eastAsia" w:ascii="Times New Roman" w:hAnsi="Times New Roman" w:cs="Times New Roman"/>
                <w:color w:val="FF0000"/>
                <w:sz w:val="21"/>
              </w:rPr>
              <w:t>2</w:t>
            </w:r>
            <w:r>
              <w:rPr>
                <w:rFonts w:ascii="Times New Roman" w:hAnsi="Times New Roman" w:cs="Times New Roman"/>
                <w:color w:val="FF0000"/>
                <w:sz w:val="21"/>
              </w:rPr>
              <w:t>套回转窑+二燃室焚烧系统+SNCR脱硝系统+余热锅炉+急冷脱酸塔+干式反应器+袋式除尘器+喷淋洗涤塔</w:t>
            </w:r>
            <w:r>
              <w:rPr>
                <w:rFonts w:hint="eastAsia" w:ascii="Times New Roman" w:hAnsi="Times New Roman" w:cs="Times New Roman"/>
                <w:color w:val="FF0000"/>
                <w:sz w:val="21"/>
              </w:rPr>
              <w:t>+湿电除尘</w:t>
            </w:r>
            <w:r>
              <w:rPr>
                <w:rFonts w:ascii="Times New Roman" w:hAnsi="Times New Roman" w:cs="Times New Roman"/>
                <w:color w:val="FF0000"/>
                <w:sz w:val="21"/>
              </w:rPr>
              <w:t>+引风排烟系统等，处理能力为100t/d。</w:t>
            </w:r>
            <w:r>
              <w:rPr>
                <w:rFonts w:hint="eastAsia" w:ascii="Times New Roman" w:hAnsi="Times New Roman" w:cs="Times New Roman"/>
                <w:color w:val="FF0000"/>
                <w:sz w:val="21"/>
              </w:rPr>
              <w:t>分期建设。</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jc w:val="center"/>
              <w:rPr>
                <w:rFonts w:ascii="Times New Roman" w:hAnsi="Times New Roman" w:cs="Times New Roman"/>
                <w:color w:val="FF0000"/>
                <w:sz w:val="21"/>
              </w:rPr>
            </w:pPr>
            <w:r>
              <w:rPr>
                <w:rFonts w:ascii="Times New Roman" w:hAnsi="Times New Roman" w:cs="Times New Roman"/>
                <w:color w:val="FF0000"/>
                <w:sz w:val="21"/>
              </w:rPr>
              <w:t>规模扩大，</w:t>
            </w:r>
            <w:r>
              <w:rPr>
                <w:rFonts w:hint="eastAsia" w:ascii="Times New Roman" w:hAnsi="Times New Roman" w:cs="Times New Roman"/>
                <w:color w:val="FF0000"/>
                <w:sz w:val="21"/>
              </w:rPr>
              <w:t>废气处理</w:t>
            </w:r>
            <w:r>
              <w:rPr>
                <w:rFonts w:ascii="Times New Roman" w:hAnsi="Times New Roman" w:cs="Times New Roman"/>
                <w:color w:val="FF0000"/>
                <w:sz w:val="21"/>
              </w:rPr>
              <w:t>工艺</w:t>
            </w:r>
            <w:r>
              <w:rPr>
                <w:rFonts w:hint="eastAsia" w:ascii="Times New Roman" w:hAnsi="Times New Roman" w:cs="Times New Roman"/>
                <w:color w:val="FF0000"/>
                <w:sz w:val="21"/>
              </w:rPr>
              <w:t>调整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1.3</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color w:val="FF0000"/>
                <w:kern w:val="2"/>
                <w:lang w:eastAsia="zh-CN"/>
              </w:rPr>
            </w:pPr>
            <w:r>
              <w:rPr>
                <w:rFonts w:cs="Times New Roman"/>
                <w:color w:val="FF0000"/>
                <w:kern w:val="2"/>
                <w:lang w:eastAsia="zh-CN"/>
              </w:rPr>
              <w:t>固化车间</w:t>
            </w:r>
          </w:p>
        </w:tc>
        <w:tc>
          <w:tcPr>
            <w:tcW w:w="5892" w:type="dxa"/>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jc w:val="left"/>
              <w:rPr>
                <w:rFonts w:ascii="Times New Roman" w:hAnsi="Times New Roman" w:cs="Times New Roman"/>
                <w:color w:val="FF0000"/>
                <w:sz w:val="21"/>
              </w:rPr>
            </w:pPr>
            <w:r>
              <w:rPr>
                <w:rFonts w:ascii="Times New Roman" w:hAnsi="Times New Roman" w:cs="Times New Roman"/>
                <w:color w:val="FF0000"/>
                <w:sz w:val="21"/>
              </w:rPr>
              <w:t>主要包括搅拌机、成型机、单斗提升机及养护设施等，处理能力为60t/d。</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主要</w:t>
            </w:r>
            <w:r>
              <w:rPr>
                <w:rFonts w:hint="eastAsia" w:ascii="Times New Roman" w:hAnsi="Times New Roman" w:cs="Times New Roman"/>
                <w:color w:val="FF0000"/>
                <w:sz w:val="21"/>
              </w:rPr>
              <w:t>工艺和设施不变</w:t>
            </w:r>
            <w:r>
              <w:rPr>
                <w:rFonts w:ascii="Times New Roman" w:hAnsi="Times New Roman" w:cs="Times New Roman"/>
                <w:color w:val="FF0000"/>
                <w:sz w:val="21"/>
              </w:rPr>
              <w:t>，处理能力为</w:t>
            </w:r>
            <w:r>
              <w:rPr>
                <w:rFonts w:hint="eastAsia" w:ascii="Times New Roman" w:hAnsi="Times New Roman" w:cs="Times New Roman"/>
                <w:color w:val="FF0000"/>
                <w:sz w:val="21"/>
              </w:rPr>
              <w:t>9</w:t>
            </w:r>
            <w:r>
              <w:rPr>
                <w:rFonts w:ascii="Times New Roman" w:hAnsi="Times New Roman" w:cs="Times New Roman"/>
                <w:color w:val="FF0000"/>
                <w:sz w:val="21"/>
              </w:rPr>
              <w:t>0t/d。</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jc w:val="center"/>
              <w:rPr>
                <w:rFonts w:ascii="Times New Roman" w:hAnsi="Times New Roman" w:cs="Times New Roman"/>
                <w:color w:val="FF0000"/>
                <w:sz w:val="21"/>
              </w:rPr>
            </w:pPr>
            <w:r>
              <w:rPr>
                <w:rFonts w:ascii="Times New Roman" w:hAnsi="Times New Roman" w:cs="Times New Roman"/>
                <w:color w:val="FF0000"/>
                <w:sz w:val="21"/>
              </w:rPr>
              <w:t>规模扩大，工艺不变</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single" w:color="auto" w:sz="12" w:space="0"/>
              <w:left w:val="nil"/>
              <w:bottom w:val="single" w:color="auto" w:sz="12"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2</w:t>
            </w:r>
          </w:p>
        </w:tc>
        <w:tc>
          <w:tcPr>
            <w:tcW w:w="13652" w:type="dxa"/>
            <w:gridSpan w:val="6"/>
            <w:tcBorders>
              <w:top w:val="single" w:color="auto" w:sz="12" w:space="0"/>
              <w:left w:val="dotted" w:color="auto" w:sz="4" w:space="0"/>
              <w:bottom w:val="single" w:color="auto" w:sz="12" w:space="0"/>
              <w:right w:val="nil"/>
            </w:tcBorders>
            <w:vAlign w:val="center"/>
          </w:tcPr>
          <w:p>
            <w:pPr>
              <w:pStyle w:val="184"/>
              <w:spacing w:line="240" w:lineRule="exact"/>
              <w:rPr>
                <w:rFonts w:ascii="Times New Roman"/>
                <w:color w:val="FF0000"/>
                <w:lang w:val="zh-CN"/>
              </w:rPr>
            </w:pPr>
            <w:r>
              <w:rPr>
                <w:rFonts w:ascii="Times New Roman"/>
                <w:color w:val="FF0000"/>
                <w:lang w:val="zh-CN"/>
              </w:rPr>
              <w:t>公用和辅助工程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single" w:color="auto" w:sz="12" w:space="0"/>
              <w:left w:val="nil"/>
              <w:bottom w:val="dotted" w:color="auto" w:sz="4"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2.1</w:t>
            </w:r>
          </w:p>
        </w:tc>
        <w:tc>
          <w:tcPr>
            <w:tcW w:w="1121" w:type="dxa"/>
            <w:gridSpan w:val="2"/>
            <w:tcBorders>
              <w:top w:val="single" w:color="auto" w:sz="12"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供水</w:t>
            </w:r>
          </w:p>
        </w:tc>
        <w:tc>
          <w:tcPr>
            <w:tcW w:w="11054" w:type="dxa"/>
            <w:gridSpan w:val="3"/>
            <w:tcBorders>
              <w:top w:val="single" w:color="auto" w:sz="12"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cs="Times New Roman"/>
                <w:color w:val="FF0000"/>
                <w:sz w:val="21"/>
              </w:rPr>
              <w:t>全厂用水由内蒙古阿拉善腾格里经济技术开发区供水工程统一集中供给。</w:t>
            </w:r>
          </w:p>
        </w:tc>
        <w:tc>
          <w:tcPr>
            <w:tcW w:w="1477" w:type="dxa"/>
            <w:tcBorders>
              <w:top w:val="single" w:color="auto" w:sz="12"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与改扩建前保持一致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2.2</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排水</w:t>
            </w:r>
          </w:p>
        </w:tc>
        <w:tc>
          <w:tcPr>
            <w:tcW w:w="5892" w:type="dxa"/>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highlight w:val="yellow"/>
              </w:rPr>
            </w:pPr>
            <w:r>
              <w:rPr>
                <w:rFonts w:ascii="Times New Roman" w:cs="Times New Roman"/>
                <w:color w:val="FF0000"/>
                <w:sz w:val="21"/>
              </w:rPr>
              <w:t>本项目焚烧车间喷淋洗涤塔排水由本车间污水处理模块经</w:t>
            </w:r>
            <w:r>
              <w:rPr>
                <w:rFonts w:ascii="Times New Roman" w:hAnsi="Times New Roman" w:cs="Times New Roman"/>
                <w:color w:val="FF0000"/>
                <w:sz w:val="21"/>
              </w:rPr>
              <w:t>“</w:t>
            </w:r>
            <w:r>
              <w:rPr>
                <w:rFonts w:ascii="Times New Roman" w:cs="Times New Roman"/>
                <w:color w:val="FF0000"/>
                <w:sz w:val="21"/>
              </w:rPr>
              <w:t>絮凝沉淀</w:t>
            </w:r>
            <w:r>
              <w:rPr>
                <w:rFonts w:ascii="Times New Roman" w:hAnsi="Times New Roman" w:cs="Times New Roman"/>
                <w:color w:val="FF0000"/>
                <w:sz w:val="21"/>
              </w:rPr>
              <w:t>”</w:t>
            </w:r>
            <w:r>
              <w:rPr>
                <w:rFonts w:ascii="Times New Roman" w:cs="Times New Roman"/>
                <w:color w:val="FF0000"/>
                <w:sz w:val="21"/>
              </w:rPr>
              <w:t>处理后送至物化车间污水处理模块；物化车间澄清池排水和沉淀池废水经</w:t>
            </w:r>
            <w:r>
              <w:rPr>
                <w:rFonts w:ascii="Times New Roman" w:hAnsi="Times New Roman" w:cs="Times New Roman"/>
                <w:color w:val="FF0000"/>
                <w:sz w:val="21"/>
              </w:rPr>
              <w:t>“</w:t>
            </w:r>
            <w:r>
              <w:rPr>
                <w:rFonts w:ascii="Times New Roman" w:cs="Times New Roman"/>
                <w:color w:val="FF0000"/>
                <w:sz w:val="21"/>
              </w:rPr>
              <w:t>絮凝沉淀</w:t>
            </w:r>
            <w:r>
              <w:rPr>
                <w:rFonts w:ascii="Times New Roman" w:hAnsi="Times New Roman" w:cs="Times New Roman"/>
                <w:color w:val="FF0000"/>
                <w:sz w:val="21"/>
              </w:rPr>
              <w:t>”</w:t>
            </w:r>
            <w:r>
              <w:rPr>
                <w:rFonts w:ascii="Times New Roman" w:cs="Times New Roman"/>
                <w:color w:val="FF0000"/>
                <w:sz w:val="21"/>
              </w:rPr>
              <w:t>处理后，与焚烧车间污水处理模块排水、污水处理站排浓水采用</w:t>
            </w:r>
            <w:r>
              <w:rPr>
                <w:rFonts w:ascii="Times New Roman" w:hAnsi="Times New Roman" w:cs="Times New Roman"/>
                <w:color w:val="FF0000"/>
                <w:sz w:val="21"/>
              </w:rPr>
              <w:t>“Fenton+</w:t>
            </w:r>
            <w:r>
              <w:rPr>
                <w:rFonts w:ascii="Times New Roman" w:cs="Times New Roman"/>
                <w:color w:val="FF0000"/>
                <w:sz w:val="21"/>
              </w:rPr>
              <w:t>强制循环蒸发</w:t>
            </w:r>
            <w:r>
              <w:rPr>
                <w:rFonts w:ascii="Times New Roman" w:hAnsi="Times New Roman" w:cs="Times New Roman"/>
                <w:color w:val="FF0000"/>
                <w:sz w:val="21"/>
              </w:rPr>
              <w:t>”</w:t>
            </w:r>
            <w:r>
              <w:rPr>
                <w:rFonts w:ascii="Times New Roman" w:cs="Times New Roman"/>
                <w:color w:val="FF0000"/>
                <w:sz w:val="21"/>
              </w:rPr>
              <w:t>的方法进行处理，处理后的冷凝液与冲洗废水、化验用水、安全填埋场渗滤液以及生活污水送至全厂污水处理站，经</w:t>
            </w:r>
            <w:r>
              <w:rPr>
                <w:rFonts w:ascii="Times New Roman" w:hAnsi="Times New Roman" w:cs="Times New Roman"/>
                <w:color w:val="FF0000"/>
                <w:sz w:val="21"/>
              </w:rPr>
              <w:t>“</w:t>
            </w:r>
            <w:r>
              <w:rPr>
                <w:rFonts w:ascii="Times New Roman" w:cs="Times New Roman"/>
                <w:color w:val="FF0000"/>
                <w:sz w:val="21"/>
              </w:rPr>
              <w:t>絮凝沉淀</w:t>
            </w:r>
            <w:r>
              <w:rPr>
                <w:rFonts w:ascii="Times New Roman" w:hAnsi="Times New Roman" w:cs="Times New Roman"/>
                <w:color w:val="FF0000"/>
                <w:sz w:val="21"/>
              </w:rPr>
              <w:t>+</w:t>
            </w:r>
            <w:r>
              <w:rPr>
                <w:rFonts w:ascii="Times New Roman" w:cs="Times New Roman"/>
                <w:color w:val="FF0000"/>
                <w:sz w:val="21"/>
              </w:rPr>
              <w:t>水解酸化</w:t>
            </w:r>
            <w:r>
              <w:rPr>
                <w:rFonts w:ascii="Times New Roman" w:hAnsi="Times New Roman" w:cs="Times New Roman"/>
                <w:color w:val="FF0000"/>
                <w:sz w:val="21"/>
              </w:rPr>
              <w:t>+MBR+</w:t>
            </w:r>
            <w:r>
              <w:rPr>
                <w:rFonts w:ascii="Times New Roman" w:cs="Times New Roman"/>
                <w:color w:val="FF0000"/>
                <w:sz w:val="21"/>
              </w:rPr>
              <w:t>回用系统</w:t>
            </w:r>
            <w:r>
              <w:rPr>
                <w:rFonts w:ascii="Times New Roman" w:hAnsi="Times New Roman" w:cs="Times New Roman"/>
                <w:color w:val="FF0000"/>
                <w:sz w:val="21"/>
              </w:rPr>
              <w:t>”</w:t>
            </w:r>
            <w:r>
              <w:rPr>
                <w:rFonts w:ascii="Times New Roman" w:cs="Times New Roman"/>
                <w:color w:val="FF0000"/>
                <w:sz w:val="21"/>
              </w:rPr>
              <w:t>处理后，出水部分回用至固化车间，其余回用至焚烧车间，浓水送至物化车间污水处理模块。本项目循环水系统排水、物化车间酸雾吸收塔排水、余热锅炉排水及软化水系统排水等直接送至焚烧车间进行综合利用。</w:t>
            </w:r>
            <w:r>
              <w:rPr>
                <w:rFonts w:ascii="Times New Roman" w:cs="Times New Roman"/>
                <w:color w:val="FF0000"/>
                <w:sz w:val="21"/>
                <w:lang w:val="pt-BR"/>
              </w:rPr>
              <w:t>本项目处理后的废水全部回用于各生产工段，全厂无废水外排。</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highlight w:val="yellow"/>
              </w:rPr>
            </w:pPr>
            <w:r>
              <w:rPr>
                <w:rFonts w:ascii="Times New Roman" w:cs="Times New Roman"/>
                <w:color w:val="FF0000"/>
                <w:sz w:val="21"/>
              </w:rPr>
              <w:t>本项目物化车间澄清池排水和沉淀池废水经</w:t>
            </w:r>
            <w:r>
              <w:rPr>
                <w:rFonts w:ascii="Times New Roman" w:hAnsi="Times New Roman" w:cs="Times New Roman"/>
                <w:color w:val="FF0000"/>
                <w:sz w:val="21"/>
              </w:rPr>
              <w:t>“</w:t>
            </w:r>
            <w:r>
              <w:rPr>
                <w:rFonts w:ascii="Times New Roman" w:cs="Times New Roman"/>
                <w:color w:val="FF0000"/>
                <w:sz w:val="21"/>
              </w:rPr>
              <w:t>絮凝沉淀</w:t>
            </w:r>
            <w:r>
              <w:rPr>
                <w:rFonts w:ascii="Times New Roman" w:hAnsi="Times New Roman" w:cs="Times New Roman"/>
                <w:color w:val="FF0000"/>
                <w:sz w:val="21"/>
              </w:rPr>
              <w:t>”</w:t>
            </w:r>
            <w:r>
              <w:rPr>
                <w:rFonts w:ascii="Times New Roman" w:cs="Times New Roman"/>
                <w:color w:val="FF0000"/>
                <w:sz w:val="21"/>
              </w:rPr>
              <w:t>处理后排水、焚烧车间喷淋洗涤塔排水由本车间污水处理模块经</w:t>
            </w:r>
            <w:r>
              <w:rPr>
                <w:rFonts w:ascii="Times New Roman" w:hAnsi="Times New Roman" w:cs="Times New Roman"/>
                <w:color w:val="FF0000"/>
                <w:sz w:val="21"/>
              </w:rPr>
              <w:t>“</w:t>
            </w:r>
            <w:r>
              <w:rPr>
                <w:rFonts w:ascii="Times New Roman" w:cs="Times New Roman"/>
                <w:color w:val="FF0000"/>
                <w:sz w:val="21"/>
              </w:rPr>
              <w:t>絮凝沉淀</w:t>
            </w:r>
            <w:r>
              <w:rPr>
                <w:rFonts w:ascii="Times New Roman" w:hAnsi="Times New Roman" w:cs="Times New Roman"/>
                <w:color w:val="FF0000"/>
                <w:sz w:val="21"/>
              </w:rPr>
              <w:t>”</w:t>
            </w:r>
            <w:r>
              <w:rPr>
                <w:rFonts w:ascii="Times New Roman" w:cs="Times New Roman"/>
                <w:color w:val="FF0000"/>
                <w:sz w:val="21"/>
              </w:rPr>
              <w:t>处理后排水、冲洗废水、安全填埋场渗滤液、物化车间酸雾吸收塔排水、循环水系统排水、余热锅炉排水及软化水系统排水、污水处理站排浓水进污水处理站采用</w:t>
            </w:r>
            <w:r>
              <w:rPr>
                <w:rFonts w:ascii="Times New Roman" w:hAnsi="Times New Roman" w:cs="Times New Roman"/>
                <w:color w:val="FF0000"/>
                <w:sz w:val="21"/>
              </w:rPr>
              <w:t>“Fenton+</w:t>
            </w:r>
            <w:r>
              <w:rPr>
                <w:rFonts w:ascii="Times New Roman" w:cs="Times New Roman"/>
                <w:color w:val="FF0000"/>
                <w:sz w:val="21"/>
              </w:rPr>
              <w:t>强制循环蒸发</w:t>
            </w:r>
            <w:r>
              <w:rPr>
                <w:rFonts w:ascii="Times New Roman" w:hAnsi="Times New Roman" w:cs="Times New Roman"/>
                <w:color w:val="FF0000"/>
                <w:sz w:val="21"/>
              </w:rPr>
              <w:t>”</w:t>
            </w:r>
            <w:r>
              <w:rPr>
                <w:rFonts w:ascii="Times New Roman" w:cs="Times New Roman"/>
                <w:color w:val="FF0000"/>
                <w:sz w:val="21"/>
              </w:rPr>
              <w:t>的方法进行处理，处理后的冷凝液与化验用水以及生活污水送至污水处理站，经</w:t>
            </w:r>
            <w:r>
              <w:rPr>
                <w:rFonts w:ascii="Times New Roman" w:hAnsi="Times New Roman" w:cs="Times New Roman"/>
                <w:color w:val="FF0000"/>
                <w:sz w:val="21"/>
              </w:rPr>
              <w:t>“</w:t>
            </w:r>
            <w:r>
              <w:rPr>
                <w:rFonts w:ascii="Times New Roman" w:cs="Times New Roman"/>
                <w:color w:val="FF0000"/>
                <w:sz w:val="21"/>
              </w:rPr>
              <w:t>絮凝沉淀</w:t>
            </w:r>
            <w:r>
              <w:rPr>
                <w:rFonts w:ascii="Times New Roman" w:hAnsi="Times New Roman" w:cs="Times New Roman"/>
                <w:color w:val="FF0000"/>
                <w:sz w:val="21"/>
              </w:rPr>
              <w:t>+</w:t>
            </w:r>
            <w:r>
              <w:rPr>
                <w:rFonts w:ascii="Times New Roman" w:cs="Times New Roman"/>
                <w:color w:val="FF0000"/>
                <w:sz w:val="21"/>
              </w:rPr>
              <w:t>水解酸化</w:t>
            </w:r>
            <w:r>
              <w:rPr>
                <w:rFonts w:ascii="Times New Roman" w:hAnsi="Times New Roman" w:cs="Times New Roman"/>
                <w:color w:val="FF0000"/>
                <w:sz w:val="21"/>
              </w:rPr>
              <w:t>+MBR+</w:t>
            </w:r>
            <w:r>
              <w:rPr>
                <w:rFonts w:ascii="Times New Roman" w:cs="Times New Roman"/>
                <w:color w:val="FF0000"/>
                <w:sz w:val="21"/>
              </w:rPr>
              <w:t>回用系统</w:t>
            </w:r>
            <w:r>
              <w:rPr>
                <w:rFonts w:ascii="Times New Roman" w:hAnsi="Times New Roman" w:cs="Times New Roman"/>
                <w:color w:val="FF0000"/>
                <w:sz w:val="21"/>
              </w:rPr>
              <w:t>”</w:t>
            </w:r>
            <w:r>
              <w:rPr>
                <w:rFonts w:ascii="Times New Roman" w:cs="Times New Roman"/>
                <w:color w:val="FF0000"/>
                <w:sz w:val="21"/>
              </w:rPr>
              <w:t>处理后，出水部分回用至固化车间，其余回用至焚烧车间，浓水送至固化车间。</w:t>
            </w:r>
            <w:r>
              <w:rPr>
                <w:rFonts w:ascii="Times New Roman" w:cs="Times New Roman"/>
                <w:color w:val="FF0000"/>
                <w:sz w:val="21"/>
                <w:lang w:val="pt-BR"/>
              </w:rPr>
              <w:t>本项目处理后的废水全部回用于各生产工段，全厂无废水外排。</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规模扩大，</w:t>
            </w:r>
            <w:r>
              <w:rPr>
                <w:rFonts w:hint="eastAsia" w:ascii="Times New Roman" w:hAnsi="Times New Roman" w:cs="Times New Roman"/>
                <w:color w:val="FF0000"/>
                <w:sz w:val="21"/>
              </w:rPr>
              <w:t>污水处理去向调整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2.3</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供汽及供热</w:t>
            </w:r>
          </w:p>
        </w:tc>
        <w:tc>
          <w:tcPr>
            <w:tcW w:w="5892" w:type="dxa"/>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rPr>
                <w:rFonts w:cs="Times New Roman"/>
                <w:color w:val="FF0000"/>
                <w:sz w:val="21"/>
              </w:rPr>
            </w:pPr>
            <w:r>
              <w:rPr>
                <w:rFonts w:cs="Times New Roman"/>
                <w:color w:val="FF0000"/>
                <w:sz w:val="21"/>
              </w:rPr>
              <w:t>焚烧车间建设1台余热锅炉，向危废综合处置厂全厂提供蒸汽及供热，余热锅炉产生蒸汽为0.80MPa、180</w:t>
            </w:r>
            <w:r>
              <w:rPr>
                <w:rFonts w:hint="eastAsia" w:ascii="宋体" w:hAnsi="宋体" w:cs="宋体"/>
                <w:color w:val="FF0000"/>
                <w:sz w:val="21"/>
              </w:rPr>
              <w:t>℃</w:t>
            </w:r>
            <w:r>
              <w:rPr>
                <w:rFonts w:cs="Times New Roman"/>
                <w:color w:val="FF0000"/>
                <w:sz w:val="21"/>
              </w:rPr>
              <w:t>，产汽量为2.45t/h。另外在危废综合处置厂设置一台3t/h的备用电锅炉。</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rPr>
                <w:rFonts w:cs="Times New Roman"/>
                <w:color w:val="FF0000"/>
                <w:sz w:val="21"/>
              </w:rPr>
            </w:pPr>
            <w:r>
              <w:rPr>
                <w:rFonts w:cs="Times New Roman"/>
                <w:color w:val="FF0000"/>
                <w:sz w:val="21"/>
              </w:rPr>
              <w:t>焚烧车间建设1台余热锅炉，向危废综合处置厂全厂提供蒸汽及供热，余热锅炉产生蒸汽为0.80MPa、180</w:t>
            </w:r>
            <w:r>
              <w:rPr>
                <w:rFonts w:hint="eastAsia" w:ascii="宋体" w:hAnsi="宋体" w:cs="宋体"/>
                <w:color w:val="FF0000"/>
                <w:sz w:val="21"/>
              </w:rPr>
              <w:t>℃</w:t>
            </w:r>
            <w:r>
              <w:rPr>
                <w:rFonts w:cs="Times New Roman"/>
                <w:color w:val="FF0000"/>
                <w:sz w:val="21"/>
              </w:rPr>
              <w:t>，产汽量为5t/h。另外在危废综合处置厂设置一台</w:t>
            </w:r>
            <w:r>
              <w:rPr>
                <w:rFonts w:hint="eastAsia" w:cs="Times New Roman"/>
                <w:color w:val="FF0000"/>
                <w:sz w:val="21"/>
              </w:rPr>
              <w:t>10</w:t>
            </w:r>
            <w:r>
              <w:rPr>
                <w:rFonts w:cs="Times New Roman"/>
                <w:color w:val="FF0000"/>
                <w:sz w:val="21"/>
              </w:rPr>
              <w:t>t/h的备用</w:t>
            </w:r>
            <w:r>
              <w:rPr>
                <w:rFonts w:hint="eastAsia" w:cs="Times New Roman"/>
                <w:color w:val="FF0000"/>
                <w:sz w:val="21"/>
              </w:rPr>
              <w:t>燃气</w:t>
            </w:r>
            <w:r>
              <w:rPr>
                <w:rFonts w:cs="Times New Roman"/>
                <w:color w:val="FF0000"/>
                <w:sz w:val="21"/>
              </w:rPr>
              <w:t>锅炉。</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规模扩大，工艺不变</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FF0000"/>
                <w:lang w:val="zh-CN"/>
              </w:rPr>
            </w:pPr>
            <w:r>
              <w:rPr>
                <w:rFonts w:ascii="Times New Roman"/>
                <w:color w:val="FF0000"/>
                <w:lang w:val="zh-CN"/>
              </w:rPr>
              <w:t>2.4</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供配电</w:t>
            </w:r>
          </w:p>
        </w:tc>
        <w:tc>
          <w:tcPr>
            <w:tcW w:w="5892" w:type="dxa"/>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cs="Times New Roman"/>
                <w:color w:val="FF0000"/>
                <w:sz w:val="21"/>
              </w:rPr>
              <w:t>在本项目两个厂区分别设置一座</w:t>
            </w:r>
            <w:r>
              <w:rPr>
                <w:rFonts w:ascii="Times New Roman" w:hAnsi="Times New Roman" w:cs="Times New Roman"/>
                <w:color w:val="FF0000"/>
                <w:sz w:val="21"/>
              </w:rPr>
              <w:t>10kV</w:t>
            </w:r>
            <w:r>
              <w:rPr>
                <w:rFonts w:ascii="Times New Roman" w:cs="Times New Roman"/>
                <w:color w:val="FF0000"/>
                <w:sz w:val="21"/>
              </w:rPr>
              <w:t>的变电站。变电所设</w:t>
            </w:r>
            <w:r>
              <w:rPr>
                <w:rFonts w:ascii="Times New Roman" w:hAnsi="Times New Roman" w:cs="Times New Roman"/>
                <w:color w:val="FF0000"/>
                <w:sz w:val="21"/>
              </w:rPr>
              <w:t>10kV</w:t>
            </w:r>
            <w:r>
              <w:rPr>
                <w:rFonts w:ascii="Times New Roman" w:cs="Times New Roman"/>
                <w:color w:val="FF0000"/>
                <w:sz w:val="21"/>
              </w:rPr>
              <w:t>配电间、变压器及低压配电间、值班间。变电所内设高、低压配电装置和一台</w:t>
            </w:r>
            <w:r>
              <w:rPr>
                <w:rFonts w:ascii="Times New Roman" w:hAnsi="Times New Roman" w:cs="Times New Roman"/>
                <w:color w:val="FF0000"/>
                <w:sz w:val="21"/>
              </w:rPr>
              <w:t>800kVA</w:t>
            </w:r>
            <w:r>
              <w:rPr>
                <w:rFonts w:ascii="Times New Roman" w:cs="Times New Roman"/>
                <w:color w:val="FF0000"/>
                <w:sz w:val="21"/>
              </w:rPr>
              <w:t>变压器，一台</w:t>
            </w:r>
            <w:r>
              <w:rPr>
                <w:rFonts w:ascii="Times New Roman" w:hAnsi="Times New Roman" w:cs="Times New Roman"/>
                <w:color w:val="FF0000"/>
                <w:sz w:val="21"/>
              </w:rPr>
              <w:t>630kVA</w:t>
            </w:r>
            <w:r>
              <w:rPr>
                <w:rFonts w:ascii="Times New Roman" w:cs="Times New Roman"/>
                <w:color w:val="FF0000"/>
                <w:sz w:val="21"/>
              </w:rPr>
              <w:t>变压器。本项目全厂全年需外供电量</w:t>
            </w:r>
            <w:r>
              <w:rPr>
                <w:rFonts w:ascii="Times New Roman" w:hAnsi="Times New Roman" w:cs="Times New Roman"/>
                <w:color w:val="FF0000"/>
                <w:sz w:val="21"/>
              </w:rPr>
              <w:t>405.97×10</w:t>
            </w:r>
            <w:r>
              <w:rPr>
                <w:rFonts w:ascii="Times New Roman" w:hAnsi="Times New Roman" w:cs="Times New Roman"/>
                <w:color w:val="FF0000"/>
                <w:sz w:val="21"/>
                <w:vertAlign w:val="superscript"/>
              </w:rPr>
              <w:t>4</w:t>
            </w:r>
            <w:r>
              <w:rPr>
                <w:rFonts w:ascii="Times New Roman" w:hAnsi="Times New Roman" w:cs="Times New Roman"/>
                <w:color w:val="FF0000"/>
                <w:sz w:val="21"/>
              </w:rPr>
              <w:t>kWh</w:t>
            </w:r>
            <w:r>
              <w:rPr>
                <w:rFonts w:ascii="Times New Roman" w:cs="Times New Roman"/>
                <w:color w:val="FF0000"/>
                <w:sz w:val="21"/>
              </w:rPr>
              <w:t>。</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cs="Times New Roman"/>
                <w:color w:val="FF0000"/>
                <w:sz w:val="21"/>
              </w:rPr>
              <w:t>本项目全厂全年需外供电量</w:t>
            </w:r>
            <w:r>
              <w:rPr>
                <w:rFonts w:hint="eastAsia" w:ascii="Times New Roman" w:cs="Times New Roman"/>
                <w:color w:val="FF0000"/>
                <w:sz w:val="21"/>
              </w:rPr>
              <w:t>1080</w:t>
            </w:r>
            <w:r>
              <w:rPr>
                <w:rFonts w:ascii="Times New Roman" w:hAnsi="Times New Roman" w:cs="Times New Roman"/>
                <w:color w:val="FF0000"/>
                <w:sz w:val="21"/>
              </w:rPr>
              <w:t>×10</w:t>
            </w:r>
            <w:r>
              <w:rPr>
                <w:rFonts w:ascii="Times New Roman" w:hAnsi="Times New Roman" w:cs="Times New Roman"/>
                <w:color w:val="FF0000"/>
                <w:sz w:val="21"/>
                <w:vertAlign w:val="superscript"/>
              </w:rPr>
              <w:t>4</w:t>
            </w:r>
            <w:r>
              <w:rPr>
                <w:rFonts w:ascii="Times New Roman" w:hAnsi="Times New Roman" w:cs="Times New Roman"/>
                <w:color w:val="FF0000"/>
                <w:sz w:val="21"/>
              </w:rPr>
              <w:t>kWh</w:t>
            </w:r>
            <w:r>
              <w:rPr>
                <w:rFonts w:ascii="Times New Roman" w:cs="Times New Roman"/>
                <w:color w:val="FF0000"/>
                <w:sz w:val="21"/>
              </w:rPr>
              <w:t>。</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规模扩大，工艺不变</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2.5</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循环系统</w:t>
            </w:r>
          </w:p>
        </w:tc>
        <w:tc>
          <w:tcPr>
            <w:tcW w:w="5892" w:type="dxa"/>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cs="Times New Roman"/>
                <w:color w:val="FF0000"/>
                <w:kern w:val="0"/>
                <w:sz w:val="21"/>
              </w:rPr>
              <w:t>项目循环冷却水总用水量为</w:t>
            </w:r>
            <w:r>
              <w:rPr>
                <w:rFonts w:ascii="Times New Roman" w:hAnsi="Times New Roman" w:cs="Times New Roman"/>
                <w:color w:val="FF0000"/>
                <w:kern w:val="0"/>
                <w:sz w:val="21"/>
              </w:rPr>
              <w:t>143m</w:t>
            </w:r>
            <w:r>
              <w:rPr>
                <w:rFonts w:ascii="Times New Roman" w:hAnsi="Times New Roman" w:cs="Times New Roman"/>
                <w:color w:val="FF0000"/>
                <w:kern w:val="0"/>
                <w:sz w:val="21"/>
                <w:vertAlign w:val="superscript"/>
              </w:rPr>
              <w:t>3</w:t>
            </w:r>
            <w:r>
              <w:rPr>
                <w:rFonts w:ascii="Times New Roman" w:hAnsi="Times New Roman" w:cs="Times New Roman"/>
                <w:color w:val="FF0000"/>
                <w:kern w:val="0"/>
                <w:sz w:val="21"/>
              </w:rPr>
              <w:t>/d</w:t>
            </w:r>
            <w:r>
              <w:rPr>
                <w:rFonts w:ascii="Times New Roman" w:cs="Times New Roman"/>
                <w:color w:val="FF0000"/>
                <w:kern w:val="0"/>
                <w:sz w:val="21"/>
              </w:rPr>
              <w:t>，给水压力</w:t>
            </w:r>
            <w:r>
              <w:rPr>
                <w:rFonts w:ascii="Times New Roman" w:hAnsi="Times New Roman" w:cs="Times New Roman"/>
                <w:color w:val="FF0000"/>
                <w:kern w:val="0"/>
                <w:sz w:val="21"/>
              </w:rPr>
              <w:t>0.4MPa(G)</w:t>
            </w:r>
            <w:r>
              <w:rPr>
                <w:rFonts w:ascii="Times New Roman" w:cs="Times New Roman"/>
                <w:color w:val="FF0000"/>
                <w:kern w:val="0"/>
                <w:sz w:val="21"/>
              </w:rPr>
              <w:t>，回水压力</w:t>
            </w:r>
            <w:r>
              <w:rPr>
                <w:rFonts w:ascii="Times New Roman" w:hAnsi="Times New Roman" w:cs="Times New Roman"/>
                <w:color w:val="FF0000"/>
                <w:kern w:val="0"/>
                <w:sz w:val="21"/>
              </w:rPr>
              <w:t>0.2MPa(G)</w:t>
            </w:r>
            <w:r>
              <w:rPr>
                <w:rFonts w:ascii="Times New Roman" w:cs="Times New Roman"/>
                <w:color w:val="FF0000"/>
                <w:kern w:val="0"/>
                <w:sz w:val="21"/>
              </w:rPr>
              <w:t>，给水温度</w:t>
            </w:r>
            <w:r>
              <w:rPr>
                <w:rFonts w:ascii="Times New Roman" w:hAnsi="Times New Roman" w:cs="Times New Roman"/>
                <w:color w:val="FF0000"/>
                <w:kern w:val="0"/>
                <w:sz w:val="21"/>
              </w:rPr>
              <w:t>32</w:t>
            </w:r>
            <w:r>
              <w:rPr>
                <w:rFonts w:ascii="Times New Roman" w:cs="Times New Roman"/>
                <w:color w:val="FF0000"/>
                <w:kern w:val="0"/>
                <w:sz w:val="21"/>
              </w:rPr>
              <w:t>℃，回水温度</w:t>
            </w:r>
            <w:r>
              <w:rPr>
                <w:rFonts w:ascii="Times New Roman" w:hAnsi="Times New Roman" w:cs="Times New Roman"/>
                <w:color w:val="FF0000"/>
                <w:kern w:val="0"/>
                <w:sz w:val="21"/>
              </w:rPr>
              <w:t>42</w:t>
            </w:r>
            <w:r>
              <w:rPr>
                <w:rFonts w:ascii="Times New Roman" w:cs="Times New Roman"/>
                <w:color w:val="FF0000"/>
                <w:kern w:val="0"/>
                <w:sz w:val="21"/>
              </w:rPr>
              <w:t>℃，温差</w:t>
            </w:r>
            <w:r>
              <w:rPr>
                <w:rFonts w:ascii="Times New Roman" w:hAnsi="Times New Roman" w:cs="Times New Roman"/>
                <w:color w:val="FF0000"/>
                <w:kern w:val="0"/>
                <w:sz w:val="21"/>
              </w:rPr>
              <w:t>10</w:t>
            </w:r>
            <w:r>
              <w:rPr>
                <w:rFonts w:ascii="Times New Roman" w:cs="Times New Roman"/>
                <w:color w:val="FF0000"/>
                <w:kern w:val="0"/>
                <w:sz w:val="21"/>
              </w:rPr>
              <w:t>℃。</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highlight w:val="yellow"/>
              </w:rPr>
            </w:pPr>
            <w:r>
              <w:rPr>
                <w:rFonts w:ascii="Times New Roman" w:cs="Times New Roman"/>
                <w:color w:val="FF0000"/>
                <w:kern w:val="0"/>
                <w:sz w:val="21"/>
              </w:rPr>
              <w:t>项目循环冷却水总用水量为</w:t>
            </w:r>
            <w:r>
              <w:rPr>
                <w:rFonts w:ascii="Times New Roman" w:hAnsi="Times New Roman" w:cs="Times New Roman"/>
                <w:color w:val="FF0000"/>
                <w:kern w:val="0"/>
                <w:sz w:val="21"/>
              </w:rPr>
              <w:t>600m</w:t>
            </w:r>
            <w:r>
              <w:rPr>
                <w:rFonts w:ascii="Times New Roman" w:hAnsi="Times New Roman" w:cs="Times New Roman"/>
                <w:color w:val="FF0000"/>
                <w:kern w:val="0"/>
                <w:sz w:val="21"/>
                <w:vertAlign w:val="superscript"/>
              </w:rPr>
              <w:t>3</w:t>
            </w:r>
            <w:r>
              <w:rPr>
                <w:rFonts w:ascii="Times New Roman" w:hAnsi="Times New Roman" w:cs="Times New Roman"/>
                <w:color w:val="FF0000"/>
                <w:kern w:val="0"/>
                <w:sz w:val="21"/>
              </w:rPr>
              <w:t>/d</w:t>
            </w:r>
            <w:r>
              <w:rPr>
                <w:rFonts w:hint="eastAsia" w:ascii="Times New Roman" w:cs="Times New Roman"/>
                <w:color w:val="FF0000"/>
                <w:kern w:val="0"/>
                <w:sz w:val="21"/>
              </w:rPr>
              <w:t>，设置占地面积为106.47m</w:t>
            </w:r>
            <w:r>
              <w:rPr>
                <w:rFonts w:hint="eastAsia" w:ascii="Times New Roman" w:cs="Times New Roman"/>
                <w:color w:val="FF0000"/>
                <w:kern w:val="0"/>
                <w:sz w:val="21"/>
                <w:vertAlign w:val="superscript"/>
              </w:rPr>
              <w:t>2</w:t>
            </w:r>
            <w:r>
              <w:rPr>
                <w:rFonts w:hint="eastAsia" w:ascii="Times New Roman" w:cs="Times New Roman"/>
                <w:color w:val="FF0000"/>
                <w:kern w:val="0"/>
                <w:sz w:val="21"/>
              </w:rPr>
              <w:t>的循环水池（容积873.05</w:t>
            </w:r>
            <w:r>
              <w:rPr>
                <w:rFonts w:ascii="Times New Roman" w:hAnsi="Times New Roman" w:cs="Times New Roman"/>
                <w:color w:val="FF0000"/>
                <w:sz w:val="21"/>
              </w:rPr>
              <w:t xml:space="preserve"> m</w:t>
            </w:r>
            <w:r>
              <w:rPr>
                <w:rFonts w:ascii="Times New Roman" w:hAnsi="Times New Roman" w:cs="Times New Roman"/>
                <w:color w:val="FF0000"/>
                <w:sz w:val="21"/>
                <w:vertAlign w:val="superscript"/>
              </w:rPr>
              <w:t>3</w:t>
            </w:r>
            <w:r>
              <w:rPr>
                <w:rFonts w:hint="eastAsia" w:ascii="Times New Roman" w:cs="Times New Roman"/>
                <w:color w:val="FF0000"/>
                <w:kern w:val="0"/>
                <w:sz w:val="21"/>
              </w:rPr>
              <w:t>）。</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规模扩大，工艺不变</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2.6</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highlight w:val="yellow"/>
              </w:rPr>
            </w:pPr>
            <w:r>
              <w:rPr>
                <w:rFonts w:ascii="Times New Roman" w:hAnsi="Times New Roman" w:cs="Times New Roman"/>
                <w:color w:val="FF0000"/>
                <w:sz w:val="21"/>
              </w:rPr>
              <w:t>软化水系统</w:t>
            </w:r>
          </w:p>
        </w:tc>
        <w:tc>
          <w:tcPr>
            <w:tcW w:w="5892" w:type="dxa"/>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cs="Times New Roman"/>
                <w:color w:val="FF0000"/>
                <w:sz w:val="21"/>
              </w:rPr>
              <w:t>本项目共需软化水</w:t>
            </w:r>
            <w:r>
              <w:rPr>
                <w:rFonts w:ascii="Times New Roman" w:hAnsi="Times New Roman" w:cs="Times New Roman"/>
                <w:color w:val="FF0000"/>
                <w:sz w:val="21"/>
              </w:rPr>
              <w:t>57.6m</w:t>
            </w:r>
            <w:r>
              <w:rPr>
                <w:rFonts w:ascii="Times New Roman" w:hAnsi="Times New Roman" w:cs="Times New Roman"/>
                <w:color w:val="FF0000"/>
                <w:sz w:val="21"/>
                <w:vertAlign w:val="superscript"/>
              </w:rPr>
              <w:t>3</w:t>
            </w:r>
            <w:r>
              <w:rPr>
                <w:rFonts w:ascii="Times New Roman" w:hAnsi="Times New Roman" w:cs="Times New Roman"/>
                <w:color w:val="FF0000"/>
                <w:sz w:val="21"/>
              </w:rPr>
              <w:t>/d</w:t>
            </w:r>
            <w:r>
              <w:rPr>
                <w:rFonts w:ascii="Times New Roman" w:cs="Times New Roman"/>
                <w:color w:val="FF0000"/>
                <w:sz w:val="21"/>
              </w:rPr>
              <w:t>，软化水的补水量为</w:t>
            </w:r>
            <w:r>
              <w:rPr>
                <w:rFonts w:ascii="Times New Roman" w:hAnsi="Times New Roman" w:cs="Times New Roman"/>
                <w:color w:val="FF0000"/>
                <w:sz w:val="21"/>
              </w:rPr>
              <w:t>16.8m</w:t>
            </w:r>
            <w:r>
              <w:rPr>
                <w:rFonts w:ascii="Times New Roman" w:hAnsi="Times New Roman" w:cs="Times New Roman"/>
                <w:color w:val="FF0000"/>
                <w:sz w:val="21"/>
                <w:vertAlign w:val="superscript"/>
              </w:rPr>
              <w:t>3</w:t>
            </w:r>
            <w:r>
              <w:rPr>
                <w:rFonts w:ascii="Times New Roman" w:hAnsi="Times New Roman" w:cs="Times New Roman"/>
                <w:color w:val="FF0000"/>
                <w:sz w:val="21"/>
              </w:rPr>
              <w:t>/d</w:t>
            </w:r>
            <w:r>
              <w:rPr>
                <w:rFonts w:ascii="Times New Roman" w:cs="Times New Roman"/>
                <w:color w:val="FF0000"/>
                <w:sz w:val="21"/>
              </w:rPr>
              <w:t>，主要用于全厂蒸汽系统。软化水系统制备能力按</w:t>
            </w:r>
            <w:r>
              <w:rPr>
                <w:rFonts w:ascii="Times New Roman" w:hAnsi="Times New Roman" w:cs="Times New Roman"/>
                <w:color w:val="FF0000"/>
                <w:sz w:val="21"/>
              </w:rPr>
              <w:t>100m</w:t>
            </w:r>
            <w:r>
              <w:rPr>
                <w:rFonts w:ascii="Times New Roman" w:hAnsi="Times New Roman" w:cs="Times New Roman"/>
                <w:color w:val="FF0000"/>
                <w:sz w:val="21"/>
                <w:vertAlign w:val="superscript"/>
              </w:rPr>
              <w:t>3</w:t>
            </w:r>
            <w:r>
              <w:rPr>
                <w:rFonts w:ascii="Times New Roman" w:hAnsi="Times New Roman" w:cs="Times New Roman"/>
                <w:color w:val="FF0000"/>
                <w:sz w:val="21"/>
              </w:rPr>
              <w:t>/d</w:t>
            </w:r>
            <w:r>
              <w:rPr>
                <w:rFonts w:ascii="Times New Roman" w:cs="Times New Roman"/>
                <w:color w:val="FF0000"/>
                <w:sz w:val="21"/>
              </w:rPr>
              <w:t>。软化水系统采用超滤</w:t>
            </w:r>
            <w:r>
              <w:rPr>
                <w:rFonts w:ascii="Times New Roman" w:hAnsi="Times New Roman" w:cs="Times New Roman"/>
                <w:color w:val="FF0000"/>
                <w:sz w:val="21"/>
              </w:rPr>
              <w:t>-</w:t>
            </w:r>
            <w:r>
              <w:rPr>
                <w:rFonts w:ascii="Times New Roman" w:cs="Times New Roman"/>
                <w:color w:val="FF0000"/>
                <w:sz w:val="21"/>
              </w:rPr>
              <w:t>反渗透工艺生产软化水。</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cs="Times New Roman"/>
                <w:color w:val="FF0000"/>
                <w:sz w:val="21"/>
              </w:rPr>
              <w:t>本项目共需软化水</w:t>
            </w:r>
            <w:r>
              <w:rPr>
                <w:rFonts w:hint="eastAsia" w:ascii="Times New Roman" w:hAnsi="Times New Roman" w:cs="Times New Roman"/>
                <w:color w:val="FF0000"/>
                <w:sz w:val="21"/>
              </w:rPr>
              <w:t>147.60</w:t>
            </w:r>
            <w:r>
              <w:rPr>
                <w:rFonts w:ascii="Times New Roman" w:hAnsi="Times New Roman" w:cs="Times New Roman"/>
                <w:color w:val="FF0000"/>
                <w:sz w:val="21"/>
              </w:rPr>
              <w:t>m</w:t>
            </w:r>
            <w:r>
              <w:rPr>
                <w:rFonts w:ascii="Times New Roman" w:hAnsi="Times New Roman" w:cs="Times New Roman"/>
                <w:color w:val="FF0000"/>
                <w:sz w:val="21"/>
                <w:vertAlign w:val="superscript"/>
              </w:rPr>
              <w:t>3</w:t>
            </w:r>
            <w:r>
              <w:rPr>
                <w:rFonts w:ascii="Times New Roman" w:hAnsi="Times New Roman" w:cs="Times New Roman"/>
                <w:color w:val="FF0000"/>
                <w:sz w:val="21"/>
              </w:rPr>
              <w:t>/d</w:t>
            </w:r>
            <w:r>
              <w:rPr>
                <w:rFonts w:ascii="Times New Roman" w:cs="Times New Roman"/>
                <w:color w:val="FF0000"/>
                <w:sz w:val="21"/>
              </w:rPr>
              <w:t>，软化水的补水量为</w:t>
            </w:r>
            <w:r>
              <w:rPr>
                <w:rFonts w:hint="eastAsia" w:ascii="Times New Roman" w:hAnsi="Times New Roman" w:cs="Times New Roman"/>
                <w:color w:val="FF0000"/>
                <w:sz w:val="21"/>
              </w:rPr>
              <w:t>22.33</w:t>
            </w:r>
            <w:r>
              <w:rPr>
                <w:rFonts w:ascii="Times New Roman" w:hAnsi="Times New Roman" w:cs="Times New Roman"/>
                <w:color w:val="FF0000"/>
                <w:sz w:val="21"/>
              </w:rPr>
              <w:t>m</w:t>
            </w:r>
            <w:r>
              <w:rPr>
                <w:rFonts w:ascii="Times New Roman" w:hAnsi="Times New Roman" w:cs="Times New Roman"/>
                <w:color w:val="FF0000"/>
                <w:sz w:val="21"/>
                <w:vertAlign w:val="superscript"/>
              </w:rPr>
              <w:t>3</w:t>
            </w:r>
            <w:r>
              <w:rPr>
                <w:rFonts w:ascii="Times New Roman" w:hAnsi="Times New Roman" w:cs="Times New Roman"/>
                <w:color w:val="FF0000"/>
                <w:sz w:val="21"/>
              </w:rPr>
              <w:t>/d</w:t>
            </w:r>
            <w:r>
              <w:rPr>
                <w:rFonts w:ascii="Times New Roman" w:cs="Times New Roman"/>
                <w:color w:val="FF0000"/>
                <w:sz w:val="21"/>
              </w:rPr>
              <w:t>，主要用于全厂蒸汽系统。软化水系统制备能力按</w:t>
            </w:r>
            <w:r>
              <w:rPr>
                <w:rFonts w:ascii="Times New Roman" w:hAnsi="Times New Roman" w:cs="Times New Roman"/>
                <w:color w:val="FF0000"/>
                <w:sz w:val="21"/>
              </w:rPr>
              <w:t>1</w:t>
            </w:r>
            <w:r>
              <w:rPr>
                <w:rFonts w:hint="eastAsia" w:ascii="Times New Roman" w:hAnsi="Times New Roman" w:cs="Times New Roman"/>
                <w:color w:val="FF0000"/>
                <w:sz w:val="21"/>
              </w:rPr>
              <w:t>5</w:t>
            </w:r>
            <w:r>
              <w:rPr>
                <w:rFonts w:ascii="Times New Roman" w:hAnsi="Times New Roman" w:cs="Times New Roman"/>
                <w:color w:val="FF0000"/>
                <w:sz w:val="21"/>
              </w:rPr>
              <w:t>0m</w:t>
            </w:r>
            <w:r>
              <w:rPr>
                <w:rFonts w:ascii="Times New Roman" w:hAnsi="Times New Roman" w:cs="Times New Roman"/>
                <w:color w:val="FF0000"/>
                <w:sz w:val="21"/>
                <w:vertAlign w:val="superscript"/>
              </w:rPr>
              <w:t>3</w:t>
            </w:r>
            <w:r>
              <w:rPr>
                <w:rFonts w:ascii="Times New Roman" w:hAnsi="Times New Roman" w:cs="Times New Roman"/>
                <w:color w:val="FF0000"/>
                <w:sz w:val="21"/>
              </w:rPr>
              <w:t>/d</w:t>
            </w:r>
            <w:r>
              <w:rPr>
                <w:rFonts w:ascii="Times New Roman" w:cs="Times New Roman"/>
                <w:color w:val="FF0000"/>
                <w:sz w:val="21"/>
              </w:rPr>
              <w:t>。软化水系统</w:t>
            </w:r>
            <w:r>
              <w:rPr>
                <w:rFonts w:hint="eastAsia" w:ascii="Times New Roman" w:cs="Times New Roman"/>
                <w:color w:val="FF0000"/>
                <w:sz w:val="21"/>
              </w:rPr>
              <w:t>工艺不变。</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规模扩大，工艺不变</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2.</w:t>
            </w:r>
            <w:r>
              <w:rPr>
                <w:rFonts w:hint="eastAsia" w:ascii="Times New Roman"/>
                <w:color w:val="FF0000"/>
              </w:rPr>
              <w:t>7</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jc w:val="both"/>
              <w:rPr>
                <w:rFonts w:ascii="Times New Roman"/>
                <w:color w:val="FF0000"/>
                <w:kern w:val="0"/>
              </w:rPr>
            </w:pPr>
            <w:r>
              <w:rPr>
                <w:rFonts w:ascii="Times New Roman"/>
                <w:color w:val="FF0000"/>
                <w:kern w:val="0"/>
              </w:rPr>
              <w:t>事故水池及初期雨水收集池</w:t>
            </w:r>
          </w:p>
        </w:tc>
        <w:tc>
          <w:tcPr>
            <w:tcW w:w="5892"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exact"/>
              <w:ind w:firstLine="0" w:firstLineChars="0"/>
              <w:textAlignment w:val="baseline"/>
              <w:rPr>
                <w:rFonts w:cs="Times New Roman"/>
                <w:color w:val="FF0000"/>
                <w:kern w:val="0"/>
                <w:sz w:val="21"/>
              </w:rPr>
            </w:pPr>
            <w:r>
              <w:rPr>
                <w:rFonts w:cs="Times New Roman"/>
                <w:color w:val="FF0000"/>
                <w:kern w:val="0"/>
                <w:sz w:val="21"/>
              </w:rPr>
              <w:t>危废综合处置厂全厂设置1座容积为1840</w:t>
            </w:r>
            <w:r>
              <w:rPr>
                <w:rFonts w:cs="Times New Roman"/>
                <w:color w:val="FF0000"/>
                <w:sz w:val="21"/>
              </w:rPr>
              <w:t>m</w:t>
            </w:r>
            <w:r>
              <w:rPr>
                <w:rFonts w:cs="Times New Roman"/>
                <w:color w:val="FF0000"/>
                <w:sz w:val="21"/>
                <w:vertAlign w:val="superscript"/>
              </w:rPr>
              <w:t>3</w:t>
            </w:r>
            <w:r>
              <w:rPr>
                <w:rFonts w:cs="Times New Roman"/>
                <w:color w:val="FF0000"/>
                <w:sz w:val="21"/>
              </w:rPr>
              <w:t>的事故水池，1座容积为600m</w:t>
            </w:r>
            <w:r>
              <w:rPr>
                <w:rFonts w:cs="Times New Roman"/>
                <w:color w:val="FF0000"/>
                <w:sz w:val="21"/>
                <w:vertAlign w:val="superscript"/>
              </w:rPr>
              <w:t>3</w:t>
            </w:r>
            <w:r>
              <w:rPr>
                <w:rFonts w:cs="Times New Roman"/>
                <w:color w:val="FF0000"/>
                <w:sz w:val="21"/>
              </w:rPr>
              <w:t>的初期雨水收集池，1</w:t>
            </w:r>
            <w:r>
              <w:rPr>
                <w:rFonts w:cs="Times New Roman"/>
                <w:color w:val="FF0000"/>
                <w:kern w:val="0"/>
                <w:sz w:val="21"/>
              </w:rPr>
              <w:t>座容积为500</w:t>
            </w:r>
            <w:r>
              <w:rPr>
                <w:rFonts w:cs="Times New Roman"/>
                <w:color w:val="FF0000"/>
                <w:sz w:val="21"/>
              </w:rPr>
              <w:t>m</w:t>
            </w:r>
            <w:r>
              <w:rPr>
                <w:rFonts w:cs="Times New Roman"/>
                <w:color w:val="FF0000"/>
                <w:sz w:val="21"/>
                <w:vertAlign w:val="superscript"/>
              </w:rPr>
              <w:t>3</w:t>
            </w:r>
            <w:r>
              <w:rPr>
                <w:rFonts w:cs="Times New Roman"/>
                <w:color w:val="FF0000"/>
                <w:sz w:val="21"/>
              </w:rPr>
              <w:t>的焚烧车间废水收集池。</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cs="Times New Roman"/>
                <w:color w:val="FF0000"/>
                <w:kern w:val="0"/>
                <w:sz w:val="21"/>
              </w:rPr>
              <w:t>危废综合处置厂全厂设置</w:t>
            </w:r>
            <w:r>
              <w:rPr>
                <w:rFonts w:ascii="Times New Roman" w:hAnsi="Times New Roman" w:cs="Times New Roman"/>
                <w:color w:val="FF0000"/>
                <w:kern w:val="0"/>
                <w:sz w:val="21"/>
              </w:rPr>
              <w:t>1</w:t>
            </w:r>
            <w:r>
              <w:rPr>
                <w:rFonts w:ascii="Times New Roman" w:cs="Times New Roman"/>
                <w:color w:val="FF0000"/>
                <w:kern w:val="0"/>
                <w:sz w:val="21"/>
              </w:rPr>
              <w:t>座</w:t>
            </w:r>
            <w:r>
              <w:rPr>
                <w:rFonts w:hint="eastAsia" w:ascii="Times New Roman" w:cs="Times New Roman"/>
                <w:color w:val="FF0000"/>
                <w:kern w:val="0"/>
                <w:sz w:val="21"/>
              </w:rPr>
              <w:t>占地面积为281.25</w:t>
            </w:r>
            <w:r>
              <w:rPr>
                <w:rFonts w:ascii="Times New Roman" w:hAnsi="Times New Roman" w:cs="Times New Roman"/>
                <w:color w:val="FF0000"/>
                <w:sz w:val="21"/>
              </w:rPr>
              <w:t xml:space="preserve"> m</w:t>
            </w:r>
            <w:r>
              <w:rPr>
                <w:rFonts w:hint="eastAsia" w:ascii="Times New Roman" w:hAnsi="Times New Roman" w:cs="Times New Roman"/>
                <w:color w:val="FF0000"/>
                <w:sz w:val="21"/>
                <w:vertAlign w:val="superscript"/>
              </w:rPr>
              <w:t>2</w:t>
            </w:r>
            <w:r>
              <w:rPr>
                <w:rFonts w:hint="eastAsia" w:ascii="Times New Roman" w:hAnsi="Times New Roman" w:cs="Times New Roman"/>
                <w:color w:val="FF0000"/>
                <w:sz w:val="21"/>
              </w:rPr>
              <w:t>的事故及雨水池，总容积为1406.25</w:t>
            </w:r>
            <w:r>
              <w:rPr>
                <w:rFonts w:ascii="Times New Roman" w:hAnsi="Times New Roman" w:cs="Times New Roman"/>
                <w:color w:val="FF0000"/>
                <w:sz w:val="21"/>
              </w:rPr>
              <w:t xml:space="preserve"> m</w:t>
            </w:r>
            <w:r>
              <w:rPr>
                <w:rFonts w:ascii="Times New Roman" w:hAnsi="Times New Roman" w:cs="Times New Roman"/>
                <w:color w:val="FF0000"/>
                <w:sz w:val="21"/>
                <w:vertAlign w:val="superscript"/>
              </w:rPr>
              <w:t>3</w:t>
            </w:r>
            <w:r>
              <w:rPr>
                <w:rFonts w:hint="eastAsia" w:ascii="Times New Roman" w:hAnsi="Times New Roman" w:cs="Times New Roman"/>
                <w:color w:val="FF0000"/>
                <w:sz w:val="21"/>
              </w:rPr>
              <w:t>，</w:t>
            </w:r>
            <w:r>
              <w:rPr>
                <w:rFonts w:ascii="Times New Roman" w:hAnsi="Times New Roman" w:cs="Times New Roman"/>
                <w:color w:val="FF0000"/>
                <w:sz w:val="21"/>
              </w:rPr>
              <w:t>1</w:t>
            </w:r>
            <w:r>
              <w:rPr>
                <w:rFonts w:ascii="Times New Roman" w:cs="Times New Roman"/>
                <w:color w:val="FF0000"/>
                <w:kern w:val="0"/>
                <w:sz w:val="21"/>
              </w:rPr>
              <w:t>座容积为</w:t>
            </w:r>
            <w:r>
              <w:rPr>
                <w:rFonts w:ascii="Times New Roman" w:hAnsi="Times New Roman" w:cs="Times New Roman"/>
                <w:color w:val="FF0000"/>
                <w:kern w:val="0"/>
                <w:sz w:val="21"/>
              </w:rPr>
              <w:t>500</w:t>
            </w:r>
            <w:r>
              <w:rPr>
                <w:rFonts w:ascii="Times New Roman" w:hAnsi="Times New Roman" w:cs="Times New Roman"/>
                <w:color w:val="FF0000"/>
                <w:sz w:val="21"/>
              </w:rPr>
              <w:t>m</w:t>
            </w:r>
            <w:r>
              <w:rPr>
                <w:rFonts w:ascii="Times New Roman" w:hAnsi="Times New Roman" w:cs="Times New Roman"/>
                <w:color w:val="FF0000"/>
                <w:sz w:val="21"/>
                <w:vertAlign w:val="superscript"/>
              </w:rPr>
              <w:t>3</w:t>
            </w:r>
            <w:r>
              <w:rPr>
                <w:rFonts w:ascii="Times New Roman" w:cs="Times New Roman"/>
                <w:color w:val="FF0000"/>
                <w:sz w:val="21"/>
              </w:rPr>
              <w:t>的焚烧车间废水收集池。</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容积调整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vMerge w:val="restart"/>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2.</w:t>
            </w:r>
            <w:r>
              <w:rPr>
                <w:rFonts w:hint="eastAsia" w:ascii="Times New Roman"/>
                <w:color w:val="FF0000"/>
              </w:rPr>
              <w:t>8</w:t>
            </w:r>
          </w:p>
        </w:tc>
        <w:tc>
          <w:tcPr>
            <w:tcW w:w="472" w:type="dxa"/>
            <w:vMerge w:val="restart"/>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厂内道路</w:t>
            </w:r>
          </w:p>
        </w:tc>
        <w:tc>
          <w:tcPr>
            <w:tcW w:w="64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FF0000"/>
                <w:kern w:val="0"/>
              </w:rPr>
            </w:pPr>
            <w:r>
              <w:rPr>
                <w:rFonts w:ascii="Times New Roman"/>
                <w:color w:val="FF0000"/>
                <w:kern w:val="0"/>
              </w:rPr>
              <w:t>主要</w:t>
            </w:r>
          </w:p>
          <w:p>
            <w:pPr>
              <w:pStyle w:val="184"/>
              <w:spacing w:line="240" w:lineRule="exact"/>
              <w:rPr>
                <w:rFonts w:ascii="Times New Roman"/>
                <w:color w:val="FF0000"/>
                <w:kern w:val="0"/>
              </w:rPr>
            </w:pPr>
            <w:r>
              <w:rPr>
                <w:rFonts w:ascii="Times New Roman"/>
                <w:color w:val="FF0000"/>
                <w:kern w:val="0"/>
              </w:rPr>
              <w:t>道路</w:t>
            </w:r>
          </w:p>
        </w:tc>
        <w:tc>
          <w:tcPr>
            <w:tcW w:w="11054" w:type="dxa"/>
            <w:gridSpan w:val="3"/>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cs="Times New Roman"/>
                <w:color w:val="FF0000"/>
                <w:spacing w:val="2"/>
                <w:sz w:val="21"/>
              </w:rPr>
              <w:t>路幅宽度为7m，路面结构采用：C35混凝土面层，厚度24cm；5%水泥稳定碎石基层，厚度20cm；碎石垫层，厚度20cm</w:t>
            </w:r>
          </w:p>
        </w:tc>
        <w:tc>
          <w:tcPr>
            <w:tcW w:w="1477" w:type="dxa"/>
            <w:vMerge w:val="restart"/>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建设内容与改扩建前保持一致。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vMerge w:val="continue"/>
            <w:tcBorders>
              <w:top w:val="dotted" w:color="auto" w:sz="4" w:space="0"/>
              <w:left w:val="nil"/>
              <w:bottom w:val="dotted" w:color="auto" w:sz="4" w:space="0"/>
              <w:right w:val="dotted" w:color="auto" w:sz="4" w:space="0"/>
            </w:tcBorders>
            <w:vAlign w:val="center"/>
          </w:tcPr>
          <w:p>
            <w:pPr>
              <w:widowControl/>
              <w:ind w:firstLine="420"/>
              <w:jc w:val="left"/>
              <w:rPr>
                <w:rFonts w:cs="Times New Roman"/>
                <w:color w:val="FF0000"/>
                <w:sz w:val="21"/>
              </w:rPr>
            </w:pPr>
          </w:p>
        </w:tc>
        <w:tc>
          <w:tcPr>
            <w:tcW w:w="472" w:type="dxa"/>
            <w:vMerge w:val="continue"/>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p>
        </w:tc>
        <w:tc>
          <w:tcPr>
            <w:tcW w:w="64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FF0000"/>
                <w:kern w:val="0"/>
              </w:rPr>
            </w:pPr>
            <w:r>
              <w:rPr>
                <w:rFonts w:ascii="Times New Roman"/>
                <w:color w:val="FF0000"/>
                <w:kern w:val="0"/>
              </w:rPr>
              <w:t>次要</w:t>
            </w:r>
          </w:p>
          <w:p>
            <w:pPr>
              <w:pStyle w:val="184"/>
              <w:spacing w:line="240" w:lineRule="exact"/>
              <w:rPr>
                <w:rFonts w:ascii="Times New Roman"/>
                <w:color w:val="FF0000"/>
                <w:kern w:val="0"/>
              </w:rPr>
            </w:pPr>
            <w:r>
              <w:rPr>
                <w:rFonts w:ascii="Times New Roman"/>
                <w:color w:val="FF0000"/>
                <w:kern w:val="0"/>
              </w:rPr>
              <w:t>道路</w:t>
            </w:r>
          </w:p>
        </w:tc>
        <w:tc>
          <w:tcPr>
            <w:tcW w:w="11054" w:type="dxa"/>
            <w:gridSpan w:val="3"/>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cs="Times New Roman"/>
                <w:color w:val="FF0000"/>
                <w:spacing w:val="2"/>
                <w:sz w:val="21"/>
              </w:rPr>
              <w:t>路幅宽度为5m，路面结构为：C35混凝土面层，厚度22cm；5%水泥稳定碎石基层，厚度18cm；碎石垫层，厚度17cm。</w:t>
            </w:r>
          </w:p>
        </w:tc>
        <w:tc>
          <w:tcPr>
            <w:tcW w:w="1477" w:type="dxa"/>
            <w:vMerge w:val="continue"/>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vMerge w:val="continue"/>
            <w:tcBorders>
              <w:top w:val="dotted" w:color="auto" w:sz="4" w:space="0"/>
              <w:left w:val="nil"/>
              <w:bottom w:val="dotted" w:color="auto" w:sz="4" w:space="0"/>
              <w:right w:val="dotted" w:color="auto" w:sz="4" w:space="0"/>
            </w:tcBorders>
            <w:vAlign w:val="center"/>
          </w:tcPr>
          <w:p>
            <w:pPr>
              <w:widowControl/>
              <w:ind w:firstLine="420"/>
              <w:jc w:val="left"/>
              <w:rPr>
                <w:rFonts w:cs="Times New Roman"/>
                <w:color w:val="FF0000"/>
                <w:sz w:val="21"/>
              </w:rPr>
            </w:pPr>
          </w:p>
        </w:tc>
        <w:tc>
          <w:tcPr>
            <w:tcW w:w="472" w:type="dxa"/>
            <w:vMerge w:val="continue"/>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p>
        </w:tc>
        <w:tc>
          <w:tcPr>
            <w:tcW w:w="64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FF0000"/>
                <w:kern w:val="0"/>
              </w:rPr>
            </w:pPr>
            <w:r>
              <w:rPr>
                <w:rFonts w:ascii="Times New Roman"/>
                <w:color w:val="FF0000"/>
                <w:kern w:val="0"/>
              </w:rPr>
              <w:t>人行</w:t>
            </w:r>
          </w:p>
          <w:p>
            <w:pPr>
              <w:pStyle w:val="184"/>
              <w:spacing w:line="240" w:lineRule="exact"/>
              <w:rPr>
                <w:rFonts w:ascii="Times New Roman"/>
                <w:color w:val="FF0000"/>
                <w:kern w:val="0"/>
              </w:rPr>
            </w:pPr>
            <w:r>
              <w:rPr>
                <w:rFonts w:ascii="Times New Roman"/>
                <w:color w:val="FF0000"/>
                <w:kern w:val="0"/>
              </w:rPr>
              <w:t>道路</w:t>
            </w:r>
          </w:p>
        </w:tc>
        <w:tc>
          <w:tcPr>
            <w:tcW w:w="11054" w:type="dxa"/>
            <w:gridSpan w:val="3"/>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cs="Times New Roman"/>
                <w:color w:val="FF0000"/>
                <w:spacing w:val="2"/>
                <w:sz w:val="21"/>
              </w:rPr>
              <w:t>采用C25混凝土路面砖，规格25×25×5cm；M10水泥砂浆，厚度3cm；3%水泥稳定沙砾垫层，厚度15cm。</w:t>
            </w:r>
          </w:p>
        </w:tc>
        <w:tc>
          <w:tcPr>
            <w:tcW w:w="1477" w:type="dxa"/>
            <w:vMerge w:val="continue"/>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05" w:hRule="atLeast"/>
          <w:jc w:val="center"/>
        </w:trPr>
        <w:tc>
          <w:tcPr>
            <w:tcW w:w="389" w:type="dxa"/>
            <w:vMerge w:val="restart"/>
            <w:tcBorders>
              <w:top w:val="dotted" w:color="auto" w:sz="4" w:space="0"/>
              <w:left w:val="nil"/>
              <w:right w:val="dotted" w:color="auto" w:sz="4" w:space="0"/>
            </w:tcBorders>
            <w:vAlign w:val="center"/>
          </w:tcPr>
          <w:p>
            <w:pPr>
              <w:pStyle w:val="187"/>
              <w:spacing w:line="240" w:lineRule="exact"/>
              <w:rPr>
                <w:rFonts w:ascii="Times New Roman"/>
                <w:color w:val="FF0000"/>
              </w:rPr>
            </w:pPr>
            <w:r>
              <w:rPr>
                <w:rFonts w:ascii="Times New Roman"/>
                <w:color w:val="FF0000"/>
              </w:rPr>
              <w:t>2.</w:t>
            </w:r>
            <w:r>
              <w:rPr>
                <w:rFonts w:hint="eastAsia" w:ascii="Times New Roman"/>
                <w:color w:val="FF0000"/>
              </w:rPr>
              <w:t>9</w:t>
            </w:r>
          </w:p>
        </w:tc>
        <w:tc>
          <w:tcPr>
            <w:tcW w:w="472" w:type="dxa"/>
            <w:vMerge w:val="restart"/>
            <w:tcBorders>
              <w:top w:val="dotted" w:color="auto" w:sz="4" w:space="0"/>
              <w:left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仓储设施</w:t>
            </w:r>
          </w:p>
        </w:tc>
        <w:tc>
          <w:tcPr>
            <w:tcW w:w="64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1#</w:t>
            </w:r>
          </w:p>
          <w:p>
            <w:pPr>
              <w:pStyle w:val="187"/>
              <w:spacing w:line="240" w:lineRule="exact"/>
              <w:rPr>
                <w:rFonts w:ascii="Times New Roman"/>
                <w:color w:val="FF0000"/>
              </w:rPr>
            </w:pPr>
            <w:r>
              <w:rPr>
                <w:rFonts w:ascii="Times New Roman"/>
                <w:color w:val="FF0000"/>
              </w:rPr>
              <w:t>仓库</w:t>
            </w:r>
          </w:p>
        </w:tc>
        <w:tc>
          <w:tcPr>
            <w:tcW w:w="5892"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jc w:val="both"/>
              <w:rPr>
                <w:rFonts w:ascii="Times New Roman"/>
                <w:color w:val="FF0000"/>
              </w:rPr>
            </w:pPr>
            <w:r>
              <w:rPr>
                <w:rFonts w:ascii="Times New Roman"/>
                <w:color w:val="FF0000"/>
              </w:rPr>
              <w:t>建设规模为1584m</w:t>
            </w:r>
            <w:r>
              <w:rPr>
                <w:rFonts w:ascii="Times New Roman"/>
                <w:color w:val="FF0000"/>
                <w:vertAlign w:val="superscript"/>
              </w:rPr>
              <w:t>2</w:t>
            </w:r>
            <w:r>
              <w:rPr>
                <w:rFonts w:ascii="Times New Roman"/>
                <w:color w:val="FF0000"/>
              </w:rPr>
              <w:t>×8.35m，主要用于储存外来及本项目产生的送至焚烧车间的危废以及废碱渣</w:t>
            </w:r>
            <w:r>
              <w:rPr>
                <w:rFonts w:hint="eastAsia" w:ascii="Times New Roman"/>
                <w:color w:val="FF0000"/>
              </w:rPr>
              <w:t>。</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建设1510.27</w:t>
            </w:r>
            <w:r>
              <w:rPr>
                <w:rFonts w:ascii="Times New Roman" w:hAnsi="Times New Roman" w:cs="Times New Roman"/>
                <w:color w:val="FF0000"/>
                <w:sz w:val="21"/>
              </w:rPr>
              <w:t xml:space="preserve"> m</w:t>
            </w:r>
            <w:r>
              <w:rPr>
                <w:rFonts w:ascii="Times New Roman" w:hAnsi="Times New Roman" w:cs="Times New Roman"/>
                <w:color w:val="FF0000"/>
                <w:sz w:val="21"/>
                <w:vertAlign w:val="superscript"/>
              </w:rPr>
              <w:t>2</w:t>
            </w:r>
            <w:r>
              <w:rPr>
                <w:rFonts w:ascii="Times New Roman" w:hAnsi="Times New Roman" w:cs="Times New Roman"/>
                <w:color w:val="FF0000"/>
                <w:sz w:val="21"/>
              </w:rPr>
              <w:t>×</w:t>
            </w:r>
            <w:r>
              <w:rPr>
                <w:rFonts w:hint="eastAsia" w:ascii="Times New Roman" w:hAnsi="Times New Roman" w:cs="Times New Roman"/>
                <w:color w:val="FF0000"/>
                <w:sz w:val="21"/>
              </w:rPr>
              <w:t>8.10</w:t>
            </w:r>
            <w:r>
              <w:rPr>
                <w:rFonts w:ascii="Times New Roman" w:hAnsi="Times New Roman" w:cs="Times New Roman"/>
                <w:color w:val="FF0000"/>
                <w:sz w:val="21"/>
              </w:rPr>
              <w:t>m</w:t>
            </w:r>
            <w:r>
              <w:rPr>
                <w:rFonts w:ascii="Times New Roman" w:cs="Times New Roman"/>
                <w:color w:val="FF0000"/>
                <w:sz w:val="21"/>
              </w:rPr>
              <w:t>，</w:t>
            </w:r>
            <w:r>
              <w:rPr>
                <w:rFonts w:ascii="Times New Roman" w:hAnsi="Times New Roman" w:cs="Times New Roman"/>
                <w:color w:val="FF0000"/>
                <w:sz w:val="21"/>
              </w:rPr>
              <w:t>主要用于储存外来及本项目产生的送至焚烧车间的危废</w:t>
            </w:r>
            <w:r>
              <w:rPr>
                <w:rFonts w:hint="eastAsia" w:ascii="Times New Roman"/>
                <w:color w:val="FF0000"/>
                <w:sz w:val="21"/>
              </w:rPr>
              <w:t>。</w:t>
            </w:r>
          </w:p>
        </w:tc>
        <w:tc>
          <w:tcPr>
            <w:tcW w:w="1477" w:type="dxa"/>
            <w:vMerge w:val="restart"/>
            <w:tcBorders>
              <w:top w:val="dotted" w:color="auto" w:sz="4" w:space="0"/>
              <w:left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危废暂存</w:t>
            </w:r>
            <w:r>
              <w:rPr>
                <w:rFonts w:hint="eastAsia" w:ascii="Times New Roman" w:hAnsi="Times New Roman" w:cs="Times New Roman"/>
                <w:color w:val="FF0000"/>
                <w:sz w:val="21"/>
              </w:rPr>
              <w:t>库</w:t>
            </w:r>
            <w:r>
              <w:rPr>
                <w:rFonts w:ascii="Times New Roman" w:hAnsi="Times New Roman" w:cs="Times New Roman"/>
                <w:color w:val="FF0000"/>
                <w:sz w:val="21"/>
              </w:rPr>
              <w:t>发生</w:t>
            </w:r>
            <w:r>
              <w:rPr>
                <w:rFonts w:hint="eastAsia" w:ascii="Times New Roman" w:hAnsi="Times New Roman" w:cs="Times New Roman"/>
                <w:color w:val="FF0000"/>
                <w:sz w:val="21"/>
              </w:rPr>
              <w:t>变化</w:t>
            </w:r>
            <w:r>
              <w:rPr>
                <w:rFonts w:ascii="Times New Roman" w:hAnsi="Times New Roman" w:cs="Times New Roman"/>
                <w:color w:val="FF0000"/>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414" w:hRule="atLeast"/>
          <w:jc w:val="center"/>
        </w:trPr>
        <w:tc>
          <w:tcPr>
            <w:tcW w:w="389" w:type="dxa"/>
            <w:vMerge w:val="continue"/>
            <w:tcBorders>
              <w:left w:val="nil"/>
              <w:right w:val="dotted" w:color="auto" w:sz="4" w:space="0"/>
            </w:tcBorders>
            <w:vAlign w:val="center"/>
          </w:tcPr>
          <w:p>
            <w:pPr>
              <w:widowControl/>
              <w:ind w:firstLine="420"/>
              <w:jc w:val="left"/>
              <w:rPr>
                <w:rFonts w:cs="Times New Roman"/>
                <w:color w:val="FF0000"/>
                <w:sz w:val="21"/>
              </w:rPr>
            </w:pPr>
          </w:p>
        </w:tc>
        <w:tc>
          <w:tcPr>
            <w:tcW w:w="472" w:type="dxa"/>
            <w:vMerge w:val="continue"/>
            <w:tcBorders>
              <w:left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p>
        </w:tc>
        <w:tc>
          <w:tcPr>
            <w:tcW w:w="64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2#</w:t>
            </w:r>
          </w:p>
          <w:p>
            <w:pPr>
              <w:pStyle w:val="187"/>
              <w:spacing w:line="240" w:lineRule="exact"/>
              <w:rPr>
                <w:rFonts w:ascii="Times New Roman"/>
                <w:color w:val="FF0000"/>
              </w:rPr>
            </w:pPr>
            <w:r>
              <w:rPr>
                <w:rFonts w:ascii="Times New Roman"/>
                <w:color w:val="FF0000"/>
              </w:rPr>
              <w:t>仓库</w:t>
            </w:r>
          </w:p>
        </w:tc>
        <w:tc>
          <w:tcPr>
            <w:tcW w:w="5892"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jc w:val="both"/>
              <w:rPr>
                <w:rFonts w:ascii="Times New Roman"/>
                <w:color w:val="FF0000"/>
              </w:rPr>
            </w:pPr>
            <w:r>
              <w:rPr>
                <w:rFonts w:ascii="Times New Roman"/>
                <w:color w:val="FF0000"/>
              </w:rPr>
              <w:t>建设规模为1458m</w:t>
            </w:r>
            <w:r>
              <w:rPr>
                <w:rFonts w:ascii="Times New Roman"/>
                <w:color w:val="FF0000"/>
                <w:vertAlign w:val="superscript"/>
              </w:rPr>
              <w:t>2</w:t>
            </w:r>
            <w:r>
              <w:rPr>
                <w:rFonts w:ascii="Times New Roman"/>
                <w:color w:val="FF0000"/>
              </w:rPr>
              <w:t>×8.35m，主要用于储存外来及本项目产生的送至固化/稳定化车间的危废</w:t>
            </w:r>
            <w:r>
              <w:rPr>
                <w:rFonts w:hint="eastAsia" w:ascii="Times New Roman"/>
                <w:color w:val="FF0000"/>
              </w:rPr>
              <w:t>。</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建设1510.27</w:t>
            </w:r>
            <w:r>
              <w:rPr>
                <w:rFonts w:ascii="Times New Roman" w:hAnsi="Times New Roman" w:cs="Times New Roman"/>
                <w:color w:val="FF0000"/>
                <w:sz w:val="21"/>
              </w:rPr>
              <w:t xml:space="preserve"> m</w:t>
            </w:r>
            <w:r>
              <w:rPr>
                <w:rFonts w:ascii="Times New Roman" w:hAnsi="Times New Roman" w:cs="Times New Roman"/>
                <w:color w:val="FF0000"/>
                <w:sz w:val="21"/>
                <w:vertAlign w:val="superscript"/>
              </w:rPr>
              <w:t>2</w:t>
            </w:r>
            <w:r>
              <w:rPr>
                <w:rFonts w:ascii="Times New Roman" w:hAnsi="Times New Roman" w:cs="Times New Roman"/>
                <w:color w:val="FF0000"/>
                <w:sz w:val="21"/>
              </w:rPr>
              <w:t>×</w:t>
            </w:r>
            <w:r>
              <w:rPr>
                <w:rFonts w:hint="eastAsia" w:ascii="Times New Roman" w:hAnsi="Times New Roman" w:cs="Times New Roman"/>
                <w:color w:val="FF0000"/>
                <w:sz w:val="21"/>
              </w:rPr>
              <w:t>8.10</w:t>
            </w:r>
            <w:r>
              <w:rPr>
                <w:rFonts w:ascii="Times New Roman" w:hAnsi="Times New Roman" w:cs="Times New Roman"/>
                <w:color w:val="FF0000"/>
                <w:sz w:val="21"/>
              </w:rPr>
              <w:t>m</w:t>
            </w:r>
            <w:r>
              <w:rPr>
                <w:rFonts w:ascii="Times New Roman" w:cs="Times New Roman"/>
                <w:color w:val="FF0000"/>
                <w:sz w:val="21"/>
              </w:rPr>
              <w:t>，</w:t>
            </w:r>
            <w:r>
              <w:rPr>
                <w:rFonts w:ascii="Times New Roman" w:hAnsi="Times New Roman" w:cs="Times New Roman"/>
                <w:color w:val="FF0000"/>
                <w:sz w:val="21"/>
              </w:rPr>
              <w:t>主要用于储存外来及本项目产生的送至</w:t>
            </w:r>
            <w:r>
              <w:rPr>
                <w:rFonts w:hint="eastAsia" w:ascii="Times New Roman" w:hAnsi="Times New Roman" w:cs="Times New Roman"/>
                <w:color w:val="FF0000"/>
                <w:sz w:val="21"/>
              </w:rPr>
              <w:t>物化</w:t>
            </w:r>
            <w:r>
              <w:rPr>
                <w:rFonts w:ascii="Times New Roman" w:hAnsi="Times New Roman" w:cs="Times New Roman"/>
                <w:color w:val="FF0000"/>
                <w:sz w:val="21"/>
              </w:rPr>
              <w:t>车间的危废</w:t>
            </w:r>
            <w:r>
              <w:rPr>
                <w:rFonts w:hint="eastAsia" w:ascii="Times New Roman" w:hAnsi="Times New Roman" w:cs="Times New Roman"/>
                <w:color w:val="FF0000"/>
                <w:sz w:val="21"/>
              </w:rPr>
              <w:t>，还有飞灰</w:t>
            </w:r>
            <w:r>
              <w:rPr>
                <w:rFonts w:hint="eastAsia" w:ascii="Times New Roman"/>
                <w:color w:val="FF0000"/>
                <w:sz w:val="21"/>
              </w:rPr>
              <w:t>。</w:t>
            </w:r>
          </w:p>
        </w:tc>
        <w:tc>
          <w:tcPr>
            <w:tcW w:w="1477" w:type="dxa"/>
            <w:vMerge w:val="continue"/>
            <w:tcBorders>
              <w:left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414" w:hRule="atLeast"/>
          <w:jc w:val="center"/>
        </w:trPr>
        <w:tc>
          <w:tcPr>
            <w:tcW w:w="389" w:type="dxa"/>
            <w:vMerge w:val="continue"/>
            <w:tcBorders>
              <w:left w:val="nil"/>
              <w:right w:val="dotted" w:color="auto" w:sz="4" w:space="0"/>
            </w:tcBorders>
            <w:vAlign w:val="center"/>
          </w:tcPr>
          <w:p>
            <w:pPr>
              <w:widowControl/>
              <w:ind w:firstLine="420"/>
              <w:jc w:val="left"/>
              <w:rPr>
                <w:rFonts w:cs="Times New Roman"/>
                <w:color w:val="FF0000"/>
                <w:sz w:val="21"/>
              </w:rPr>
            </w:pPr>
          </w:p>
        </w:tc>
        <w:tc>
          <w:tcPr>
            <w:tcW w:w="472" w:type="dxa"/>
            <w:vMerge w:val="continue"/>
            <w:tcBorders>
              <w:left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p>
        </w:tc>
        <w:tc>
          <w:tcPr>
            <w:tcW w:w="64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FF0000"/>
              </w:rPr>
            </w:pPr>
            <w:r>
              <w:rPr>
                <w:rFonts w:hint="eastAsia"/>
                <w:color w:val="FF0000"/>
              </w:rPr>
              <w:t>危废暂存库</w:t>
            </w:r>
          </w:p>
        </w:tc>
        <w:tc>
          <w:tcPr>
            <w:tcW w:w="5892" w:type="dxa"/>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jc w:val="center"/>
              <w:rPr>
                <w:rFonts w:cs="Times New Roman"/>
                <w:color w:val="FF0000"/>
                <w:sz w:val="21"/>
              </w:rPr>
            </w:pP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新增1710.27</w:t>
            </w:r>
            <w:r>
              <w:rPr>
                <w:rFonts w:ascii="Times New Roman" w:hAnsi="Times New Roman" w:cs="Times New Roman"/>
                <w:color w:val="FF0000"/>
                <w:sz w:val="21"/>
              </w:rPr>
              <w:t xml:space="preserve"> m</w:t>
            </w:r>
            <w:r>
              <w:rPr>
                <w:rFonts w:ascii="Times New Roman" w:hAnsi="Times New Roman" w:cs="Times New Roman"/>
                <w:color w:val="FF0000"/>
                <w:sz w:val="21"/>
                <w:vertAlign w:val="superscript"/>
              </w:rPr>
              <w:t>2</w:t>
            </w:r>
            <w:r>
              <w:rPr>
                <w:rFonts w:ascii="Times New Roman" w:hAnsi="Times New Roman" w:cs="Times New Roman"/>
                <w:color w:val="FF0000"/>
                <w:sz w:val="21"/>
              </w:rPr>
              <w:t>×</w:t>
            </w:r>
            <w:r>
              <w:rPr>
                <w:rFonts w:hint="eastAsia" w:ascii="Times New Roman" w:hAnsi="Times New Roman" w:cs="Times New Roman"/>
                <w:color w:val="FF0000"/>
                <w:sz w:val="21"/>
              </w:rPr>
              <w:t>8.10</w:t>
            </w:r>
            <w:r>
              <w:rPr>
                <w:rFonts w:ascii="Times New Roman" w:hAnsi="Times New Roman" w:cs="Times New Roman"/>
                <w:color w:val="FF0000"/>
                <w:sz w:val="21"/>
              </w:rPr>
              <w:t>m</w:t>
            </w:r>
            <w:r>
              <w:rPr>
                <w:rFonts w:hint="eastAsia" w:ascii="Times New Roman" w:cs="Times New Roman"/>
                <w:color w:val="FF0000"/>
                <w:sz w:val="21"/>
              </w:rPr>
              <w:t>的危废暂存库，主要用于</w:t>
            </w:r>
            <w:r>
              <w:rPr>
                <w:rFonts w:hint="eastAsia"/>
                <w:color w:val="FF0000"/>
                <w:sz w:val="21"/>
              </w:rPr>
              <w:t>储存入场需要送检的危废。</w:t>
            </w:r>
          </w:p>
        </w:tc>
        <w:tc>
          <w:tcPr>
            <w:tcW w:w="1477" w:type="dxa"/>
            <w:vMerge w:val="continue"/>
            <w:tcBorders>
              <w:left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414" w:hRule="atLeast"/>
          <w:jc w:val="center"/>
        </w:trPr>
        <w:tc>
          <w:tcPr>
            <w:tcW w:w="389" w:type="dxa"/>
            <w:vMerge w:val="continue"/>
            <w:tcBorders>
              <w:left w:val="nil"/>
              <w:right w:val="dotted" w:color="auto" w:sz="4" w:space="0"/>
            </w:tcBorders>
            <w:vAlign w:val="center"/>
          </w:tcPr>
          <w:p>
            <w:pPr>
              <w:widowControl/>
              <w:ind w:firstLine="420"/>
              <w:jc w:val="left"/>
              <w:rPr>
                <w:rFonts w:cs="Times New Roman"/>
                <w:color w:val="FF0000"/>
                <w:sz w:val="21"/>
              </w:rPr>
            </w:pPr>
          </w:p>
        </w:tc>
        <w:tc>
          <w:tcPr>
            <w:tcW w:w="472" w:type="dxa"/>
            <w:vMerge w:val="continue"/>
            <w:tcBorders>
              <w:left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p>
        </w:tc>
        <w:tc>
          <w:tcPr>
            <w:tcW w:w="64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危废</w:t>
            </w:r>
          </w:p>
          <w:p>
            <w:pPr>
              <w:pStyle w:val="187"/>
              <w:spacing w:line="240" w:lineRule="exact"/>
              <w:rPr>
                <w:rFonts w:ascii="Times New Roman"/>
                <w:color w:val="FF0000"/>
              </w:rPr>
            </w:pPr>
            <w:r>
              <w:rPr>
                <w:rFonts w:ascii="Times New Roman"/>
                <w:color w:val="FF0000"/>
              </w:rPr>
              <w:t>罐区</w:t>
            </w:r>
          </w:p>
        </w:tc>
        <w:tc>
          <w:tcPr>
            <w:tcW w:w="5892" w:type="dxa"/>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jc w:val="center"/>
              <w:rPr>
                <w:rFonts w:cs="Times New Roman"/>
                <w:color w:val="FF0000"/>
                <w:sz w:val="21"/>
              </w:rPr>
            </w:pPr>
            <w:r>
              <w:rPr>
                <w:rFonts w:cs="Times New Roman"/>
                <w:color w:val="FF0000"/>
                <w:sz w:val="21"/>
              </w:rPr>
              <w:t>4个23m</w:t>
            </w:r>
            <w:r>
              <w:rPr>
                <w:rFonts w:cs="Times New Roman"/>
                <w:color w:val="FF0000"/>
                <w:sz w:val="21"/>
                <w:vertAlign w:val="superscript"/>
              </w:rPr>
              <w:t>3</w:t>
            </w:r>
            <w:r>
              <w:rPr>
                <w:rFonts w:cs="Times New Roman"/>
                <w:color w:val="FF0000"/>
                <w:sz w:val="21"/>
              </w:rPr>
              <w:t>废酸储罐、2个23m</w:t>
            </w:r>
            <w:r>
              <w:rPr>
                <w:rFonts w:cs="Times New Roman"/>
                <w:color w:val="FF0000"/>
                <w:sz w:val="21"/>
                <w:vertAlign w:val="superscript"/>
              </w:rPr>
              <w:t>3</w:t>
            </w:r>
            <w:r>
              <w:rPr>
                <w:rFonts w:cs="Times New Roman"/>
                <w:color w:val="FF0000"/>
                <w:sz w:val="21"/>
              </w:rPr>
              <w:t>废乳化液储罐、6个48.5m</w:t>
            </w:r>
            <w:r>
              <w:rPr>
                <w:rFonts w:cs="Times New Roman"/>
                <w:color w:val="FF0000"/>
                <w:sz w:val="21"/>
                <w:vertAlign w:val="superscript"/>
              </w:rPr>
              <w:t>3</w:t>
            </w:r>
            <w:r>
              <w:rPr>
                <w:rFonts w:cs="Times New Roman"/>
                <w:color w:val="FF0000"/>
                <w:sz w:val="21"/>
              </w:rPr>
              <w:t>废液储罐</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cs="Times New Roman"/>
                <w:color w:val="FF0000"/>
                <w:sz w:val="21"/>
              </w:rPr>
            </w:pPr>
            <w:r>
              <w:rPr>
                <w:rFonts w:hint="eastAsia" w:ascii="Times New Roman" w:cs="Times New Roman"/>
                <w:color w:val="FF0000"/>
                <w:sz w:val="21"/>
              </w:rPr>
              <w:t>物化车间废液储存罐区：</w:t>
            </w:r>
            <w:r>
              <w:rPr>
                <w:rFonts w:ascii="Times New Roman" w:cs="Times New Roman"/>
                <w:color w:val="FF0000"/>
                <w:sz w:val="21"/>
              </w:rPr>
              <w:t>4</w:t>
            </w:r>
            <w:r>
              <w:rPr>
                <w:rFonts w:hint="eastAsia" w:ascii="Times New Roman" w:cs="Times New Roman"/>
                <w:color w:val="FF0000"/>
                <w:sz w:val="21"/>
              </w:rPr>
              <w:t>台容积为100</w:t>
            </w:r>
            <w:r>
              <w:rPr>
                <w:rFonts w:ascii="Times New Roman" w:cs="Times New Roman"/>
                <w:color w:val="FF0000"/>
                <w:sz w:val="21"/>
              </w:rPr>
              <w:t xml:space="preserve"> m</w:t>
            </w:r>
            <w:r>
              <w:rPr>
                <w:rFonts w:ascii="Times New Roman" w:cs="Times New Roman"/>
                <w:color w:val="FF0000"/>
                <w:sz w:val="21"/>
                <w:vertAlign w:val="superscript"/>
              </w:rPr>
              <w:t>3</w:t>
            </w:r>
            <w:r>
              <w:rPr>
                <w:rFonts w:hint="eastAsia" w:ascii="Times New Roman" w:cs="Times New Roman"/>
                <w:color w:val="FF0000"/>
                <w:sz w:val="21"/>
              </w:rPr>
              <w:t>的废酸储罐；</w:t>
            </w:r>
          </w:p>
          <w:p>
            <w:pPr>
              <w:pStyle w:val="183"/>
              <w:spacing w:line="240" w:lineRule="exact"/>
              <w:ind w:firstLine="0" w:firstLineChars="0"/>
              <w:rPr>
                <w:rFonts w:ascii="Times New Roman" w:cs="Times New Roman"/>
                <w:color w:val="FF0000"/>
                <w:sz w:val="21"/>
              </w:rPr>
            </w:pPr>
            <w:r>
              <w:rPr>
                <w:rFonts w:ascii="Times New Roman" w:cs="Times New Roman"/>
                <w:color w:val="FF0000"/>
                <w:sz w:val="21"/>
              </w:rPr>
              <w:t>2</w:t>
            </w:r>
            <w:r>
              <w:rPr>
                <w:rFonts w:hint="eastAsia" w:ascii="Times New Roman" w:cs="Times New Roman"/>
                <w:color w:val="FF0000"/>
                <w:sz w:val="21"/>
              </w:rPr>
              <w:t>台容积为100</w:t>
            </w:r>
            <w:r>
              <w:rPr>
                <w:rFonts w:ascii="Times New Roman" w:cs="Times New Roman"/>
                <w:color w:val="FF0000"/>
                <w:sz w:val="21"/>
              </w:rPr>
              <w:t xml:space="preserve"> m</w:t>
            </w:r>
            <w:r>
              <w:rPr>
                <w:rFonts w:ascii="Times New Roman" w:cs="Times New Roman"/>
                <w:color w:val="FF0000"/>
                <w:sz w:val="21"/>
                <w:vertAlign w:val="superscript"/>
              </w:rPr>
              <w:t>3</w:t>
            </w:r>
            <w:r>
              <w:rPr>
                <w:rFonts w:hint="eastAsia" w:ascii="Times New Roman" w:cs="Times New Roman"/>
                <w:color w:val="FF0000"/>
                <w:sz w:val="21"/>
              </w:rPr>
              <w:t>的废乳化液储罐；4台容积为100</w:t>
            </w:r>
            <w:r>
              <w:rPr>
                <w:rFonts w:ascii="Times New Roman" w:cs="Times New Roman"/>
                <w:color w:val="FF0000"/>
                <w:sz w:val="21"/>
              </w:rPr>
              <w:t xml:space="preserve"> m</w:t>
            </w:r>
            <w:r>
              <w:rPr>
                <w:rFonts w:ascii="Times New Roman" w:cs="Times New Roman"/>
                <w:color w:val="FF0000"/>
                <w:sz w:val="21"/>
                <w:vertAlign w:val="superscript"/>
              </w:rPr>
              <w:t>3</w:t>
            </w:r>
            <w:r>
              <w:rPr>
                <w:rFonts w:hint="eastAsia" w:ascii="Times New Roman" w:cs="Times New Roman"/>
                <w:color w:val="FF0000"/>
                <w:sz w:val="21"/>
              </w:rPr>
              <w:t>的废碱储罐；5台容积为15</w:t>
            </w:r>
            <w:r>
              <w:rPr>
                <w:rFonts w:ascii="Times New Roman" w:cs="Times New Roman"/>
                <w:color w:val="FF0000"/>
                <w:sz w:val="21"/>
              </w:rPr>
              <w:t xml:space="preserve"> m</w:t>
            </w:r>
            <w:r>
              <w:rPr>
                <w:rFonts w:ascii="Times New Roman" w:cs="Times New Roman"/>
                <w:color w:val="FF0000"/>
                <w:sz w:val="21"/>
                <w:vertAlign w:val="superscript"/>
              </w:rPr>
              <w:t>3</w:t>
            </w:r>
            <w:r>
              <w:rPr>
                <w:rFonts w:hint="eastAsia" w:ascii="Times New Roman" w:cs="Times New Roman"/>
                <w:color w:val="FF0000"/>
                <w:sz w:val="21"/>
              </w:rPr>
              <w:t>的预处理罐；</w:t>
            </w:r>
          </w:p>
          <w:p>
            <w:pPr>
              <w:pStyle w:val="183"/>
              <w:spacing w:line="240" w:lineRule="exact"/>
              <w:ind w:firstLine="0" w:firstLineChars="0"/>
              <w:rPr>
                <w:rFonts w:ascii="Times New Roman" w:hAnsi="Times New Roman" w:cs="Times New Roman"/>
                <w:color w:val="FF0000"/>
                <w:sz w:val="21"/>
              </w:rPr>
            </w:pPr>
            <w:r>
              <w:rPr>
                <w:rFonts w:hint="eastAsia" w:ascii="Times New Roman" w:cs="Times New Roman"/>
                <w:color w:val="FF0000"/>
                <w:sz w:val="21"/>
              </w:rPr>
              <w:t>送往焚烧车间废液储存罐区：4台容积为300</w:t>
            </w:r>
            <w:r>
              <w:rPr>
                <w:rFonts w:ascii="Times New Roman" w:cs="Times New Roman"/>
                <w:color w:val="FF0000"/>
                <w:sz w:val="21"/>
              </w:rPr>
              <w:t>m</w:t>
            </w:r>
            <w:r>
              <w:rPr>
                <w:rFonts w:ascii="Times New Roman" w:cs="Times New Roman"/>
                <w:color w:val="FF0000"/>
                <w:sz w:val="21"/>
                <w:vertAlign w:val="superscript"/>
              </w:rPr>
              <w:t>3</w:t>
            </w:r>
            <w:r>
              <w:rPr>
                <w:rFonts w:hint="eastAsia" w:ascii="Times New Roman" w:cs="Times New Roman"/>
                <w:color w:val="FF0000"/>
                <w:sz w:val="21"/>
              </w:rPr>
              <w:t>的废液储罐。</w:t>
            </w:r>
          </w:p>
        </w:tc>
        <w:tc>
          <w:tcPr>
            <w:tcW w:w="1477" w:type="dxa"/>
            <w:vMerge w:val="continue"/>
            <w:tcBorders>
              <w:left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414" w:hRule="atLeast"/>
          <w:jc w:val="center"/>
        </w:trPr>
        <w:tc>
          <w:tcPr>
            <w:tcW w:w="389" w:type="dxa"/>
            <w:vMerge w:val="continue"/>
            <w:tcBorders>
              <w:left w:val="nil"/>
              <w:right w:val="dotted" w:color="auto" w:sz="4" w:space="0"/>
            </w:tcBorders>
            <w:vAlign w:val="center"/>
          </w:tcPr>
          <w:p>
            <w:pPr>
              <w:widowControl/>
              <w:ind w:firstLine="420"/>
              <w:jc w:val="left"/>
              <w:rPr>
                <w:rFonts w:cs="Times New Roman"/>
                <w:color w:val="FF0000"/>
                <w:sz w:val="21"/>
              </w:rPr>
            </w:pPr>
          </w:p>
        </w:tc>
        <w:tc>
          <w:tcPr>
            <w:tcW w:w="472" w:type="dxa"/>
            <w:vMerge w:val="continue"/>
            <w:tcBorders>
              <w:left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p>
        </w:tc>
        <w:tc>
          <w:tcPr>
            <w:tcW w:w="64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综合</w:t>
            </w:r>
          </w:p>
          <w:p>
            <w:pPr>
              <w:pStyle w:val="187"/>
              <w:spacing w:line="240" w:lineRule="exact"/>
              <w:rPr>
                <w:rFonts w:ascii="Times New Roman"/>
                <w:color w:val="FF0000"/>
              </w:rPr>
            </w:pPr>
            <w:r>
              <w:rPr>
                <w:rFonts w:ascii="Times New Roman"/>
                <w:color w:val="FF0000"/>
              </w:rPr>
              <w:t>仓库</w:t>
            </w:r>
          </w:p>
        </w:tc>
        <w:tc>
          <w:tcPr>
            <w:tcW w:w="11054" w:type="dxa"/>
            <w:gridSpan w:val="3"/>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cs="Times New Roman"/>
                <w:color w:val="FF0000"/>
                <w:sz w:val="21"/>
              </w:rPr>
              <w:t>1座696m</w:t>
            </w:r>
            <w:r>
              <w:rPr>
                <w:rFonts w:cs="Times New Roman"/>
                <w:color w:val="FF0000"/>
                <w:sz w:val="21"/>
                <w:vertAlign w:val="superscript"/>
              </w:rPr>
              <w:t>2</w:t>
            </w:r>
            <w:r>
              <w:rPr>
                <w:rFonts w:cs="Times New Roman"/>
                <w:color w:val="FF0000"/>
                <w:sz w:val="21"/>
              </w:rPr>
              <w:t>×6.5m的综合仓库，用来贮存消石灰、氢氧化钠等辅助材料</w:t>
            </w:r>
            <w:r>
              <w:rPr>
                <w:rFonts w:hint="eastAsia" w:cs="Times New Roman"/>
                <w:color w:val="FF0000"/>
                <w:sz w:val="21"/>
              </w:rPr>
              <w:t>。</w:t>
            </w:r>
          </w:p>
        </w:tc>
        <w:tc>
          <w:tcPr>
            <w:tcW w:w="1477" w:type="dxa"/>
            <w:vMerge w:val="continue"/>
            <w:tcBorders>
              <w:left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535" w:hRule="atLeast"/>
          <w:jc w:val="center"/>
        </w:trPr>
        <w:tc>
          <w:tcPr>
            <w:tcW w:w="389" w:type="dxa"/>
            <w:vMerge w:val="continue"/>
            <w:tcBorders>
              <w:left w:val="nil"/>
              <w:right w:val="dotted" w:color="auto" w:sz="4" w:space="0"/>
            </w:tcBorders>
            <w:vAlign w:val="center"/>
          </w:tcPr>
          <w:p>
            <w:pPr>
              <w:widowControl/>
              <w:ind w:firstLine="420"/>
              <w:jc w:val="left"/>
              <w:rPr>
                <w:rFonts w:cs="Times New Roman"/>
                <w:color w:val="FF0000"/>
                <w:sz w:val="21"/>
              </w:rPr>
            </w:pPr>
          </w:p>
        </w:tc>
        <w:tc>
          <w:tcPr>
            <w:tcW w:w="472" w:type="dxa"/>
            <w:vMerge w:val="continue"/>
            <w:tcBorders>
              <w:left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p>
        </w:tc>
        <w:tc>
          <w:tcPr>
            <w:tcW w:w="64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柴油</w:t>
            </w:r>
          </w:p>
          <w:p>
            <w:pPr>
              <w:pStyle w:val="187"/>
              <w:spacing w:line="240" w:lineRule="exact"/>
              <w:rPr>
                <w:rFonts w:ascii="Times New Roman"/>
                <w:color w:val="FF0000"/>
              </w:rPr>
            </w:pPr>
            <w:r>
              <w:rPr>
                <w:rFonts w:ascii="Times New Roman"/>
                <w:color w:val="FF0000"/>
              </w:rPr>
              <w:t>储罐</w:t>
            </w:r>
          </w:p>
        </w:tc>
        <w:tc>
          <w:tcPr>
            <w:tcW w:w="5892" w:type="dxa"/>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jc w:val="center"/>
              <w:rPr>
                <w:rFonts w:cs="Times New Roman"/>
                <w:color w:val="FF0000"/>
                <w:sz w:val="21"/>
              </w:rPr>
            </w:pPr>
            <w:r>
              <w:rPr>
                <w:rFonts w:cs="Times New Roman"/>
                <w:color w:val="FF0000"/>
                <w:sz w:val="21"/>
              </w:rPr>
              <w:t>2座18.3m</w:t>
            </w:r>
            <w:r>
              <w:rPr>
                <w:rFonts w:cs="Times New Roman"/>
                <w:color w:val="FF0000"/>
                <w:sz w:val="21"/>
                <w:vertAlign w:val="superscript"/>
              </w:rPr>
              <w:t>3</w:t>
            </w:r>
            <w:r>
              <w:rPr>
                <w:rFonts w:cs="Times New Roman"/>
                <w:color w:val="FF0000"/>
                <w:sz w:val="21"/>
              </w:rPr>
              <w:t>的柴油储罐</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1个</w:t>
            </w:r>
            <w:r>
              <w:rPr>
                <w:rFonts w:hint="eastAsia" w:ascii="Times New Roman" w:hAnsi="Times New Roman" w:cs="Times New Roman"/>
                <w:color w:val="FF0000"/>
                <w:sz w:val="21"/>
              </w:rPr>
              <w:t>20</w:t>
            </w:r>
            <w:r>
              <w:rPr>
                <w:rFonts w:ascii="Times New Roman" w:hAnsi="Times New Roman" w:cs="Times New Roman"/>
                <w:color w:val="FF0000"/>
                <w:sz w:val="21"/>
              </w:rPr>
              <w:t>m</w:t>
            </w:r>
            <w:r>
              <w:rPr>
                <w:rFonts w:ascii="Times New Roman" w:hAnsi="Times New Roman" w:cs="Times New Roman"/>
                <w:color w:val="FF0000"/>
                <w:sz w:val="21"/>
                <w:vertAlign w:val="superscript"/>
              </w:rPr>
              <w:t>3</w:t>
            </w:r>
            <w:r>
              <w:rPr>
                <w:rFonts w:ascii="Times New Roman" w:cs="Times New Roman"/>
                <w:color w:val="FF0000"/>
                <w:sz w:val="21"/>
              </w:rPr>
              <w:t>的柴油储罐</w:t>
            </w:r>
            <w:r>
              <w:rPr>
                <w:rFonts w:ascii="Times New Roman" w:hAnsi="Times New Roman" w:cs="Times New Roman"/>
                <w:color w:val="FF0000"/>
                <w:sz w:val="21"/>
              </w:rPr>
              <w:t>，设置于储罐区</w:t>
            </w:r>
          </w:p>
        </w:tc>
        <w:tc>
          <w:tcPr>
            <w:tcW w:w="1477" w:type="dxa"/>
            <w:vMerge w:val="continue"/>
            <w:tcBorders>
              <w:left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535" w:hRule="atLeast"/>
          <w:jc w:val="center"/>
        </w:trPr>
        <w:tc>
          <w:tcPr>
            <w:tcW w:w="389" w:type="dxa"/>
            <w:vMerge w:val="continue"/>
            <w:tcBorders>
              <w:left w:val="nil"/>
              <w:bottom w:val="single" w:color="auto" w:sz="12" w:space="0"/>
              <w:right w:val="dotted" w:color="auto" w:sz="4" w:space="0"/>
            </w:tcBorders>
            <w:vAlign w:val="center"/>
          </w:tcPr>
          <w:p>
            <w:pPr>
              <w:widowControl/>
              <w:ind w:firstLine="420"/>
              <w:jc w:val="left"/>
              <w:rPr>
                <w:rFonts w:cs="Times New Roman"/>
                <w:color w:val="FF0000"/>
                <w:sz w:val="21"/>
              </w:rPr>
            </w:pPr>
          </w:p>
        </w:tc>
        <w:tc>
          <w:tcPr>
            <w:tcW w:w="472" w:type="dxa"/>
            <w:vMerge w:val="continue"/>
            <w:tcBorders>
              <w:left w:val="dotted" w:color="auto" w:sz="4" w:space="0"/>
              <w:bottom w:val="single" w:color="auto" w:sz="12"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p>
        </w:tc>
        <w:tc>
          <w:tcPr>
            <w:tcW w:w="649" w:type="dxa"/>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FF0000"/>
              </w:rPr>
            </w:pPr>
            <w:r>
              <w:rPr>
                <w:rFonts w:ascii="Times New Roman"/>
                <w:color w:val="FF0000"/>
              </w:rPr>
              <w:t>飞灰</w:t>
            </w:r>
          </w:p>
          <w:p>
            <w:pPr>
              <w:pStyle w:val="187"/>
              <w:spacing w:line="240" w:lineRule="exact"/>
              <w:rPr>
                <w:rFonts w:ascii="Times New Roman"/>
                <w:color w:val="FF0000"/>
              </w:rPr>
            </w:pPr>
            <w:r>
              <w:rPr>
                <w:rFonts w:ascii="Times New Roman"/>
                <w:color w:val="FF0000"/>
              </w:rPr>
              <w:t>筒仓</w:t>
            </w:r>
          </w:p>
        </w:tc>
        <w:tc>
          <w:tcPr>
            <w:tcW w:w="5892" w:type="dxa"/>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FF0000"/>
              </w:rPr>
            </w:pPr>
            <w:r>
              <w:rPr>
                <w:rFonts w:ascii="Times New Roman"/>
                <w:color w:val="FF0000"/>
              </w:rPr>
              <w:t>1座30m</w:t>
            </w:r>
            <w:r>
              <w:rPr>
                <w:rFonts w:ascii="Times New Roman"/>
                <w:color w:val="FF0000"/>
                <w:vertAlign w:val="superscript"/>
              </w:rPr>
              <w:t>3</w:t>
            </w:r>
            <w:r>
              <w:rPr>
                <w:rFonts w:ascii="Times New Roman"/>
                <w:color w:val="FF0000"/>
              </w:rPr>
              <w:t>的飞灰筒仓</w:t>
            </w:r>
          </w:p>
        </w:tc>
        <w:tc>
          <w:tcPr>
            <w:tcW w:w="5162" w:type="dxa"/>
            <w:gridSpan w:val="2"/>
            <w:tcBorders>
              <w:top w:val="dotted" w:color="auto" w:sz="4" w:space="0"/>
              <w:left w:val="dotted" w:color="auto" w:sz="4" w:space="0"/>
              <w:bottom w:val="single" w:color="auto" w:sz="12"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不单独设置飞灰库。</w:t>
            </w:r>
          </w:p>
        </w:tc>
        <w:tc>
          <w:tcPr>
            <w:tcW w:w="1477" w:type="dxa"/>
            <w:vMerge w:val="continue"/>
            <w:tcBorders>
              <w:left w:val="dotted" w:color="auto" w:sz="4" w:space="0"/>
              <w:bottom w:val="single" w:color="auto" w:sz="12" w:space="0"/>
              <w:right w:val="nil"/>
            </w:tcBorders>
            <w:vAlign w:val="center"/>
          </w:tcPr>
          <w:p>
            <w:pPr>
              <w:pStyle w:val="183"/>
              <w:spacing w:line="240" w:lineRule="exact"/>
              <w:ind w:firstLine="0" w:firstLineChars="0"/>
              <w:rPr>
                <w:rFonts w:ascii="Times New Roman" w:hAnsi="Times New Roman" w:cs="Times New Roman"/>
                <w:color w:val="FF000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22" w:hRule="atLeast"/>
          <w:jc w:val="center"/>
        </w:trPr>
        <w:tc>
          <w:tcPr>
            <w:tcW w:w="389"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FF0000"/>
              </w:rPr>
            </w:pPr>
            <w:r>
              <w:rPr>
                <w:rFonts w:ascii="Times New Roman"/>
                <w:color w:val="FF0000"/>
              </w:rPr>
              <w:t>3</w:t>
            </w:r>
          </w:p>
        </w:tc>
        <w:tc>
          <w:tcPr>
            <w:tcW w:w="13652" w:type="dxa"/>
            <w:gridSpan w:val="6"/>
            <w:tcBorders>
              <w:top w:val="dotted" w:color="auto" w:sz="4" w:space="0"/>
              <w:left w:val="dotted" w:color="auto" w:sz="4" w:space="0"/>
              <w:bottom w:val="single" w:color="auto" w:sz="12"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环保工程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389" w:type="dxa"/>
            <w:tcBorders>
              <w:top w:val="single" w:color="auto" w:sz="12"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3.1</w:t>
            </w:r>
          </w:p>
        </w:tc>
        <w:tc>
          <w:tcPr>
            <w:tcW w:w="1121" w:type="dxa"/>
            <w:gridSpan w:val="2"/>
            <w:tcBorders>
              <w:top w:val="single" w:color="auto" w:sz="12"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废气治理</w:t>
            </w:r>
          </w:p>
        </w:tc>
        <w:tc>
          <w:tcPr>
            <w:tcW w:w="5912" w:type="dxa"/>
            <w:gridSpan w:val="2"/>
            <w:tcBorders>
              <w:top w:val="single" w:color="auto" w:sz="12"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color w:val="FF0000"/>
                <w:sz w:val="21"/>
              </w:rPr>
              <w:t>危废暂存库有组织废气经紫外光系统</w:t>
            </w:r>
            <w:r>
              <w:rPr>
                <w:rFonts w:ascii="Times New Roman"/>
                <w:color w:val="FF0000"/>
                <w:sz w:val="21"/>
              </w:rPr>
              <w:t>+</w:t>
            </w:r>
            <w:r>
              <w:rPr>
                <w:rFonts w:hint="eastAsia" w:ascii="Times New Roman"/>
                <w:color w:val="FF0000"/>
                <w:sz w:val="21"/>
              </w:rPr>
              <w:t>活性炭纤维有机废气净化器处理后，由</w:t>
            </w:r>
            <w:r>
              <w:rPr>
                <w:rFonts w:ascii="Times New Roman"/>
                <w:color w:val="FF0000"/>
                <w:sz w:val="21"/>
              </w:rPr>
              <w:t>20m</w:t>
            </w:r>
            <w:r>
              <w:rPr>
                <w:rFonts w:hint="eastAsia" w:ascii="Times New Roman"/>
                <w:color w:val="FF0000"/>
                <w:sz w:val="21"/>
              </w:rPr>
              <w:t>烟囱排放。物化车间中和反应池排气送至酸雾吸收塔与碱液充分反应后，由</w:t>
            </w:r>
            <w:r>
              <w:rPr>
                <w:rFonts w:ascii="Times New Roman"/>
                <w:color w:val="FF0000"/>
                <w:sz w:val="21"/>
              </w:rPr>
              <w:t>20m</w:t>
            </w:r>
            <w:r>
              <w:rPr>
                <w:rFonts w:hint="eastAsia" w:ascii="Times New Roman"/>
                <w:color w:val="FF0000"/>
                <w:sz w:val="21"/>
              </w:rPr>
              <w:t>烟囱排放。焚烧车间焚烧废气经</w:t>
            </w:r>
            <w:r>
              <w:rPr>
                <w:rFonts w:ascii="Times New Roman"/>
                <w:color w:val="FF0000"/>
                <w:sz w:val="21"/>
              </w:rPr>
              <w:t>SNCR</w:t>
            </w:r>
            <w:r>
              <w:rPr>
                <w:rFonts w:hint="eastAsia" w:ascii="Times New Roman"/>
                <w:color w:val="FF0000"/>
                <w:sz w:val="21"/>
              </w:rPr>
              <w:t>脱硝系统</w:t>
            </w:r>
            <w:r>
              <w:rPr>
                <w:rFonts w:ascii="Times New Roman"/>
                <w:color w:val="FF0000"/>
                <w:sz w:val="21"/>
              </w:rPr>
              <w:t>+</w:t>
            </w:r>
            <w:r>
              <w:rPr>
                <w:rFonts w:hint="eastAsia" w:ascii="Times New Roman"/>
                <w:color w:val="FF0000"/>
                <w:sz w:val="21"/>
              </w:rPr>
              <w:t>旋风收尘器</w:t>
            </w:r>
            <w:r>
              <w:rPr>
                <w:rFonts w:ascii="Times New Roman"/>
                <w:color w:val="FF0000"/>
                <w:sz w:val="21"/>
              </w:rPr>
              <w:t>+</w:t>
            </w:r>
            <w:r>
              <w:rPr>
                <w:rFonts w:hint="eastAsia" w:ascii="Times New Roman"/>
                <w:color w:val="FF0000"/>
                <w:sz w:val="21"/>
              </w:rPr>
              <w:t>余热锅炉</w:t>
            </w:r>
            <w:r>
              <w:rPr>
                <w:rFonts w:ascii="Times New Roman"/>
                <w:color w:val="FF0000"/>
                <w:sz w:val="21"/>
              </w:rPr>
              <w:t>+</w:t>
            </w:r>
            <w:r>
              <w:rPr>
                <w:rFonts w:hint="eastAsia" w:ascii="Times New Roman"/>
                <w:color w:val="FF0000"/>
                <w:sz w:val="21"/>
              </w:rPr>
              <w:t>急冷脱酸塔</w:t>
            </w:r>
            <w:r>
              <w:rPr>
                <w:rFonts w:ascii="Times New Roman"/>
                <w:color w:val="FF0000"/>
                <w:sz w:val="21"/>
              </w:rPr>
              <w:t>+</w:t>
            </w:r>
            <w:r>
              <w:rPr>
                <w:rFonts w:hint="eastAsia" w:ascii="Times New Roman"/>
                <w:color w:val="FF0000"/>
                <w:sz w:val="21"/>
              </w:rPr>
              <w:t>干式反应器</w:t>
            </w:r>
            <w:r>
              <w:rPr>
                <w:rFonts w:ascii="Times New Roman"/>
                <w:color w:val="FF0000"/>
                <w:sz w:val="21"/>
              </w:rPr>
              <w:t>+</w:t>
            </w:r>
            <w:r>
              <w:rPr>
                <w:rFonts w:hint="eastAsia" w:ascii="Times New Roman"/>
                <w:color w:val="FF0000"/>
                <w:sz w:val="21"/>
              </w:rPr>
              <w:t>袋式除尘器</w:t>
            </w:r>
            <w:r>
              <w:rPr>
                <w:rFonts w:ascii="Times New Roman"/>
                <w:color w:val="FF0000"/>
                <w:sz w:val="21"/>
              </w:rPr>
              <w:t>+</w:t>
            </w:r>
            <w:r>
              <w:rPr>
                <w:rFonts w:hint="eastAsia" w:ascii="Times New Roman"/>
                <w:color w:val="FF0000"/>
                <w:sz w:val="21"/>
              </w:rPr>
              <w:t>喷淋洗涤塔</w:t>
            </w:r>
            <w:r>
              <w:rPr>
                <w:rFonts w:ascii="Times New Roman"/>
                <w:color w:val="FF0000"/>
                <w:sz w:val="21"/>
              </w:rPr>
              <w:t>+</w:t>
            </w:r>
            <w:r>
              <w:rPr>
                <w:rFonts w:hint="eastAsia" w:ascii="Times New Roman"/>
                <w:color w:val="FF0000"/>
                <w:sz w:val="21"/>
              </w:rPr>
              <w:t>尾气加热后，由</w:t>
            </w:r>
            <w:r>
              <w:rPr>
                <w:rFonts w:ascii="Times New Roman"/>
                <w:color w:val="FF0000"/>
                <w:sz w:val="21"/>
              </w:rPr>
              <w:t>45m</w:t>
            </w:r>
            <w:r>
              <w:rPr>
                <w:rFonts w:hint="eastAsia" w:ascii="Times New Roman"/>
                <w:color w:val="FF0000"/>
                <w:sz w:val="21"/>
              </w:rPr>
              <w:t>烟囱排放。固化车间转运及上料系统排气经布袋除尘器除尘后，由</w:t>
            </w:r>
            <w:r>
              <w:rPr>
                <w:rFonts w:ascii="Times New Roman"/>
                <w:color w:val="FF0000"/>
                <w:sz w:val="21"/>
              </w:rPr>
              <w:t>20m</w:t>
            </w:r>
            <w:r>
              <w:rPr>
                <w:rFonts w:hint="eastAsia" w:ascii="Times New Roman"/>
                <w:color w:val="FF0000"/>
                <w:sz w:val="21"/>
              </w:rPr>
              <w:t>烟囱排放。污水处理系统强制循环蒸发器排气经活性炭纤维有机废气净化器处理后，由</w:t>
            </w:r>
            <w:r>
              <w:rPr>
                <w:rFonts w:ascii="Times New Roman"/>
                <w:color w:val="FF0000"/>
                <w:sz w:val="21"/>
              </w:rPr>
              <w:t>15m</w:t>
            </w:r>
            <w:r>
              <w:rPr>
                <w:rFonts w:hint="eastAsia" w:ascii="Times New Roman"/>
                <w:color w:val="FF0000"/>
                <w:sz w:val="21"/>
              </w:rPr>
              <w:t>烟囱排放。</w:t>
            </w:r>
          </w:p>
        </w:tc>
        <w:tc>
          <w:tcPr>
            <w:tcW w:w="5142" w:type="dxa"/>
            <w:tcBorders>
              <w:top w:val="single" w:color="auto" w:sz="12"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color w:val="FF0000"/>
                <w:sz w:val="21"/>
              </w:rPr>
              <w:t>各危废暂存库有组织废气经液碱喷淋塔+紫外光系统</w:t>
            </w:r>
            <w:r>
              <w:rPr>
                <w:rFonts w:ascii="Times New Roman"/>
                <w:color w:val="FF0000"/>
                <w:sz w:val="21"/>
              </w:rPr>
              <w:t>+</w:t>
            </w:r>
            <w:r>
              <w:rPr>
                <w:rFonts w:hint="eastAsia" w:ascii="Times New Roman"/>
                <w:color w:val="FF0000"/>
                <w:sz w:val="21"/>
              </w:rPr>
              <w:t>活性炭纤维有机废气净化器处理后，由</w:t>
            </w:r>
            <w:r>
              <w:rPr>
                <w:rFonts w:ascii="Times New Roman"/>
                <w:color w:val="FF0000"/>
                <w:sz w:val="21"/>
              </w:rPr>
              <w:t>20m</w:t>
            </w:r>
            <w:r>
              <w:rPr>
                <w:rFonts w:hint="eastAsia" w:ascii="Times New Roman"/>
                <w:color w:val="FF0000"/>
                <w:sz w:val="21"/>
              </w:rPr>
              <w:t>烟囱排放；焚烧车间焚烧废气经</w:t>
            </w:r>
            <w:r>
              <w:rPr>
                <w:rFonts w:ascii="Times New Roman"/>
                <w:color w:val="FF0000"/>
                <w:sz w:val="21"/>
              </w:rPr>
              <w:t>SNCR</w:t>
            </w:r>
            <w:r>
              <w:rPr>
                <w:rFonts w:hint="eastAsia" w:ascii="Times New Roman"/>
                <w:color w:val="FF0000"/>
                <w:sz w:val="21"/>
              </w:rPr>
              <w:t>脱硝</w:t>
            </w:r>
            <w:r>
              <w:rPr>
                <w:rFonts w:ascii="Times New Roman"/>
                <w:color w:val="FF0000"/>
                <w:sz w:val="21"/>
              </w:rPr>
              <w:t>+</w:t>
            </w:r>
            <w:r>
              <w:rPr>
                <w:rFonts w:hint="eastAsia" w:ascii="Times New Roman"/>
                <w:color w:val="FF0000"/>
                <w:sz w:val="21"/>
              </w:rPr>
              <w:t>急冷塔</w:t>
            </w:r>
            <w:r>
              <w:rPr>
                <w:rFonts w:ascii="Times New Roman"/>
                <w:color w:val="FF0000"/>
                <w:sz w:val="21"/>
              </w:rPr>
              <w:t>+</w:t>
            </w:r>
            <w:r>
              <w:rPr>
                <w:rFonts w:hint="eastAsia" w:ascii="Times New Roman"/>
                <w:color w:val="FF0000"/>
                <w:sz w:val="21"/>
              </w:rPr>
              <w:t>干式反应器</w:t>
            </w:r>
            <w:r>
              <w:rPr>
                <w:rFonts w:ascii="Times New Roman"/>
                <w:color w:val="FF0000"/>
                <w:sz w:val="21"/>
              </w:rPr>
              <w:t>+</w:t>
            </w:r>
            <w:r>
              <w:rPr>
                <w:rFonts w:hint="eastAsia" w:ascii="Times New Roman"/>
                <w:color w:val="FF0000"/>
                <w:sz w:val="21"/>
              </w:rPr>
              <w:t>袋式除尘</w:t>
            </w:r>
            <w:r>
              <w:rPr>
                <w:rFonts w:ascii="Times New Roman"/>
                <w:color w:val="FF0000"/>
                <w:sz w:val="21"/>
              </w:rPr>
              <w:t>+</w:t>
            </w:r>
            <w:r>
              <w:rPr>
                <w:rFonts w:hint="eastAsia" w:ascii="Times New Roman"/>
                <w:color w:val="FF0000"/>
                <w:sz w:val="21"/>
              </w:rPr>
              <w:t>二级湿法脱酸系统</w:t>
            </w:r>
            <w:r>
              <w:rPr>
                <w:rFonts w:ascii="Times New Roman"/>
                <w:color w:val="FF0000"/>
                <w:sz w:val="21"/>
              </w:rPr>
              <w:t>+</w:t>
            </w:r>
            <w:r>
              <w:rPr>
                <w:rFonts w:hint="eastAsia" w:ascii="Times New Roman"/>
                <w:color w:val="FF0000"/>
                <w:sz w:val="21"/>
              </w:rPr>
              <w:t>湿式电除雾器</w:t>
            </w:r>
            <w:r>
              <w:rPr>
                <w:rFonts w:ascii="Times New Roman"/>
                <w:color w:val="FF0000"/>
                <w:sz w:val="21"/>
              </w:rPr>
              <w:t>+</w:t>
            </w:r>
            <w:r>
              <w:rPr>
                <w:rFonts w:hint="eastAsia" w:ascii="Times New Roman"/>
                <w:color w:val="FF0000"/>
                <w:sz w:val="21"/>
              </w:rPr>
              <w:t>尾气加热后，由</w:t>
            </w:r>
            <w:r>
              <w:rPr>
                <w:rFonts w:ascii="Times New Roman"/>
                <w:color w:val="FF0000"/>
                <w:sz w:val="21"/>
              </w:rPr>
              <w:t>50m</w:t>
            </w:r>
            <w:r>
              <w:rPr>
                <w:rFonts w:hint="eastAsia" w:ascii="Times New Roman"/>
                <w:color w:val="FF0000"/>
                <w:sz w:val="21"/>
              </w:rPr>
              <w:t>烟囱排放；污水处理系统三效蒸发器排气经活性炭纤维有机废气净化器处理后，由</w:t>
            </w:r>
            <w:r>
              <w:rPr>
                <w:rFonts w:ascii="Times New Roman"/>
                <w:color w:val="FF0000"/>
                <w:sz w:val="21"/>
              </w:rPr>
              <w:t>15m</w:t>
            </w:r>
            <w:r>
              <w:rPr>
                <w:rFonts w:hint="eastAsia" w:ascii="Times New Roman"/>
                <w:color w:val="FF0000"/>
                <w:sz w:val="21"/>
              </w:rPr>
              <w:t>烟囱排放。</w:t>
            </w:r>
          </w:p>
        </w:tc>
        <w:tc>
          <w:tcPr>
            <w:tcW w:w="1477" w:type="dxa"/>
            <w:tcBorders>
              <w:top w:val="single" w:color="auto" w:sz="12"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废气治理措施有调整。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389"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hint="eastAsia" w:ascii="Times New Roman"/>
                <w:color w:val="FF0000"/>
              </w:rPr>
              <w:t>3.2</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废水治理</w:t>
            </w:r>
          </w:p>
        </w:tc>
        <w:tc>
          <w:tcPr>
            <w:tcW w:w="5892"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jc w:val="both"/>
              <w:rPr>
                <w:rFonts w:ascii="Times New Roman"/>
                <w:color w:val="FF0000"/>
              </w:rPr>
            </w:pPr>
            <w:r>
              <w:rPr>
                <w:rFonts w:ascii="Times New Roman"/>
                <w:color w:val="FF0000"/>
              </w:rPr>
              <w:t>本项目焚烧车间喷淋洗涤塔排水由本车间污水处理模块经“絮凝沉淀”处理后送至物化车间污水处理模块；物化车间澄清池排水和沉淀池废水经“絮凝沉淀”处理后，与焚烧车间污水处理模块排水、污水处理站排浓水采用“Fenton+强制循环蒸发”的方法进行处理，处理后的冷凝液与冲洗废水、化验用水、安全填埋场渗滤液以及生活污水送至全厂污水处理站，经“絮凝沉淀+水解酸化+MBR+回用系统”处理后，出水部分回用至固化车间，其余回用至焚烧车间，浓水送至物化车间污水处理模块。本项目循环水系统排水、物化车间酸雾吸收塔排水、余热锅炉排水及软化水系统排水等直接送至焚烧车间进行综合利用。</w:t>
            </w:r>
            <w:r>
              <w:rPr>
                <w:rFonts w:ascii="Times New Roman"/>
                <w:color w:val="FF0000"/>
                <w:lang w:val="pt-BR"/>
              </w:rPr>
              <w:t>本项目处理后的废水全部回用于各生产工段，全厂无废水外排。</w:t>
            </w:r>
          </w:p>
        </w:tc>
        <w:tc>
          <w:tcPr>
            <w:tcW w:w="5162"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cs="Times New Roman"/>
                <w:color w:val="FF0000"/>
                <w:sz w:val="21"/>
              </w:rPr>
              <w:t>本项目物化车间澄清池排水和沉淀池废水经</w:t>
            </w:r>
            <w:r>
              <w:rPr>
                <w:rFonts w:ascii="Times New Roman" w:hAnsi="Times New Roman" w:cs="Times New Roman"/>
                <w:color w:val="FF0000"/>
                <w:sz w:val="21"/>
              </w:rPr>
              <w:t>“</w:t>
            </w:r>
            <w:r>
              <w:rPr>
                <w:rFonts w:ascii="Times New Roman" w:cs="Times New Roman"/>
                <w:color w:val="FF0000"/>
                <w:sz w:val="21"/>
              </w:rPr>
              <w:t>絮凝沉淀</w:t>
            </w:r>
            <w:r>
              <w:rPr>
                <w:rFonts w:ascii="Times New Roman" w:hAnsi="Times New Roman" w:cs="Times New Roman"/>
                <w:color w:val="FF0000"/>
                <w:sz w:val="21"/>
              </w:rPr>
              <w:t>”</w:t>
            </w:r>
            <w:r>
              <w:rPr>
                <w:rFonts w:ascii="Times New Roman" w:cs="Times New Roman"/>
                <w:color w:val="FF0000"/>
                <w:sz w:val="21"/>
              </w:rPr>
              <w:t>处理后排水、焚烧车间喷淋洗涤塔排水由本车间污水处理模块经</w:t>
            </w:r>
            <w:r>
              <w:rPr>
                <w:rFonts w:ascii="Times New Roman" w:hAnsi="Times New Roman" w:cs="Times New Roman"/>
                <w:color w:val="FF0000"/>
                <w:sz w:val="21"/>
              </w:rPr>
              <w:t>“</w:t>
            </w:r>
            <w:r>
              <w:rPr>
                <w:rFonts w:ascii="Times New Roman" w:cs="Times New Roman"/>
                <w:color w:val="FF0000"/>
                <w:sz w:val="21"/>
              </w:rPr>
              <w:t>絮凝沉淀</w:t>
            </w:r>
            <w:r>
              <w:rPr>
                <w:rFonts w:ascii="Times New Roman" w:hAnsi="Times New Roman" w:cs="Times New Roman"/>
                <w:color w:val="FF0000"/>
                <w:sz w:val="21"/>
              </w:rPr>
              <w:t>”</w:t>
            </w:r>
            <w:r>
              <w:rPr>
                <w:rFonts w:ascii="Times New Roman" w:cs="Times New Roman"/>
                <w:color w:val="FF0000"/>
                <w:sz w:val="21"/>
              </w:rPr>
              <w:t>处理后排水、冲洗废水、安全填埋场渗滤液、物化车间酸雾吸收塔排水、循环水系统排水、余热锅炉排水及软化水系统排水、污水处理站排浓水进污水处理站采用</w:t>
            </w:r>
            <w:r>
              <w:rPr>
                <w:rFonts w:ascii="Times New Roman" w:hAnsi="Times New Roman" w:cs="Times New Roman"/>
                <w:color w:val="FF0000"/>
                <w:sz w:val="21"/>
              </w:rPr>
              <w:t>“Fenton+</w:t>
            </w:r>
            <w:r>
              <w:rPr>
                <w:rFonts w:ascii="Times New Roman" w:cs="Times New Roman"/>
                <w:color w:val="FF0000"/>
                <w:sz w:val="21"/>
              </w:rPr>
              <w:t>强制循环蒸发</w:t>
            </w:r>
            <w:r>
              <w:rPr>
                <w:rFonts w:ascii="Times New Roman" w:hAnsi="Times New Roman" w:cs="Times New Roman"/>
                <w:color w:val="FF0000"/>
                <w:sz w:val="21"/>
              </w:rPr>
              <w:t>”</w:t>
            </w:r>
            <w:r>
              <w:rPr>
                <w:rFonts w:ascii="Times New Roman" w:cs="Times New Roman"/>
                <w:color w:val="FF0000"/>
                <w:sz w:val="21"/>
              </w:rPr>
              <w:t>的方法进行处理，处理后的冷凝液与化验用水以及生活污水送至污水处理站，经</w:t>
            </w:r>
            <w:r>
              <w:rPr>
                <w:rFonts w:ascii="Times New Roman" w:hAnsi="Times New Roman" w:cs="Times New Roman"/>
                <w:color w:val="FF0000"/>
                <w:sz w:val="21"/>
              </w:rPr>
              <w:t>“</w:t>
            </w:r>
            <w:r>
              <w:rPr>
                <w:rFonts w:ascii="Times New Roman" w:cs="Times New Roman"/>
                <w:color w:val="FF0000"/>
                <w:sz w:val="21"/>
              </w:rPr>
              <w:t>絮凝沉淀</w:t>
            </w:r>
            <w:r>
              <w:rPr>
                <w:rFonts w:ascii="Times New Roman" w:hAnsi="Times New Roman" w:cs="Times New Roman"/>
                <w:color w:val="FF0000"/>
                <w:sz w:val="21"/>
              </w:rPr>
              <w:t>+</w:t>
            </w:r>
            <w:r>
              <w:rPr>
                <w:rFonts w:ascii="Times New Roman" w:cs="Times New Roman"/>
                <w:color w:val="FF0000"/>
                <w:sz w:val="21"/>
              </w:rPr>
              <w:t>水解酸化</w:t>
            </w:r>
            <w:r>
              <w:rPr>
                <w:rFonts w:ascii="Times New Roman" w:hAnsi="Times New Roman" w:cs="Times New Roman"/>
                <w:color w:val="FF0000"/>
                <w:sz w:val="21"/>
              </w:rPr>
              <w:t>+MBR+</w:t>
            </w:r>
            <w:r>
              <w:rPr>
                <w:rFonts w:ascii="Times New Roman" w:cs="Times New Roman"/>
                <w:color w:val="FF0000"/>
                <w:sz w:val="21"/>
              </w:rPr>
              <w:t>回用系统</w:t>
            </w:r>
            <w:r>
              <w:rPr>
                <w:rFonts w:ascii="Times New Roman" w:hAnsi="Times New Roman" w:cs="Times New Roman"/>
                <w:color w:val="FF0000"/>
                <w:sz w:val="21"/>
              </w:rPr>
              <w:t>”</w:t>
            </w:r>
            <w:r>
              <w:rPr>
                <w:rFonts w:ascii="Times New Roman" w:cs="Times New Roman"/>
                <w:color w:val="FF0000"/>
                <w:sz w:val="21"/>
              </w:rPr>
              <w:t>处理后，出水部分回用至固化车间，其余回用至焚烧车间，浓水送至固化车间。</w:t>
            </w:r>
            <w:r>
              <w:rPr>
                <w:rFonts w:ascii="Times New Roman" w:cs="Times New Roman"/>
                <w:color w:val="FF0000"/>
                <w:sz w:val="21"/>
                <w:lang w:val="pt-BR"/>
              </w:rPr>
              <w:t>本项目处理后的废水全部回用于各生产工段，全厂无废水外排。</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治理措施无变化，废水处理方式部分调整。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700" w:hRule="atLeast"/>
          <w:jc w:val="center"/>
        </w:trPr>
        <w:tc>
          <w:tcPr>
            <w:tcW w:w="389"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3.</w:t>
            </w:r>
            <w:r>
              <w:rPr>
                <w:rFonts w:hint="eastAsia" w:ascii="Times New Roman"/>
                <w:color w:val="FF0000"/>
              </w:rPr>
              <w:t>3</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地下水防治</w:t>
            </w:r>
          </w:p>
        </w:tc>
        <w:tc>
          <w:tcPr>
            <w:tcW w:w="11054" w:type="dxa"/>
            <w:gridSpan w:val="3"/>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cs="Times New Roman"/>
                <w:color w:val="FF0000"/>
                <w:sz w:val="21"/>
              </w:rPr>
              <w:t>本项目危废综合处置厂区分为重点污染防治区和一般污染防治区，重点污染防治区设置防渗层，防渗性能应不低于</w:t>
            </w:r>
            <w:r>
              <w:rPr>
                <w:rFonts w:ascii="Times New Roman" w:hAnsi="Times New Roman" w:cs="Times New Roman"/>
                <w:color w:val="FF0000"/>
                <w:sz w:val="21"/>
              </w:rPr>
              <w:t>6.0m</w:t>
            </w:r>
            <w:r>
              <w:rPr>
                <w:rFonts w:ascii="Times New Roman" w:cs="Times New Roman"/>
                <w:color w:val="FF0000"/>
                <w:sz w:val="21"/>
              </w:rPr>
              <w:t>厚渗透系数为</w:t>
            </w:r>
            <w:r>
              <w:rPr>
                <w:rFonts w:ascii="Times New Roman" w:hAnsi="Times New Roman" w:cs="Times New Roman"/>
                <w:color w:val="FF0000"/>
                <w:sz w:val="21"/>
              </w:rPr>
              <w:t>1.0×10</w:t>
            </w:r>
            <w:r>
              <w:rPr>
                <w:rFonts w:ascii="Times New Roman" w:hAnsi="Times New Roman" w:cs="Times New Roman"/>
                <w:color w:val="FF0000"/>
                <w:sz w:val="21"/>
                <w:vertAlign w:val="superscript"/>
              </w:rPr>
              <w:t>-7</w:t>
            </w:r>
            <w:r>
              <w:rPr>
                <w:rFonts w:ascii="Times New Roman" w:hAnsi="Times New Roman" w:cs="Times New Roman"/>
                <w:color w:val="FF0000"/>
                <w:sz w:val="21"/>
              </w:rPr>
              <w:t>cm/s</w:t>
            </w:r>
            <w:r>
              <w:rPr>
                <w:rFonts w:ascii="Times New Roman" w:cs="Times New Roman"/>
                <w:color w:val="FF0000"/>
                <w:sz w:val="21"/>
              </w:rPr>
              <w:t>的黏土层；一般污染防治区设置防渗层，防渗性能应不低于</w:t>
            </w:r>
            <w:r>
              <w:rPr>
                <w:rFonts w:ascii="Times New Roman" w:hAnsi="Times New Roman" w:cs="Times New Roman"/>
                <w:color w:val="FF0000"/>
                <w:sz w:val="21"/>
              </w:rPr>
              <w:t>1.5m</w:t>
            </w:r>
            <w:r>
              <w:rPr>
                <w:rFonts w:ascii="Times New Roman" w:cs="Times New Roman"/>
                <w:color w:val="FF0000"/>
                <w:sz w:val="21"/>
              </w:rPr>
              <w:t>厚渗透系数为</w:t>
            </w:r>
            <w:r>
              <w:rPr>
                <w:rFonts w:ascii="Times New Roman" w:hAnsi="Times New Roman" w:cs="Times New Roman"/>
                <w:color w:val="FF0000"/>
                <w:sz w:val="21"/>
              </w:rPr>
              <w:t>1.0×10</w:t>
            </w:r>
            <w:r>
              <w:rPr>
                <w:rFonts w:ascii="Times New Roman" w:hAnsi="Times New Roman" w:cs="Times New Roman"/>
                <w:color w:val="FF0000"/>
                <w:sz w:val="21"/>
                <w:vertAlign w:val="superscript"/>
              </w:rPr>
              <w:t>-7</w:t>
            </w:r>
            <w:r>
              <w:rPr>
                <w:rFonts w:ascii="Times New Roman" w:hAnsi="Times New Roman" w:cs="Times New Roman"/>
                <w:color w:val="FF0000"/>
                <w:sz w:val="21"/>
              </w:rPr>
              <w:t>cm/s</w:t>
            </w:r>
            <w:r>
              <w:rPr>
                <w:rFonts w:ascii="Times New Roman" w:cs="Times New Roman"/>
                <w:color w:val="FF0000"/>
                <w:sz w:val="21"/>
              </w:rPr>
              <w:t>的黏土层。全厂污染防渗层内设置渗漏污染物收集系统。</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治理措施无变化。</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700" w:hRule="atLeast"/>
          <w:jc w:val="center"/>
        </w:trPr>
        <w:tc>
          <w:tcPr>
            <w:tcW w:w="389"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3.</w:t>
            </w:r>
            <w:r>
              <w:rPr>
                <w:rFonts w:hint="eastAsia" w:ascii="Times New Roman"/>
                <w:color w:val="FF0000"/>
              </w:rPr>
              <w:t>4</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废渣治理</w:t>
            </w:r>
          </w:p>
        </w:tc>
        <w:tc>
          <w:tcPr>
            <w:tcW w:w="11054" w:type="dxa"/>
            <w:gridSpan w:val="3"/>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kern w:val="0"/>
                <w:sz w:val="21"/>
              </w:rPr>
              <w:t>有机废气净化器产生的废物送至回转窑进行焚烧处理；物化车间澄清池废渣送至固化车间经固化后安全填埋；物化车间隔油池产生的废油送至回转窑进行焚烧处理；物化车间沉淀池废渣送至固化车间经固化后安全填埋；焚烧车间产生的焚烧炉炉渣、飞灰和喷淋洗涤塔滤渣送至固化车间经固化后安全填埋；厂区污水处理站污泥送至固化车间经固化后安全填埋；强制循环蒸发系统产生盐泥送至固化车间经固化后安全填埋；强制循环蒸发系统净化器产生的废物送至回转窑进行焚烧处理；</w:t>
            </w:r>
            <w:r>
              <w:rPr>
                <w:rFonts w:ascii="Times New Roman" w:hAnsi="Times New Roman" w:cs="Times New Roman"/>
                <w:color w:val="FF0000"/>
                <w:sz w:val="21"/>
              </w:rPr>
              <w:t>生活垃圾由当地环卫部门进行统一处理。</w:t>
            </w:r>
          </w:p>
        </w:tc>
        <w:tc>
          <w:tcPr>
            <w:tcW w:w="1477"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治理措施无变化。</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251" w:hRule="atLeast"/>
          <w:jc w:val="center"/>
        </w:trPr>
        <w:tc>
          <w:tcPr>
            <w:tcW w:w="389"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FF0000"/>
              </w:rPr>
            </w:pPr>
            <w:r>
              <w:rPr>
                <w:rFonts w:ascii="Times New Roman"/>
                <w:color w:val="FF0000"/>
              </w:rPr>
              <w:t>3.</w:t>
            </w:r>
            <w:r>
              <w:rPr>
                <w:rFonts w:hint="eastAsia" w:ascii="Times New Roman"/>
                <w:color w:val="FF0000"/>
              </w:rPr>
              <w:t>5</w:t>
            </w:r>
          </w:p>
        </w:tc>
        <w:tc>
          <w:tcPr>
            <w:tcW w:w="1121" w:type="dxa"/>
            <w:gridSpan w:val="2"/>
            <w:tcBorders>
              <w:top w:val="dotted" w:color="auto" w:sz="4" w:space="0"/>
              <w:left w:val="dotted" w:color="auto" w:sz="4" w:space="0"/>
              <w:bottom w:val="single" w:color="auto" w:sz="12"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噪声治理</w:t>
            </w:r>
          </w:p>
        </w:tc>
        <w:tc>
          <w:tcPr>
            <w:tcW w:w="11054" w:type="dxa"/>
            <w:gridSpan w:val="3"/>
            <w:tcBorders>
              <w:top w:val="dotted" w:color="auto" w:sz="4" w:space="0"/>
              <w:left w:val="dotted" w:color="auto" w:sz="4" w:space="0"/>
              <w:bottom w:val="single" w:color="auto" w:sz="12"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各噪声源均采用相应的隔声、基础减震设备。</w:t>
            </w:r>
          </w:p>
        </w:tc>
        <w:tc>
          <w:tcPr>
            <w:tcW w:w="1477" w:type="dxa"/>
            <w:tcBorders>
              <w:top w:val="dotted" w:color="auto" w:sz="4" w:space="0"/>
              <w:left w:val="dotted" w:color="auto" w:sz="4" w:space="0"/>
              <w:bottom w:val="single" w:color="auto" w:sz="12"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hint="eastAsia" w:ascii="Times New Roman" w:hAnsi="Times New Roman" w:cs="Times New Roman"/>
                <w:color w:val="FF0000"/>
                <w:sz w:val="21"/>
              </w:rPr>
              <w:t>治理措施无变化。</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FF0000"/>
              </w:rPr>
            </w:pPr>
            <w:r>
              <w:rPr>
                <w:rFonts w:ascii="Times New Roman"/>
                <w:color w:val="FF0000"/>
              </w:rPr>
              <w:t>4</w:t>
            </w:r>
          </w:p>
        </w:tc>
        <w:tc>
          <w:tcPr>
            <w:tcW w:w="13652" w:type="dxa"/>
            <w:gridSpan w:val="6"/>
            <w:tcBorders>
              <w:top w:val="dotted" w:color="auto" w:sz="4" w:space="0"/>
              <w:left w:val="dotted" w:color="auto" w:sz="4" w:space="0"/>
              <w:bottom w:val="single" w:color="auto" w:sz="12"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生活设施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single" w:color="auto" w:sz="12"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4.1</w:t>
            </w:r>
          </w:p>
        </w:tc>
        <w:tc>
          <w:tcPr>
            <w:tcW w:w="1121" w:type="dxa"/>
            <w:gridSpan w:val="2"/>
            <w:tcBorders>
              <w:top w:val="single" w:color="auto" w:sz="12" w:space="0"/>
              <w:left w:val="dotted" w:color="auto" w:sz="4" w:space="0"/>
              <w:bottom w:val="dotted" w:color="auto" w:sz="4"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综合办公楼</w:t>
            </w:r>
          </w:p>
        </w:tc>
        <w:tc>
          <w:tcPr>
            <w:tcW w:w="11054" w:type="dxa"/>
            <w:gridSpan w:val="3"/>
            <w:vMerge w:val="restart"/>
            <w:tcBorders>
              <w:top w:val="single" w:color="auto" w:sz="12" w:space="0"/>
              <w:left w:val="dotted" w:color="auto" w:sz="4" w:space="0"/>
              <w:bottom w:val="single" w:color="auto" w:sz="12" w:space="0"/>
              <w:right w:val="dotted" w:color="auto" w:sz="4" w:space="0"/>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均位于厂前区</w:t>
            </w:r>
          </w:p>
        </w:tc>
        <w:tc>
          <w:tcPr>
            <w:tcW w:w="1477" w:type="dxa"/>
            <w:vMerge w:val="restart"/>
            <w:tcBorders>
              <w:top w:val="single" w:color="auto" w:sz="12" w:space="0"/>
              <w:left w:val="dotted" w:color="auto" w:sz="4" w:space="0"/>
              <w:bottom w:val="single" w:color="auto" w:sz="12" w:space="0"/>
              <w:right w:val="nil"/>
            </w:tcBorders>
            <w:vAlign w:val="center"/>
          </w:tcPr>
          <w:p>
            <w:pPr>
              <w:pStyle w:val="183"/>
              <w:spacing w:line="240" w:lineRule="exact"/>
              <w:ind w:firstLine="0" w:firstLineChars="0"/>
              <w:rPr>
                <w:rFonts w:ascii="Times New Roman" w:hAnsi="Times New Roman" w:cs="Times New Roman"/>
                <w:color w:val="FF0000"/>
                <w:sz w:val="21"/>
              </w:rPr>
            </w:pPr>
            <w:r>
              <w:rPr>
                <w:rFonts w:ascii="Times New Roman" w:hAnsi="Times New Roman" w:cs="Times New Roman"/>
                <w:color w:val="FF0000"/>
                <w:sz w:val="21"/>
              </w:rPr>
              <w:t>无变化</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4.2</w:t>
            </w:r>
          </w:p>
        </w:tc>
        <w:tc>
          <w:tcPr>
            <w:tcW w:w="1121"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FF0000"/>
              </w:rPr>
            </w:pPr>
            <w:r>
              <w:rPr>
                <w:rFonts w:ascii="Times New Roman"/>
                <w:color w:val="FF0000"/>
              </w:rPr>
              <w:t>员工生活楼</w:t>
            </w:r>
          </w:p>
        </w:tc>
        <w:tc>
          <w:tcPr>
            <w:tcW w:w="11054" w:type="dxa"/>
            <w:gridSpan w:val="3"/>
            <w:vMerge w:val="continue"/>
            <w:tcBorders>
              <w:top w:val="single" w:color="auto" w:sz="12" w:space="0"/>
              <w:left w:val="dotted" w:color="auto" w:sz="4" w:space="0"/>
              <w:bottom w:val="single" w:color="auto" w:sz="12" w:space="0"/>
              <w:right w:val="dotted" w:color="auto" w:sz="4" w:space="0"/>
            </w:tcBorders>
            <w:vAlign w:val="center"/>
          </w:tcPr>
          <w:p>
            <w:pPr>
              <w:widowControl/>
              <w:ind w:firstLine="420"/>
              <w:jc w:val="left"/>
              <w:rPr>
                <w:rFonts w:cs="Times New Roman"/>
                <w:color w:val="FF0000"/>
                <w:sz w:val="21"/>
              </w:rPr>
            </w:pPr>
          </w:p>
        </w:tc>
        <w:tc>
          <w:tcPr>
            <w:tcW w:w="1477" w:type="dxa"/>
            <w:vMerge w:val="continue"/>
            <w:tcBorders>
              <w:top w:val="single" w:color="auto" w:sz="12" w:space="0"/>
              <w:left w:val="dotted" w:color="auto" w:sz="4" w:space="0"/>
              <w:bottom w:val="single" w:color="auto" w:sz="12" w:space="0"/>
              <w:right w:val="nil"/>
            </w:tcBorders>
            <w:vAlign w:val="center"/>
          </w:tcPr>
          <w:p>
            <w:pPr>
              <w:widowControl/>
              <w:ind w:firstLine="420"/>
              <w:jc w:val="left"/>
              <w:rPr>
                <w:rFonts w:cs="Times New Roman"/>
                <w:color w:val="FF000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389"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FF0000"/>
              </w:rPr>
            </w:pPr>
            <w:r>
              <w:rPr>
                <w:rFonts w:ascii="Times New Roman"/>
                <w:color w:val="FF0000"/>
              </w:rPr>
              <w:t>4.3</w:t>
            </w:r>
          </w:p>
        </w:tc>
        <w:tc>
          <w:tcPr>
            <w:tcW w:w="1121" w:type="dxa"/>
            <w:gridSpan w:val="2"/>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FF0000"/>
              </w:rPr>
            </w:pPr>
            <w:r>
              <w:rPr>
                <w:rFonts w:ascii="Times New Roman"/>
                <w:color w:val="FF0000"/>
              </w:rPr>
              <w:t>活动场地</w:t>
            </w:r>
          </w:p>
        </w:tc>
        <w:tc>
          <w:tcPr>
            <w:tcW w:w="11054" w:type="dxa"/>
            <w:gridSpan w:val="3"/>
            <w:vMerge w:val="continue"/>
            <w:tcBorders>
              <w:top w:val="single" w:color="auto" w:sz="12" w:space="0"/>
              <w:left w:val="dotted" w:color="auto" w:sz="4" w:space="0"/>
              <w:bottom w:val="single" w:color="auto" w:sz="12" w:space="0"/>
              <w:right w:val="dotted" w:color="auto" w:sz="4" w:space="0"/>
            </w:tcBorders>
            <w:vAlign w:val="center"/>
          </w:tcPr>
          <w:p>
            <w:pPr>
              <w:widowControl/>
              <w:ind w:firstLine="420"/>
              <w:jc w:val="left"/>
              <w:rPr>
                <w:rFonts w:cs="Times New Roman"/>
                <w:color w:val="FF0000"/>
                <w:sz w:val="21"/>
              </w:rPr>
            </w:pPr>
          </w:p>
        </w:tc>
        <w:tc>
          <w:tcPr>
            <w:tcW w:w="1477" w:type="dxa"/>
            <w:vMerge w:val="continue"/>
            <w:tcBorders>
              <w:top w:val="single" w:color="auto" w:sz="12" w:space="0"/>
              <w:left w:val="dotted" w:color="auto" w:sz="4" w:space="0"/>
              <w:bottom w:val="single" w:color="auto" w:sz="12" w:space="0"/>
              <w:right w:val="nil"/>
            </w:tcBorders>
            <w:vAlign w:val="center"/>
          </w:tcPr>
          <w:p>
            <w:pPr>
              <w:widowControl/>
              <w:ind w:firstLine="420"/>
              <w:jc w:val="left"/>
              <w:rPr>
                <w:rFonts w:cs="Times New Roman"/>
                <w:color w:val="FF0000"/>
                <w:sz w:val="21"/>
              </w:rPr>
            </w:pPr>
          </w:p>
        </w:tc>
      </w:tr>
      <w:bookmarkEnd w:id="211"/>
    </w:tbl>
    <w:p>
      <w:pPr>
        <w:pStyle w:val="186"/>
        <w:adjustRightInd w:val="0"/>
        <w:snapToGrid w:val="0"/>
        <w:ind w:firstLine="480"/>
        <w:rPr>
          <w:rFonts w:ascii="Times New Roman" w:hAnsi="Times New Roman" w:cs="Times New Roman"/>
          <w:color w:val="auto"/>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6838" w:h="11906" w:orient="landscape"/>
          <w:pgMar w:top="1134" w:right="1418" w:bottom="1134" w:left="1418" w:header="851" w:footer="851" w:gutter="0"/>
          <w:cols w:space="425" w:num="1"/>
          <w:docGrid w:type="lines" w:linePitch="326" w:charSpace="0"/>
        </w:sectPr>
      </w:pPr>
    </w:p>
    <w:p>
      <w:pPr>
        <w:pStyle w:val="4"/>
      </w:pPr>
      <w:bookmarkStart w:id="212" w:name="_Toc3282139"/>
      <w:bookmarkStart w:id="213" w:name="_Toc13760133"/>
      <w:r>
        <w:rPr>
          <w:rFonts w:hint="eastAsia"/>
        </w:rPr>
        <w:t>4.2</w:t>
      </w:r>
      <w:bookmarkEnd w:id="212"/>
      <w:r>
        <w:rPr>
          <w:rFonts w:hint="eastAsia"/>
        </w:rPr>
        <w:t>改扩建后总平面布置图</w:t>
      </w:r>
      <w:bookmarkEnd w:id="213"/>
    </w:p>
    <w:p>
      <w:pPr>
        <w:pStyle w:val="739"/>
        <w:ind w:firstLine="480"/>
        <w:rPr>
          <w:snapToGrid w:val="0"/>
          <w:kern w:val="0"/>
          <w:lang w:val="zh-CN"/>
        </w:rPr>
      </w:pPr>
      <w:r>
        <w:rPr>
          <w:rFonts w:hint="eastAsia"/>
          <w:snapToGrid w:val="0"/>
          <w:kern w:val="0"/>
          <w:lang w:val="zh-CN"/>
        </w:rPr>
        <w:t>改扩建项目仍位于</w:t>
      </w:r>
      <w:r>
        <w:rPr>
          <w:rFonts w:hint="eastAsia" w:hAnsi="宋体"/>
        </w:rPr>
        <w:t>内蒙古阿拉善腾格里经济技术开发区</w:t>
      </w:r>
      <w:r>
        <w:rPr>
          <w:rFonts w:hint="eastAsia"/>
        </w:rPr>
        <w:t>，危废综合处置厂址</w:t>
      </w:r>
      <w:r>
        <w:t>(</w:t>
      </w:r>
      <w:r>
        <w:rPr>
          <w:rFonts w:hint="eastAsia"/>
        </w:rPr>
        <w:t>包括</w:t>
      </w:r>
      <w:r>
        <w:rPr>
          <w:rFonts w:hint="eastAsia" w:hAnsi="宋体"/>
          <w:bCs/>
        </w:rPr>
        <w:t>危险废物的焚烧、物化、稳定化</w:t>
      </w:r>
      <w:r>
        <w:rPr>
          <w:bCs/>
        </w:rPr>
        <w:t>/</w:t>
      </w:r>
      <w:r>
        <w:rPr>
          <w:rFonts w:hint="eastAsia" w:hAnsi="宋体"/>
          <w:bCs/>
        </w:rPr>
        <w:t>固化及其他公辅工程</w:t>
      </w:r>
      <w:r>
        <w:t>)</w:t>
      </w:r>
      <w:r>
        <w:rPr>
          <w:rFonts w:hint="eastAsia"/>
        </w:rPr>
        <w:t>位于开发区葡萄墩片区</w:t>
      </w:r>
      <w:r>
        <w:rPr>
          <w:rFonts w:hint="eastAsia" w:hAnsi="宋体"/>
          <w:bCs/>
        </w:rPr>
        <w:t>，占地为</w:t>
      </w:r>
      <w:r>
        <w:rPr>
          <w:bCs/>
        </w:rPr>
        <w:t>66634m</w:t>
      </w:r>
      <w:r>
        <w:rPr>
          <w:bCs/>
          <w:vertAlign w:val="superscript"/>
        </w:rPr>
        <w:t>2</w:t>
      </w:r>
      <w:r>
        <w:rPr>
          <w:rFonts w:hint="eastAsia" w:hAnsi="宋体"/>
          <w:bCs/>
        </w:rPr>
        <w:t>。</w:t>
      </w:r>
      <w:r>
        <w:rPr>
          <w:rFonts w:hint="eastAsia"/>
        </w:rPr>
        <w:t>危废综合处置厂</w:t>
      </w:r>
      <w:r>
        <w:rPr>
          <w:rFonts w:hint="eastAsia" w:hAnsi="宋体"/>
          <w:bCs/>
        </w:rPr>
        <w:t>占地面积与改扩建前无变化，</w:t>
      </w:r>
      <w:r>
        <w:rPr>
          <w:rFonts w:hint="eastAsia"/>
        </w:rPr>
        <w:t>危废综合处置厂的平面布置图调整。</w:t>
      </w:r>
    </w:p>
    <w:p>
      <w:pPr>
        <w:pStyle w:val="161"/>
        <w:ind w:firstLine="480"/>
        <w:outlineLvl w:val="0"/>
        <w:rPr>
          <w:rFonts w:asciiTheme="minorEastAsia" w:hAnsiTheme="minorEastAsia"/>
        </w:rPr>
      </w:pPr>
      <w:r>
        <w:rPr>
          <w:snapToGrid w:val="0"/>
          <w:kern w:val="0"/>
        </w:rPr>
        <w:fldChar w:fldCharType="begin"/>
      </w:r>
      <w:r>
        <w:rPr>
          <w:rFonts w:hint="eastAsia"/>
          <w:snapToGrid w:val="0"/>
          <w:kern w:val="0"/>
        </w:rPr>
        <w:instrText xml:space="preserve">= 1 \* GB2</w:instrText>
      </w:r>
      <w:r>
        <w:rPr>
          <w:snapToGrid w:val="0"/>
          <w:kern w:val="0"/>
        </w:rPr>
        <w:fldChar w:fldCharType="separate"/>
      </w:r>
      <w:bookmarkStart w:id="214" w:name="_Toc13760134"/>
      <w:bookmarkStart w:id="215" w:name="_Toc13582087"/>
      <w:r>
        <w:rPr>
          <w:rFonts w:hint="eastAsia"/>
          <w:snapToGrid w:val="0"/>
          <w:kern w:val="0"/>
        </w:rPr>
        <w:t>⑴</w:t>
      </w:r>
      <w:r>
        <w:rPr>
          <w:snapToGrid w:val="0"/>
          <w:kern w:val="0"/>
        </w:rPr>
        <w:fldChar w:fldCharType="end"/>
      </w:r>
      <w:r>
        <w:rPr>
          <w:rFonts w:hint="eastAsia"/>
          <w:snapToGrid w:val="0"/>
          <w:kern w:val="0"/>
        </w:rPr>
        <w:t>危废综合处置厂总平面布置</w:t>
      </w:r>
      <w:bookmarkEnd w:id="214"/>
      <w:bookmarkEnd w:id="215"/>
    </w:p>
    <w:p>
      <w:pPr>
        <w:ind w:firstLine="480"/>
        <w:rPr>
          <w:szCs w:val="28"/>
        </w:rPr>
      </w:pPr>
      <w:r>
        <w:rPr>
          <w:rFonts w:hint="eastAsia" w:asciiTheme="minorEastAsia" w:hAnsiTheme="minorEastAsia" w:eastAsiaTheme="minorEastAsia"/>
          <w:szCs w:val="24"/>
        </w:rPr>
        <w:t>厂房和</w:t>
      </w:r>
      <w:r>
        <w:rPr>
          <w:rFonts w:hint="eastAsia"/>
          <w:szCs w:val="28"/>
        </w:rPr>
        <w:t>和仓库包括：物化处理车间、污水处理车间、焚烧车间、固化</w:t>
      </w:r>
      <w:r>
        <w:rPr>
          <w:szCs w:val="28"/>
        </w:rPr>
        <w:t>/</w:t>
      </w:r>
      <w:r>
        <w:rPr>
          <w:rFonts w:hint="eastAsia"/>
          <w:szCs w:val="28"/>
        </w:rPr>
        <w:t>稳定化车间、</w:t>
      </w:r>
      <w:r>
        <w:rPr>
          <w:szCs w:val="28"/>
        </w:rPr>
        <w:t>1#</w:t>
      </w:r>
      <w:r>
        <w:rPr>
          <w:rFonts w:hint="eastAsia"/>
          <w:szCs w:val="28"/>
        </w:rPr>
        <w:t>危险废物储存库、</w:t>
      </w:r>
      <w:r>
        <w:rPr>
          <w:szCs w:val="28"/>
        </w:rPr>
        <w:t>2#</w:t>
      </w:r>
      <w:r>
        <w:rPr>
          <w:rFonts w:hint="eastAsia"/>
          <w:szCs w:val="28"/>
        </w:rPr>
        <w:t>危险废物储存库、危废暂存库等，各厂房平面形式均为矩形。</w:t>
      </w:r>
    </w:p>
    <w:p>
      <w:pPr>
        <w:ind w:firstLine="480"/>
        <w:rPr>
          <w:rFonts w:asciiTheme="minorEastAsia" w:hAnsiTheme="minorEastAsia" w:eastAsiaTheme="minorEastAsia"/>
          <w:szCs w:val="24"/>
        </w:rPr>
      </w:pPr>
      <w:r>
        <w:rPr>
          <w:rFonts w:hint="eastAsia" w:asciiTheme="minorEastAsia" w:hAnsiTheme="minorEastAsia" w:eastAsiaTheme="minorEastAsia"/>
          <w:szCs w:val="24"/>
        </w:rPr>
        <w:t>职工宿舍及食堂、综合办公楼位于厂区东南侧。</w:t>
      </w:r>
    </w:p>
    <w:p>
      <w:pPr>
        <w:pStyle w:val="739"/>
        <w:ind w:firstLine="480"/>
      </w:pPr>
      <w:r>
        <w:rPr>
          <w:rFonts w:hint="eastAsia"/>
        </w:rPr>
        <w:t>本项目危废综合处置厂总平图见图4.2—</w:t>
      </w:r>
      <w:r>
        <w:t>1</w:t>
      </w:r>
      <w:r>
        <w:rPr>
          <w:rFonts w:hint="eastAsia"/>
        </w:rPr>
        <w:t>。</w:t>
      </w:r>
    </w:p>
    <w:p>
      <w:pPr>
        <w:pStyle w:val="4"/>
      </w:pPr>
      <w:bookmarkStart w:id="216" w:name="_Toc13760135"/>
      <w:r>
        <w:rPr>
          <w:rFonts w:hint="eastAsia"/>
        </w:rPr>
        <w:t>4.3改扩建</w:t>
      </w:r>
      <w:r>
        <w:rPr>
          <w:rFonts w:hint="eastAsia"/>
          <w:lang w:val="zh-CN"/>
        </w:rPr>
        <w:t>后处理规模及原辅材料暂存方案及污染分析</w:t>
      </w:r>
      <w:bookmarkEnd w:id="216"/>
    </w:p>
    <w:p>
      <w:pPr>
        <w:ind w:firstLine="480"/>
      </w:pPr>
      <w:r>
        <w:rPr>
          <w:rFonts w:hint="eastAsia"/>
        </w:rPr>
        <w:fldChar w:fldCharType="begin"/>
      </w:r>
      <w:r>
        <w:instrText xml:space="preserve"> = 1 \* GB2 </w:instrText>
      </w:r>
      <w:r>
        <w:rPr>
          <w:rFonts w:hint="eastAsia"/>
        </w:rPr>
        <w:fldChar w:fldCharType="separate"/>
      </w:r>
      <w:r>
        <w:rPr>
          <w:rFonts w:hint="eastAsia"/>
        </w:rPr>
        <w:t>⑴</w:t>
      </w:r>
      <w:r>
        <w:rPr>
          <w:rFonts w:hint="eastAsia"/>
        </w:rPr>
        <w:fldChar w:fldCharType="end"/>
      </w:r>
      <w:r>
        <w:rPr>
          <w:rFonts w:hint="eastAsia"/>
        </w:rPr>
        <w:t>危废种类</w:t>
      </w:r>
    </w:p>
    <w:p>
      <w:pPr>
        <w:ind w:firstLine="480"/>
        <w:rPr>
          <w:rFonts w:asciiTheme="minorEastAsia" w:hAnsiTheme="minorEastAsia" w:eastAsiaTheme="minorEastAsia"/>
          <w:szCs w:val="24"/>
        </w:rPr>
      </w:pPr>
      <w:r>
        <w:rPr>
          <w:rFonts w:hint="eastAsia"/>
        </w:rPr>
        <w:t>本项目改扩建后危废处理种类增加，项目拟处置危废种类46种，本项目拟处置的危险废物处理能力、处置类别和方式见表4.3—1。</w:t>
      </w: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1906" w:h="16838"/>
          <w:pgMar w:top="1418" w:right="1134" w:bottom="1418" w:left="1134" w:header="851" w:footer="850" w:gutter="0"/>
          <w:cols w:space="425" w:num="1"/>
          <w:docGrid w:type="lines" w:linePitch="326" w:charSpace="0"/>
        </w:sectPr>
      </w:pPr>
    </w:p>
    <w:p>
      <w:pPr>
        <w:ind w:firstLine="480"/>
      </w:pPr>
      <w:r>
        <w:rPr>
          <w:rFonts w:hint="eastAsia"/>
        </w:rPr>
        <w:t>表4.3—1                        危险废弃物处置中心危废处理种类及处理量一览表</w:t>
      </w:r>
    </w:p>
    <w:tbl>
      <w:tblPr>
        <w:tblStyle w:val="88"/>
        <w:tblW w:w="145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23"/>
        <w:gridCol w:w="955"/>
        <w:gridCol w:w="1627"/>
        <w:gridCol w:w="1331"/>
        <w:gridCol w:w="1478"/>
        <w:gridCol w:w="3850"/>
        <w:gridCol w:w="1185"/>
        <w:gridCol w:w="1185"/>
        <w:gridCol w:w="1671"/>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23" w:type="dxa"/>
            <w:tcBorders>
              <w:top w:val="single" w:color="auto" w:sz="12" w:space="0"/>
              <w:left w:val="nil"/>
              <w:bottom w:val="single" w:color="auto" w:sz="12" w:space="0"/>
              <w:right w:val="single" w:color="auto" w:sz="4" w:space="0"/>
            </w:tcBorders>
            <w:vAlign w:val="center"/>
          </w:tcPr>
          <w:p>
            <w:pPr>
              <w:snapToGrid w:val="0"/>
              <w:spacing w:line="240" w:lineRule="auto"/>
              <w:ind w:firstLine="0" w:firstLineChars="0"/>
              <w:jc w:val="center"/>
              <w:rPr>
                <w:b/>
                <w:sz w:val="21"/>
              </w:rPr>
            </w:pPr>
            <w:r>
              <w:rPr>
                <w:rFonts w:hint="eastAsia"/>
                <w:b/>
                <w:sz w:val="21"/>
              </w:rPr>
              <w:t>序号</w:t>
            </w:r>
          </w:p>
        </w:tc>
        <w:tc>
          <w:tcPr>
            <w:tcW w:w="955" w:type="dxa"/>
            <w:tcBorders>
              <w:top w:val="single" w:color="auto" w:sz="12"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b/>
                <w:sz w:val="21"/>
              </w:rPr>
            </w:pPr>
            <w:r>
              <w:rPr>
                <w:rFonts w:hint="eastAsia"/>
                <w:b/>
                <w:sz w:val="21"/>
              </w:rPr>
              <w:t>废物编号</w:t>
            </w:r>
          </w:p>
        </w:tc>
        <w:tc>
          <w:tcPr>
            <w:tcW w:w="1627" w:type="dxa"/>
            <w:tcBorders>
              <w:top w:val="single" w:color="auto" w:sz="12"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b/>
                <w:sz w:val="21"/>
              </w:rPr>
            </w:pPr>
            <w:r>
              <w:rPr>
                <w:rFonts w:hint="eastAsia"/>
                <w:b/>
                <w:sz w:val="21"/>
              </w:rPr>
              <w:t>废物类别</w:t>
            </w:r>
          </w:p>
        </w:tc>
        <w:tc>
          <w:tcPr>
            <w:tcW w:w="1331" w:type="dxa"/>
            <w:tcBorders>
              <w:top w:val="single" w:color="auto" w:sz="12"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b/>
                <w:sz w:val="21"/>
              </w:rPr>
            </w:pPr>
            <w:r>
              <w:rPr>
                <w:rFonts w:hint="eastAsia"/>
                <w:b/>
                <w:sz w:val="21"/>
              </w:rPr>
              <w:t>废物代码</w:t>
            </w:r>
          </w:p>
        </w:tc>
        <w:tc>
          <w:tcPr>
            <w:tcW w:w="1478" w:type="dxa"/>
            <w:tcBorders>
              <w:top w:val="single" w:color="auto" w:sz="12"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rFonts w:cs="Times New Roman"/>
                <w:b/>
                <w:sz w:val="21"/>
              </w:rPr>
            </w:pPr>
            <w:r>
              <w:rPr>
                <w:rFonts w:hint="eastAsia"/>
                <w:b/>
                <w:sz w:val="21"/>
              </w:rPr>
              <w:t>本项目处理量</w:t>
            </w:r>
          </w:p>
          <w:p>
            <w:pPr>
              <w:snapToGrid w:val="0"/>
              <w:spacing w:line="240" w:lineRule="auto"/>
              <w:ind w:firstLine="0" w:firstLineChars="0"/>
              <w:jc w:val="center"/>
              <w:rPr>
                <w:b/>
                <w:sz w:val="21"/>
              </w:rPr>
            </w:pPr>
            <w:r>
              <w:rPr>
                <w:b/>
                <w:sz w:val="21"/>
              </w:rPr>
              <w:t>(t/a)</w:t>
            </w:r>
          </w:p>
        </w:tc>
        <w:tc>
          <w:tcPr>
            <w:tcW w:w="3850" w:type="dxa"/>
            <w:tcBorders>
              <w:top w:val="single" w:color="auto" w:sz="12"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b/>
                <w:sz w:val="21"/>
              </w:rPr>
            </w:pPr>
            <w:r>
              <w:rPr>
                <w:rFonts w:hint="eastAsia"/>
                <w:b/>
                <w:sz w:val="21"/>
              </w:rPr>
              <w:t>来源</w:t>
            </w:r>
          </w:p>
        </w:tc>
        <w:tc>
          <w:tcPr>
            <w:tcW w:w="1185" w:type="dxa"/>
            <w:tcBorders>
              <w:top w:val="single" w:color="auto" w:sz="12"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b/>
                <w:sz w:val="21"/>
              </w:rPr>
            </w:pPr>
            <w:r>
              <w:rPr>
                <w:rFonts w:hint="eastAsia"/>
                <w:b/>
                <w:sz w:val="21"/>
              </w:rPr>
              <w:t>形态</w:t>
            </w:r>
          </w:p>
        </w:tc>
        <w:tc>
          <w:tcPr>
            <w:tcW w:w="1185" w:type="dxa"/>
            <w:tcBorders>
              <w:top w:val="single" w:color="auto" w:sz="12"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b/>
                <w:sz w:val="21"/>
              </w:rPr>
            </w:pPr>
            <w:r>
              <w:rPr>
                <w:rFonts w:hint="eastAsia"/>
                <w:b/>
                <w:sz w:val="21"/>
              </w:rPr>
              <w:t>性质</w:t>
            </w:r>
          </w:p>
        </w:tc>
        <w:tc>
          <w:tcPr>
            <w:tcW w:w="1671" w:type="dxa"/>
            <w:tcBorders>
              <w:top w:val="single" w:color="auto" w:sz="12"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b/>
                <w:sz w:val="21"/>
              </w:rPr>
            </w:pPr>
            <w:r>
              <w:rPr>
                <w:rFonts w:hint="eastAsia"/>
                <w:b/>
                <w:sz w:val="21"/>
              </w:rPr>
              <w:t>处置方式</w:t>
            </w:r>
          </w:p>
        </w:tc>
        <w:tc>
          <w:tcPr>
            <w:tcW w:w="765" w:type="dxa"/>
            <w:tcBorders>
              <w:top w:val="single" w:color="auto" w:sz="12" w:space="0"/>
              <w:left w:val="single" w:color="auto" w:sz="4" w:space="0"/>
              <w:bottom w:val="single" w:color="auto" w:sz="12" w:space="0"/>
              <w:right w:val="nil"/>
            </w:tcBorders>
            <w:vAlign w:val="center"/>
          </w:tcPr>
          <w:p>
            <w:pPr>
              <w:snapToGrid w:val="0"/>
              <w:spacing w:line="240" w:lineRule="auto"/>
              <w:ind w:firstLine="0" w:firstLineChars="0"/>
              <w:jc w:val="center"/>
              <w:rPr>
                <w:b/>
                <w:sz w:val="21"/>
              </w:rPr>
            </w:pPr>
            <w:r>
              <w:rPr>
                <w:rFonts w:hint="eastAsia"/>
                <w:b/>
                <w:sz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23" w:type="dxa"/>
            <w:tcBorders>
              <w:top w:val="single" w:color="auto" w:sz="12"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w:t>
            </w:r>
          </w:p>
        </w:tc>
        <w:tc>
          <w:tcPr>
            <w:tcW w:w="955" w:type="dxa"/>
            <w:vMerge w:val="restart"/>
            <w:tcBorders>
              <w:top w:val="single" w:color="auto" w:sz="12"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HW09</w:t>
            </w:r>
          </w:p>
        </w:tc>
        <w:tc>
          <w:tcPr>
            <w:tcW w:w="1627" w:type="dxa"/>
            <w:vMerge w:val="restart"/>
            <w:tcBorders>
              <w:top w:val="single" w:color="auto" w:sz="12"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油</w:t>
            </w:r>
            <w:r>
              <w:rPr>
                <w:sz w:val="21"/>
              </w:rPr>
              <w:t>/</w:t>
            </w:r>
            <w:r>
              <w:rPr>
                <w:rFonts w:hint="eastAsia"/>
                <w:sz w:val="21"/>
              </w:rPr>
              <w:t>水、烃</w:t>
            </w:r>
            <w:r>
              <w:rPr>
                <w:sz w:val="21"/>
              </w:rPr>
              <w:t>/</w:t>
            </w:r>
            <w:r>
              <w:rPr>
                <w:rFonts w:hint="eastAsia"/>
                <w:sz w:val="21"/>
              </w:rPr>
              <w:t>水混合物或乳化液</w:t>
            </w:r>
          </w:p>
        </w:tc>
        <w:tc>
          <w:tcPr>
            <w:tcW w:w="1331" w:type="dxa"/>
            <w:tcBorders>
              <w:top w:val="single" w:color="auto" w:sz="12"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900-005-09</w:t>
            </w:r>
          </w:p>
        </w:tc>
        <w:tc>
          <w:tcPr>
            <w:tcW w:w="1478" w:type="dxa"/>
            <w:vMerge w:val="restart"/>
            <w:tcBorders>
              <w:top w:val="single" w:color="auto" w:sz="12"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3000</w:t>
            </w:r>
          </w:p>
        </w:tc>
        <w:tc>
          <w:tcPr>
            <w:tcW w:w="3850" w:type="dxa"/>
            <w:tcBorders>
              <w:top w:val="single" w:color="auto" w:sz="12"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水压维护、更换和拆卸过程中产生的油</w:t>
            </w:r>
            <w:r>
              <w:rPr>
                <w:sz w:val="21"/>
              </w:rPr>
              <w:t>/</w:t>
            </w:r>
            <w:r>
              <w:rPr>
                <w:rFonts w:hint="eastAsia"/>
                <w:sz w:val="21"/>
              </w:rPr>
              <w:t>水、烃</w:t>
            </w:r>
            <w:r>
              <w:rPr>
                <w:sz w:val="21"/>
              </w:rPr>
              <w:t>/</w:t>
            </w:r>
            <w:r>
              <w:rPr>
                <w:rFonts w:hint="eastAsia"/>
                <w:sz w:val="21"/>
              </w:rPr>
              <w:t>水混合物或乳化液</w:t>
            </w:r>
          </w:p>
        </w:tc>
        <w:tc>
          <w:tcPr>
            <w:tcW w:w="1185" w:type="dxa"/>
            <w:vMerge w:val="restart"/>
            <w:tcBorders>
              <w:top w:val="single" w:color="auto" w:sz="12"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Times New Roman"/>
                <w:sz w:val="21"/>
              </w:rPr>
            </w:pPr>
            <w:r>
              <w:rPr>
                <w:rFonts w:hint="eastAsia"/>
                <w:sz w:val="21"/>
              </w:rPr>
              <w:t>液态</w:t>
            </w:r>
          </w:p>
          <w:p>
            <w:pPr>
              <w:snapToGrid w:val="0"/>
              <w:spacing w:line="240" w:lineRule="auto"/>
              <w:ind w:firstLine="0" w:firstLineChars="0"/>
              <w:jc w:val="center"/>
              <w:rPr>
                <w:sz w:val="21"/>
              </w:rPr>
            </w:pPr>
          </w:p>
        </w:tc>
        <w:tc>
          <w:tcPr>
            <w:tcW w:w="1185" w:type="dxa"/>
            <w:vMerge w:val="restart"/>
            <w:tcBorders>
              <w:top w:val="single" w:color="auto" w:sz="12"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Times New Roman"/>
                <w:sz w:val="21"/>
              </w:rPr>
            </w:pPr>
            <w:r>
              <w:rPr>
                <w:rFonts w:hint="eastAsia"/>
                <w:sz w:val="21"/>
              </w:rPr>
              <w:t>毒性</w:t>
            </w:r>
          </w:p>
          <w:p>
            <w:pPr>
              <w:snapToGrid w:val="0"/>
              <w:spacing w:line="240" w:lineRule="auto"/>
              <w:ind w:firstLine="0" w:firstLineChars="0"/>
              <w:jc w:val="center"/>
              <w:rPr>
                <w:sz w:val="21"/>
              </w:rPr>
            </w:pPr>
          </w:p>
        </w:tc>
        <w:tc>
          <w:tcPr>
            <w:tcW w:w="1671" w:type="dxa"/>
            <w:vMerge w:val="restart"/>
            <w:tcBorders>
              <w:top w:val="single" w:color="auto" w:sz="12"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物化处理</w:t>
            </w:r>
          </w:p>
        </w:tc>
        <w:tc>
          <w:tcPr>
            <w:tcW w:w="765" w:type="dxa"/>
            <w:tcBorders>
              <w:top w:val="single" w:color="auto" w:sz="12"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900-005-09</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使用切削油和切削液进行机械加工过程中产生的</w:t>
            </w:r>
            <w:r>
              <w:rPr>
                <w:rFonts w:hint="eastAsia"/>
                <w:sz w:val="21"/>
              </w:rPr>
              <w:t>油</w:t>
            </w:r>
            <w:r>
              <w:rPr>
                <w:sz w:val="21"/>
              </w:rPr>
              <w:t>/</w:t>
            </w:r>
            <w:r>
              <w:rPr>
                <w:rFonts w:hint="eastAsia"/>
                <w:sz w:val="21"/>
              </w:rPr>
              <w:t>水、烃</w:t>
            </w:r>
            <w:r>
              <w:rPr>
                <w:sz w:val="21"/>
              </w:rPr>
              <w:t>/</w:t>
            </w:r>
            <w:r>
              <w:rPr>
                <w:rFonts w:hint="eastAsia"/>
                <w:sz w:val="21"/>
              </w:rPr>
              <w:t>水混合物或乳化液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sz w:val="21"/>
              </w:rPr>
              <w:t>900-006-09</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其他工艺过程中产生的油</w:t>
            </w:r>
            <w:r>
              <w:rPr>
                <w:sz w:val="21"/>
              </w:rPr>
              <w:t>/</w:t>
            </w:r>
            <w:r>
              <w:rPr>
                <w:rFonts w:hint="eastAsia"/>
                <w:sz w:val="21"/>
              </w:rPr>
              <w:t>水、烃</w:t>
            </w:r>
            <w:r>
              <w:rPr>
                <w:sz w:val="21"/>
              </w:rPr>
              <w:t>/</w:t>
            </w:r>
            <w:r>
              <w:rPr>
                <w:rFonts w:hint="eastAsia"/>
                <w:sz w:val="21"/>
              </w:rPr>
              <w:t>水混合物或乳化液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HW32</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无机氟化物废物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900-026-32</w:t>
            </w:r>
          </w:p>
        </w:tc>
        <w:tc>
          <w:tcPr>
            <w:tcW w:w="147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10000</w:t>
            </w: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使用氢氟酸进行蚀刻产生的废蚀刻液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r>
              <w:rPr>
                <w:sz w:val="21"/>
              </w:rPr>
              <w:t>/</w:t>
            </w:r>
            <w:r>
              <w:rPr>
                <w:rFonts w:hint="eastAsia"/>
                <w:sz w:val="21"/>
              </w:rPr>
              <w:t>腐蚀性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w:t>
            </w:r>
          </w:p>
        </w:tc>
        <w:tc>
          <w:tcPr>
            <w:tcW w:w="95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HW34</w:t>
            </w:r>
          </w:p>
        </w:tc>
        <w:tc>
          <w:tcPr>
            <w:tcW w:w="162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废酸</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261-057-34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基础化学原料制造过程中产生的废酸液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腐蚀性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264-013-34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涂料、油墨、颜料及类似产品制造过程中产生的废酸</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7</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336-105-34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金属热表面处理及热处理加工过程中产生的废酸</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8</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261-058-34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卤素和卤素化学品生产过程中产生的废酸</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9</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900-307-34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使用酸进行电解抛光处理产生的废酸液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10</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314-001-34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钢的精加工过程中产生的废酸性洗液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r>
              <w:rPr>
                <w:sz w:val="21"/>
              </w:rPr>
              <w:t>/</w:t>
            </w:r>
            <w:r>
              <w:rPr>
                <w:rFonts w:hint="eastAsia"/>
                <w:sz w:val="21"/>
              </w:rPr>
              <w:t>腐蚀性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11</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397-005-34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使用酸进行电解除油、酸蚀、活化前表面敏化、催化、浸亮产生的废酸液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腐蚀性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12</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397-006-34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液晶显示板或集成电路板的生产过程中使用酸浸蚀剂进行氧化物浸蚀产生的废酸液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13</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900-300-34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使用酸进行清洗产生的废酸液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15</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900-301-34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hAnsi="宋体" w:cs="宋体"/>
                <w:sz w:val="21"/>
              </w:rPr>
            </w:pPr>
            <w:r>
              <w:rPr>
                <w:rFonts w:hint="eastAsia" w:ascii="宋体" w:hAnsi="宋体" w:cs="宋体"/>
                <w:sz w:val="21"/>
              </w:rPr>
              <w:t>使用硫酸进行酸性碳化产生的废酸液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15</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7"/>
              <w:ind w:left="96" w:right="72"/>
              <w:jc w:val="center"/>
              <w:rPr>
                <w:rFonts w:ascii="宋体" w:hAnsi="宋体" w:cs="宋体"/>
                <w:kern w:val="2"/>
                <w:sz w:val="21"/>
                <w:szCs w:val="21"/>
              </w:rPr>
            </w:pPr>
            <w:r>
              <w:rPr>
                <w:rFonts w:hint="eastAsia" w:ascii="宋体" w:hAnsi="宋体" w:cs="宋体"/>
                <w:kern w:val="2"/>
                <w:sz w:val="21"/>
                <w:szCs w:val="21"/>
              </w:rPr>
              <w:t>900-302-34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1"/>
              <w:ind w:left="114"/>
              <w:jc w:val="center"/>
              <w:rPr>
                <w:rFonts w:ascii="宋体" w:hAnsi="宋体" w:cs="宋体"/>
                <w:kern w:val="2"/>
                <w:sz w:val="21"/>
                <w:szCs w:val="21"/>
              </w:rPr>
            </w:pPr>
            <w:r>
              <w:rPr>
                <w:rFonts w:hint="eastAsia" w:ascii="宋体" w:hAnsi="宋体" w:cs="宋体"/>
                <w:kern w:val="2"/>
                <w:sz w:val="21"/>
                <w:szCs w:val="21"/>
              </w:rPr>
              <w:t>使用硫酸进行酸蚀产生的废酸液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16</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10"/>
              <w:ind w:left="96" w:right="72"/>
              <w:jc w:val="center"/>
              <w:rPr>
                <w:rFonts w:ascii="宋体" w:hAnsi="宋体" w:cs="宋体"/>
                <w:kern w:val="2"/>
                <w:sz w:val="21"/>
                <w:szCs w:val="21"/>
              </w:rPr>
            </w:pPr>
            <w:r>
              <w:rPr>
                <w:rFonts w:hint="eastAsia" w:ascii="宋体" w:hAnsi="宋体" w:cs="宋体"/>
                <w:kern w:val="2"/>
                <w:sz w:val="21"/>
                <w:szCs w:val="21"/>
              </w:rPr>
              <w:t>900-303-34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3"/>
              <w:ind w:left="114"/>
              <w:jc w:val="center"/>
              <w:rPr>
                <w:rFonts w:ascii="宋体" w:hAnsi="宋体" w:cs="宋体"/>
                <w:kern w:val="2"/>
                <w:sz w:val="21"/>
                <w:szCs w:val="21"/>
              </w:rPr>
            </w:pPr>
            <w:r>
              <w:rPr>
                <w:rFonts w:hint="eastAsia" w:ascii="宋体" w:hAnsi="宋体" w:cs="宋体"/>
                <w:kern w:val="2"/>
                <w:sz w:val="21"/>
                <w:szCs w:val="21"/>
              </w:rPr>
              <w:t>使用磷酸进行磷化产生的废酸液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17</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900-304-34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使用酸进行电解除油、金属表面敏化产生的废酸液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18</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900-305-34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使用硝酸剥落不合格镀层及挂架金属镀层产生的废酸液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19</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900-306-34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使用硝酸进行钝化产生的废酸液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20</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900-308-34</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6"/>
              <w:ind w:left="114"/>
              <w:jc w:val="center"/>
              <w:rPr>
                <w:rFonts w:ascii="宋体" w:hAnsi="宋体" w:cs="宋体"/>
                <w:kern w:val="2"/>
                <w:sz w:val="21"/>
                <w:szCs w:val="21"/>
              </w:rPr>
            </w:pPr>
            <w:r>
              <w:rPr>
                <w:rFonts w:hint="eastAsia" w:ascii="宋体" w:hAnsi="宋体" w:cs="宋体"/>
                <w:kern w:val="2"/>
                <w:sz w:val="21"/>
                <w:szCs w:val="21"/>
              </w:rPr>
              <w:t>使用酸进行催化（化学镀）产生的废酸液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21</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HW21</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含铬废水</w:t>
            </w: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397-002-21</w:t>
            </w:r>
          </w:p>
        </w:tc>
        <w:tc>
          <w:tcPr>
            <w:tcW w:w="147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10000</w:t>
            </w: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6"/>
              <w:ind w:left="114"/>
              <w:jc w:val="center"/>
              <w:rPr>
                <w:rFonts w:ascii="宋体" w:hAnsi="宋体" w:cs="宋体"/>
                <w:kern w:val="2"/>
                <w:sz w:val="21"/>
                <w:szCs w:val="21"/>
              </w:rPr>
            </w:pPr>
            <w:r>
              <w:rPr>
                <w:rFonts w:hint="eastAsia"/>
                <w:kern w:val="2"/>
                <w:sz w:val="21"/>
                <w:szCs w:val="21"/>
              </w:rPr>
              <w:t>使用铬酸进行钻孔除胶处理产生废水</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液态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22</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HW17</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表面处理废物</w:t>
            </w: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6"/>
              <w:ind w:left="114"/>
              <w:jc w:val="center"/>
              <w:rPr>
                <w:rFonts w:ascii="宋体" w:hAnsi="宋体" w:cs="宋体"/>
                <w:kern w:val="2"/>
                <w:sz w:val="21"/>
                <w:szCs w:val="21"/>
              </w:rPr>
            </w:pPr>
            <w:r>
              <w:rPr>
                <w:rFonts w:hint="eastAsia"/>
                <w:kern w:val="2"/>
                <w:sz w:val="21"/>
                <w:szCs w:val="21"/>
              </w:rPr>
              <w:t>金属表面处理及热处理加工产生的含重金属废液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23</w:t>
            </w:r>
          </w:p>
        </w:tc>
        <w:tc>
          <w:tcPr>
            <w:tcW w:w="95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HW35</w:t>
            </w:r>
          </w:p>
        </w:tc>
        <w:tc>
          <w:tcPr>
            <w:tcW w:w="162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废碱</w:t>
            </w: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190"/>
              <w:ind w:left="96" w:right="72"/>
              <w:jc w:val="center"/>
              <w:rPr>
                <w:rFonts w:ascii="宋体" w:hAnsi="宋体" w:cs="宋体"/>
                <w:kern w:val="2"/>
                <w:sz w:val="21"/>
                <w:szCs w:val="21"/>
              </w:rPr>
            </w:pPr>
            <w:r>
              <w:rPr>
                <w:rFonts w:hint="eastAsia" w:ascii="宋体" w:hAnsi="宋体" w:cs="宋体"/>
                <w:kern w:val="2"/>
                <w:sz w:val="21"/>
                <w:szCs w:val="21"/>
              </w:rPr>
              <w:t>261-059-35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基础化学原料制造过程中产生的废碱液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腐蚀性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24</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190"/>
              <w:ind w:left="96" w:right="72"/>
              <w:jc w:val="center"/>
              <w:rPr>
                <w:rFonts w:ascii="宋体" w:hAnsi="宋体" w:cs="宋体"/>
                <w:kern w:val="2"/>
                <w:sz w:val="21"/>
                <w:szCs w:val="21"/>
              </w:rPr>
            </w:pPr>
            <w:r>
              <w:rPr>
                <w:rFonts w:hint="eastAsia" w:ascii="宋体" w:hAnsi="宋体" w:cs="宋体"/>
                <w:kern w:val="2"/>
                <w:sz w:val="21"/>
                <w:szCs w:val="21"/>
              </w:rPr>
              <w:t>193-003-35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使用氢氧化钙、硫化钠进行浸灰产生的废碱液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25</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190"/>
              <w:ind w:left="96" w:right="72"/>
              <w:jc w:val="center"/>
              <w:rPr>
                <w:rFonts w:ascii="宋体" w:hAnsi="宋体" w:cs="宋体"/>
                <w:kern w:val="2"/>
                <w:sz w:val="21"/>
                <w:szCs w:val="21"/>
              </w:rPr>
            </w:pPr>
            <w:r>
              <w:rPr>
                <w:rFonts w:hint="eastAsia" w:ascii="宋体" w:hAnsi="宋体" w:cs="宋体"/>
                <w:kern w:val="2"/>
                <w:sz w:val="21"/>
                <w:szCs w:val="21"/>
              </w:rPr>
              <w:t>900-350-35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使用氢氧化钠进行煮炼过程中产生的废碱液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26</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221-002-35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碱法制浆过程中蒸煮制浆产生的废碱液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r>
              <w:rPr>
                <w:sz w:val="21"/>
              </w:rPr>
              <w:t>/</w:t>
            </w:r>
            <w:r>
              <w:rPr>
                <w:rFonts w:hint="eastAsia"/>
                <w:sz w:val="21"/>
              </w:rPr>
              <w:t>腐蚀性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27</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900-354-35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使用碱进行电镀阻挡层或抗蚀层的脱除产生的废碱液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腐蚀性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28</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900-355-35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使用碱进行氧化膜侵蚀产生的废碱液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29</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900-356-35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使用碱溶液进行碱性清洗、图形显影产生的废碱液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30</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10"/>
              <w:ind w:left="96" w:right="72"/>
              <w:jc w:val="center"/>
              <w:rPr>
                <w:rFonts w:ascii="宋体" w:hAnsi="宋体" w:cs="宋体"/>
                <w:kern w:val="2"/>
                <w:sz w:val="21"/>
                <w:szCs w:val="21"/>
              </w:rPr>
            </w:pPr>
            <w:r>
              <w:rPr>
                <w:rFonts w:hint="eastAsia" w:ascii="宋体" w:hAnsi="宋体" w:cs="宋体"/>
                <w:kern w:val="2"/>
                <w:sz w:val="21"/>
                <w:szCs w:val="21"/>
              </w:rPr>
              <w:t>900-352-35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3"/>
              <w:ind w:left="114"/>
              <w:jc w:val="center"/>
              <w:rPr>
                <w:rFonts w:ascii="宋体" w:hAnsi="宋体" w:cs="宋体"/>
                <w:kern w:val="2"/>
                <w:sz w:val="21"/>
                <w:szCs w:val="21"/>
              </w:rPr>
            </w:pPr>
            <w:r>
              <w:rPr>
                <w:rFonts w:hint="eastAsia" w:ascii="宋体" w:hAnsi="宋体" w:cs="宋体"/>
                <w:kern w:val="2"/>
                <w:sz w:val="21"/>
                <w:szCs w:val="21"/>
              </w:rPr>
              <w:t>使用碱进行清洗产生的废碱液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31</w:t>
            </w:r>
          </w:p>
        </w:tc>
        <w:tc>
          <w:tcPr>
            <w:tcW w:w="9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331" w:type="dxa"/>
            <w:tcBorders>
              <w:top w:val="single" w:color="auto" w:sz="4" w:space="0"/>
              <w:left w:val="single" w:color="auto" w:sz="4" w:space="0"/>
              <w:bottom w:val="single" w:color="auto" w:sz="4" w:space="0"/>
              <w:right w:val="single" w:color="auto" w:sz="4" w:space="0"/>
            </w:tcBorders>
            <w:vAlign w:val="center"/>
          </w:tcPr>
          <w:p>
            <w:pPr>
              <w:pStyle w:val="191"/>
              <w:spacing w:before="34"/>
              <w:ind w:left="96" w:right="72"/>
              <w:jc w:val="center"/>
              <w:rPr>
                <w:rFonts w:ascii="宋体" w:hAnsi="宋体" w:cs="宋体"/>
                <w:kern w:val="2"/>
                <w:sz w:val="21"/>
                <w:szCs w:val="21"/>
              </w:rPr>
            </w:pPr>
            <w:r>
              <w:rPr>
                <w:rFonts w:hint="eastAsia" w:ascii="宋体" w:hAnsi="宋体" w:cs="宋体"/>
                <w:kern w:val="2"/>
                <w:sz w:val="21"/>
                <w:szCs w:val="21"/>
              </w:rPr>
              <w:t>900-353-35</w:t>
            </w: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pStyle w:val="191"/>
              <w:spacing w:before="25"/>
              <w:ind w:left="114"/>
              <w:jc w:val="center"/>
              <w:rPr>
                <w:rFonts w:ascii="宋体" w:hAnsi="宋体" w:cs="宋体"/>
                <w:kern w:val="2"/>
                <w:sz w:val="21"/>
                <w:szCs w:val="21"/>
              </w:rPr>
            </w:pPr>
            <w:r>
              <w:rPr>
                <w:rFonts w:hint="eastAsia" w:ascii="宋体" w:hAnsi="宋体" w:cs="宋体"/>
                <w:kern w:val="2"/>
                <w:sz w:val="21"/>
                <w:szCs w:val="21"/>
              </w:rPr>
              <w:t>使用碱进行清洗除蜡、碱性除油、电解除油产生的废碱液</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32</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HW05</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木材防腐剂废物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15000</w:t>
            </w: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专用化学品制造过程或销售及使用过程中产生的</w:t>
            </w:r>
            <w:r>
              <w:rPr>
                <w:rFonts w:hint="eastAsia" w:ascii="宋体" w:cs="宋体"/>
                <w:kern w:val="0"/>
                <w:sz w:val="21"/>
              </w:rPr>
              <w:t>失效、变质、不合格、淘汰、伪劣的木材防腐剂产品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r>
              <w:rPr>
                <w:sz w:val="21"/>
              </w:rPr>
              <w:t>/</w:t>
            </w:r>
            <w:r>
              <w:rPr>
                <w:rFonts w:hint="eastAsia"/>
                <w:sz w:val="21"/>
              </w:rPr>
              <w:t>液态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p>
        </w:tc>
        <w:tc>
          <w:tcPr>
            <w:tcW w:w="167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焚烧处理</w:t>
            </w: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33</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HW06</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废有机溶剂</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基础化学原料制造过程产生的固体废物</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液态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r>
              <w:rPr>
                <w:sz w:val="21"/>
              </w:rPr>
              <w:t>/</w:t>
            </w:r>
            <w:r>
              <w:rPr>
                <w:rFonts w:hint="eastAsia"/>
                <w:sz w:val="21"/>
              </w:rPr>
              <w:t>易燃性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34</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HW07</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如处理含氰废物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cs="宋体"/>
                <w:kern w:val="0"/>
                <w:sz w:val="21"/>
              </w:rPr>
            </w:pPr>
            <w:r>
              <w:rPr>
                <w:rFonts w:hint="eastAsia" w:ascii="宋体" w:cs="宋体"/>
                <w:kern w:val="0"/>
                <w:sz w:val="21"/>
              </w:rPr>
              <w:t>使用氰化物进行金属热处理产生的废物</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35</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HW08</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废矿物油</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cs="宋体"/>
                <w:kern w:val="0"/>
                <w:sz w:val="21"/>
              </w:rPr>
            </w:pPr>
            <w:r>
              <w:rPr>
                <w:rFonts w:hint="eastAsia" w:ascii="宋体" w:cs="宋体"/>
                <w:kern w:val="0"/>
                <w:sz w:val="21"/>
              </w:rPr>
              <w:t>废矿物油及含废矿物油废液</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液态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r>
              <w:rPr>
                <w:sz w:val="21"/>
              </w:rPr>
              <w:t>/</w:t>
            </w:r>
            <w:r>
              <w:rPr>
                <w:rFonts w:hint="eastAsia"/>
                <w:sz w:val="21"/>
              </w:rPr>
              <w:t>易燃性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36</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HW10</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多氯（溴）联苯类废物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rPr>
            </w:pPr>
            <w:r>
              <w:rPr>
                <w:rFonts w:hint="eastAsia"/>
                <w:sz w:val="21"/>
              </w:rPr>
              <w:t>含多氯联苯（</w:t>
            </w:r>
            <w:r>
              <w:rPr>
                <w:sz w:val="21"/>
              </w:rPr>
              <w:t>PCBs</w:t>
            </w:r>
            <w:r>
              <w:rPr>
                <w:rFonts w:hint="eastAsia"/>
                <w:sz w:val="21"/>
              </w:rPr>
              <w:t>）、多氯三联苯（</w:t>
            </w:r>
            <w:r>
              <w:rPr>
                <w:sz w:val="21"/>
              </w:rPr>
              <w:t>PCTs</w:t>
            </w:r>
            <w:r>
              <w:rPr>
                <w:rFonts w:hint="eastAsia"/>
                <w:sz w:val="21"/>
              </w:rPr>
              <w:t>）、多溴联苯（</w:t>
            </w:r>
            <w:r>
              <w:rPr>
                <w:sz w:val="21"/>
              </w:rPr>
              <w:t>PBBs</w:t>
            </w:r>
            <w:r>
              <w:rPr>
                <w:rFonts w:hint="eastAsia"/>
                <w:sz w:val="21"/>
              </w:rPr>
              <w:t>）的废物</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r>
              <w:rPr>
                <w:sz w:val="21"/>
              </w:rPr>
              <w:t>/</w:t>
            </w:r>
            <w:r>
              <w:rPr>
                <w:rFonts w:hint="eastAsia"/>
                <w:sz w:val="21"/>
              </w:rPr>
              <w:t>液态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37</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HW11</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精（蒸）馏残渣</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精炼石油产品制造过程中产生的焦油及残渣</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38</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HW12</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染料、涂料废物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学品原料生产、制造及非特定行业产生的废料</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39</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HW13</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有机树脂类废物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树脂、乳胶、增塑剂、胶水</w:t>
            </w:r>
            <w:r>
              <w:rPr>
                <w:kern w:val="0"/>
                <w:sz w:val="21"/>
              </w:rPr>
              <w:t>/</w:t>
            </w:r>
            <w:r>
              <w:rPr>
                <w:rFonts w:hint="eastAsia" w:ascii="宋体" w:cs="宋体"/>
                <w:kern w:val="0"/>
                <w:sz w:val="21"/>
              </w:rPr>
              <w:t>胶合剂及非特定行业制造中产生的废物、废液及不合格品等</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40</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HW14</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新化学物质废物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研究、开发和教学活动中产生的对人类或环境影响不明的化学物质废物</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41</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HW16</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感光材料废物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专用化学产品行业、印刷行业、电子元件制造行业生产过程中产生的不合格产品</w:t>
            </w:r>
            <w:r>
              <w:rPr>
                <w:sz w:val="21"/>
              </w:rPr>
              <w:t>/</w:t>
            </w:r>
            <w:r>
              <w:rPr>
                <w:rFonts w:hint="eastAsia"/>
                <w:sz w:val="21"/>
              </w:rPr>
              <w:t>过期产品、胶片、废像纸</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42</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HW33</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无机氰化物废物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金属热表面处理过程中产生的废液</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液态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r>
              <w:rPr>
                <w:sz w:val="21"/>
              </w:rPr>
              <w:t>/</w:t>
            </w:r>
            <w:r>
              <w:rPr>
                <w:rFonts w:hint="eastAsia"/>
                <w:sz w:val="21"/>
              </w:rPr>
              <w:t>反应性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43</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HW37</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有机磷化合物废物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除农药以外其他有机磷化合物生产、制配过程中产生的反应余物及吸附介质</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r>
              <w:rPr>
                <w:sz w:val="21"/>
              </w:rPr>
              <w:t>/</w:t>
            </w:r>
            <w:r>
              <w:rPr>
                <w:rFonts w:hint="eastAsia"/>
                <w:sz w:val="21"/>
              </w:rPr>
              <w:t>易燃性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44</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HW38</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有机氰化物废物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cs="宋体"/>
                <w:kern w:val="0"/>
                <w:sz w:val="21"/>
              </w:rPr>
            </w:pPr>
            <w:r>
              <w:rPr>
                <w:rFonts w:hint="eastAsia" w:ascii="宋体" w:cs="宋体"/>
                <w:kern w:val="0"/>
                <w:sz w:val="21"/>
              </w:rPr>
              <w:t>基础化学原料制造过程中产生的残渣及过滤介质</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45</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HW39</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含酚废物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highlight w:val="yellow"/>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cs="宋体"/>
                <w:kern w:val="0"/>
                <w:sz w:val="21"/>
              </w:rPr>
            </w:pPr>
            <w:r>
              <w:rPr>
                <w:rFonts w:hint="eastAsia"/>
                <w:sz w:val="21"/>
              </w:rPr>
              <w:t>化学品制造业产生的含酚的反应残余物、介质及残渣等</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r>
              <w:rPr>
                <w:sz w:val="21"/>
              </w:rPr>
              <w:t>/</w:t>
            </w:r>
            <w:r>
              <w:rPr>
                <w:rFonts w:hint="eastAsia"/>
                <w:sz w:val="21"/>
              </w:rPr>
              <w:t>液态</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46</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HW45</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含醚类废物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化学品制造业产生的含酚的反应残余物、介质及残渣等</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液态</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47</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HW45</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含有机卤化物废物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含卤化有机溶剂废液、废渣、污泥等</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r>
              <w:rPr>
                <w:sz w:val="21"/>
              </w:rPr>
              <w:t>/</w:t>
            </w:r>
            <w:r>
              <w:rPr>
                <w:rFonts w:hint="eastAsia"/>
                <w:sz w:val="21"/>
              </w:rPr>
              <w:t>液态</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r>
              <w:rPr>
                <w:sz w:val="21"/>
              </w:rPr>
              <w:t>/</w:t>
            </w:r>
            <w:r>
              <w:rPr>
                <w:rFonts w:hint="eastAsia"/>
                <w:sz w:val="21"/>
              </w:rPr>
              <w:t>易燃性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48</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HW50</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废催化剂</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失效或过期的有机废催化剂</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49</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HW36</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石棉废物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基础化学制造过程中卤素和卤素化学品生产过程中电解置换产生的含石棉废物</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50</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HW49</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其他废物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其他需要通过焚烧无害化处置的废物</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r>
              <w:rPr>
                <w:sz w:val="21"/>
              </w:rPr>
              <w:t>/</w:t>
            </w:r>
            <w:r>
              <w:rPr>
                <w:rFonts w:hint="eastAsia"/>
                <w:sz w:val="21"/>
              </w:rPr>
              <w:t>液态</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51</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HW17</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表面处理废物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restart"/>
            <w:tcBorders>
              <w:top w:val="single" w:color="auto" w:sz="4"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sz w:val="21"/>
              </w:rPr>
            </w:pPr>
            <w:r>
              <w:rPr>
                <w:sz w:val="21"/>
              </w:rPr>
              <w:t>30000</w:t>
            </w: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cs="宋体"/>
                <w:kern w:val="0"/>
                <w:sz w:val="21"/>
              </w:rPr>
            </w:pPr>
            <w:r>
              <w:rPr>
                <w:rFonts w:hint="eastAsia" w:ascii="宋体" w:cs="宋体"/>
                <w:kern w:val="0"/>
                <w:sz w:val="21"/>
              </w:rPr>
              <w:t>金属表面处理及热处理加工行业产生的废水处理污泥</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固态</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毒性</w:t>
            </w:r>
          </w:p>
        </w:tc>
        <w:tc>
          <w:tcPr>
            <w:tcW w:w="1671" w:type="dxa"/>
            <w:vMerge w:val="restart"/>
            <w:tcBorders>
              <w:top w:val="single" w:color="auto" w:sz="4"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sz w:val="21"/>
              </w:rPr>
            </w:pPr>
            <w:r>
              <w:rPr>
                <w:rFonts w:hint="eastAsia"/>
                <w:sz w:val="21"/>
              </w:rPr>
              <w:t>固化</w:t>
            </w:r>
            <w:r>
              <w:rPr>
                <w:sz w:val="21"/>
              </w:rPr>
              <w:t>/</w:t>
            </w:r>
            <w:r>
              <w:rPr>
                <w:rFonts w:hint="eastAsia"/>
                <w:sz w:val="21"/>
              </w:rPr>
              <w:t>稳定化处理</w:t>
            </w: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52</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HW18</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焚烧处置残渣</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宋体" w:cs="宋体"/>
                <w:kern w:val="0"/>
                <w:sz w:val="21"/>
              </w:rPr>
            </w:pPr>
            <w:r>
              <w:rPr>
                <w:rFonts w:hint="eastAsia" w:ascii="宋体" w:cs="宋体"/>
                <w:kern w:val="0"/>
                <w:sz w:val="21"/>
              </w:rPr>
              <w:t>生活垃圾焚烧产生的废灰，以及危废焚烧、热解过程中产生的灰渣及玻璃态物质</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53</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HW19</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含金属羰基化合物废物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金属羰基化合物生产、使用过程中产生的含有羰基化合物成分的废物</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54</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HW20</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含铍废物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铍及化合物生产过程中产生的熔渣、粉尘和废水处理污泥</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55</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HW21</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含铬废物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毛皮制品、印刷品、化学原料制造、合金制造和金属表面加工产生的含铬废物</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56</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HW22</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含铜废物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各类含铜固体废物</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57</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HW23</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含锌废物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热镀锌助焊剂，废锌浆，使用氢氧化钠、锌粉进行贵金属沉淀过程中产生的废液及废水处理污泥</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58</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HW24</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含砷废物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含砷化合物金属矿石采选过程中产生的粉尘</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59</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HW25</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含硒废物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硒化合物生产过程中产生的熔渣粉尘及水处理污泥</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60</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HW26</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含镉废物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镉镍电池生产产生的废渣和水处理污泥</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61</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HW27</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w:t>
            </w:r>
            <w:r>
              <w:rPr>
                <w:rFonts w:hint="eastAsia" w:ascii="宋体" w:cs="宋体"/>
                <w:kern w:val="0"/>
                <w:sz w:val="21"/>
              </w:rPr>
              <w:t>锑</w:t>
            </w:r>
            <w:r>
              <w:rPr>
                <w:rFonts w:hint="eastAsia"/>
                <w:sz w:val="21"/>
              </w:rPr>
              <w:t>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氧化锑、锑金属及粗氧化锑生产过程中产生的粉尘及熔渣</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62</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HW28</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含碲废物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碲化合物生产过程中产生的熔渣粉尘及水处理污泥</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63</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HW29</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含汞废物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各类含汞固体废物</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64</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HW30</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含铊废物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铊及化合物生产过程中产生的粉尘及水处理污泥</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65</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HW31</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含铅废物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各类含铅固体废物</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66</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HW36</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石棉废物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各类石棉固体废物</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67</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HW46</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含镍废物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镍化合物合成产生的废物</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68</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HW47</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含钡废物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钡化合物生产过程中产生的熔渣粉尘残余物及水处理污泥</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69</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HW48</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有机金属冶炼废物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ascii="宋体" w:cs="宋体"/>
                <w:kern w:val="0"/>
                <w:sz w:val="21"/>
              </w:rPr>
              <w:t>各类金属冶炼、贵金属冶炼产生的废液废渣污泥</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70</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HW50</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废催化剂</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各类废催化剂</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71</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HW36</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石棉废物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基础化学制造过程中卤素和卤素化学品生产过程中电解置换产生的含石棉废物</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72</w:t>
            </w:r>
          </w:p>
        </w:tc>
        <w:tc>
          <w:tcPr>
            <w:tcW w:w="95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sz w:val="21"/>
              </w:rPr>
              <w:t>HW49</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其他废物</w:t>
            </w:r>
          </w:p>
        </w:tc>
        <w:tc>
          <w:tcPr>
            <w:tcW w:w="133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部分化学品制造业污水处理产生的污泥</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4" w:space="0"/>
              <w:right w:val="nil"/>
            </w:tcBorders>
            <w:vAlign w:val="center"/>
          </w:tcPr>
          <w:p>
            <w:pPr>
              <w:snapToGrid w:val="0"/>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2" w:hRule="atLeast"/>
        </w:trPr>
        <w:tc>
          <w:tcPr>
            <w:tcW w:w="523" w:type="dxa"/>
            <w:tcBorders>
              <w:top w:val="single" w:color="auto" w:sz="4" w:space="0"/>
              <w:left w:val="nil"/>
              <w:bottom w:val="single" w:color="auto" w:sz="12" w:space="0"/>
              <w:right w:val="single" w:color="auto" w:sz="4" w:space="0"/>
            </w:tcBorders>
            <w:vAlign w:val="center"/>
          </w:tcPr>
          <w:p>
            <w:pPr>
              <w:snapToGrid w:val="0"/>
              <w:spacing w:line="240" w:lineRule="auto"/>
              <w:ind w:firstLine="0" w:firstLineChars="0"/>
              <w:jc w:val="center"/>
              <w:rPr>
                <w:sz w:val="21"/>
              </w:rPr>
            </w:pPr>
            <w:r>
              <w:rPr>
                <w:sz w:val="21"/>
              </w:rPr>
              <w:t>73</w:t>
            </w:r>
          </w:p>
        </w:tc>
        <w:tc>
          <w:tcPr>
            <w:tcW w:w="955" w:type="dxa"/>
            <w:tcBorders>
              <w:top w:val="single" w:color="auto" w:sz="4"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sz w:val="21"/>
              </w:rPr>
            </w:pPr>
            <w:r>
              <w:rPr>
                <w:sz w:val="21"/>
              </w:rPr>
              <w:t>HW49</w:t>
            </w:r>
          </w:p>
        </w:tc>
        <w:tc>
          <w:tcPr>
            <w:tcW w:w="1627" w:type="dxa"/>
            <w:tcBorders>
              <w:top w:val="single" w:color="auto" w:sz="4"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sz w:val="21"/>
              </w:rPr>
            </w:pPr>
            <w:r>
              <w:rPr>
                <w:rFonts w:hint="eastAsia"/>
                <w:sz w:val="21"/>
              </w:rPr>
              <w:t>其他废物</w:t>
            </w:r>
          </w:p>
        </w:tc>
        <w:tc>
          <w:tcPr>
            <w:tcW w:w="1331" w:type="dxa"/>
            <w:tcBorders>
              <w:top w:val="single" w:color="auto" w:sz="4"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sz w:val="21"/>
              </w:rPr>
            </w:pPr>
          </w:p>
        </w:tc>
        <w:tc>
          <w:tcPr>
            <w:tcW w:w="1478"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3850" w:type="dxa"/>
            <w:tcBorders>
              <w:top w:val="single" w:color="auto" w:sz="4" w:space="0"/>
              <w:left w:val="single" w:color="auto" w:sz="4" w:space="0"/>
              <w:bottom w:val="single" w:color="auto" w:sz="12" w:space="0"/>
              <w:right w:val="single" w:color="auto" w:sz="4" w:space="0"/>
            </w:tcBorders>
            <w:vAlign w:val="center"/>
          </w:tcPr>
          <w:p>
            <w:pPr>
              <w:snapToGrid w:val="0"/>
              <w:spacing w:line="240" w:lineRule="auto"/>
              <w:ind w:firstLine="0" w:firstLineChars="0"/>
              <w:jc w:val="center"/>
              <w:rPr>
                <w:sz w:val="21"/>
              </w:rPr>
            </w:pPr>
            <w:r>
              <w:rPr>
                <w:rFonts w:hint="eastAsia"/>
                <w:sz w:val="21"/>
              </w:rPr>
              <w:t>各蒸发装置产生的工业废盐</w:t>
            </w:r>
          </w:p>
        </w:tc>
        <w:tc>
          <w:tcPr>
            <w:tcW w:w="1185"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1185"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1671" w:type="dxa"/>
            <w:vMerge w:val="continue"/>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left"/>
              <w:rPr>
                <w:sz w:val="21"/>
              </w:rPr>
            </w:pPr>
          </w:p>
        </w:tc>
        <w:tc>
          <w:tcPr>
            <w:tcW w:w="765" w:type="dxa"/>
            <w:tcBorders>
              <w:top w:val="single" w:color="auto" w:sz="4" w:space="0"/>
              <w:left w:val="single" w:color="auto" w:sz="4" w:space="0"/>
              <w:bottom w:val="single" w:color="auto" w:sz="12" w:space="0"/>
              <w:right w:val="nil"/>
            </w:tcBorders>
            <w:vAlign w:val="center"/>
          </w:tcPr>
          <w:p>
            <w:pPr>
              <w:snapToGrid w:val="0"/>
              <w:spacing w:line="240" w:lineRule="auto"/>
              <w:ind w:firstLine="0" w:firstLineChars="0"/>
              <w:jc w:val="center"/>
              <w:rPr>
                <w:sz w:val="21"/>
              </w:rPr>
            </w:pPr>
          </w:p>
        </w:tc>
      </w:tr>
    </w:tbl>
    <w:p>
      <w:pPr>
        <w:ind w:firstLine="420"/>
        <w:rPr>
          <w:rFonts w:ascii="Calibri" w:hAnsi="Calibri" w:cs="Times New Roman"/>
          <w:sz w:val="21"/>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6838" w:h="11906" w:orient="landscape"/>
          <w:pgMar w:top="1418" w:right="1134" w:bottom="1418" w:left="1134" w:header="851" w:footer="850" w:gutter="0"/>
          <w:cols w:space="425" w:num="1"/>
          <w:docGrid w:type="lines" w:linePitch="326" w:charSpace="0"/>
        </w:sectPr>
      </w:pPr>
    </w:p>
    <w:p>
      <w:pPr>
        <w:snapToGrid w:val="0"/>
        <w:ind w:firstLine="480"/>
        <w:rPr>
          <w:rFonts w:hAnsi="宋体"/>
        </w:rPr>
      </w:pPr>
      <w:r>
        <w:rPr>
          <w:rFonts w:hint="eastAsia" w:hAnsi="宋体"/>
        </w:rPr>
        <w:t>根据</w:t>
      </w:r>
      <w:r>
        <w:rPr>
          <w:rFonts w:hint="eastAsia"/>
        </w:rPr>
        <w:t>开发区及周边如阿拉善经济技术开发区、中卫市各工业企业</w:t>
      </w:r>
      <w:r>
        <w:rPr>
          <w:rFonts w:hint="eastAsia" w:hAnsi="宋体"/>
        </w:rPr>
        <w:t>危废产生情况及本项目工艺特点，改扩建后本项目在原基础上新增8类（物化处理新增HW32、HW21、HW17；焚烧处理新增HW07、HW16、HW33、HW50、HW36）进厂危废，经化验符合本项目物化系统和焚烧系统要求后，全部送至物化和焚烧系统进行处置。凡经化验不符合本项目要求的新增危废，本项目不予接收。</w:t>
      </w:r>
      <w:r>
        <w:rPr>
          <w:rFonts w:hint="eastAsia"/>
          <w:kern w:val="0"/>
        </w:rPr>
        <w:t>改扩建后本项目在原基础上不处理</w:t>
      </w:r>
      <w:r>
        <w:rPr>
          <w:kern w:val="0"/>
        </w:rPr>
        <w:t>3</w:t>
      </w:r>
      <w:r>
        <w:rPr>
          <w:rFonts w:hint="eastAsia"/>
          <w:kern w:val="0"/>
        </w:rPr>
        <w:t>类（</w:t>
      </w:r>
      <w:r>
        <w:rPr>
          <w:kern w:val="0"/>
        </w:rPr>
        <w:t>HW02</w:t>
      </w:r>
      <w:r>
        <w:rPr>
          <w:rFonts w:hint="eastAsia"/>
          <w:kern w:val="0"/>
        </w:rPr>
        <w:t>医药废物、</w:t>
      </w:r>
      <w:r>
        <w:rPr>
          <w:kern w:val="0"/>
        </w:rPr>
        <w:t>HW03</w:t>
      </w:r>
      <w:r>
        <w:rPr>
          <w:rFonts w:hint="eastAsia"/>
          <w:kern w:val="0"/>
        </w:rPr>
        <w:t>废药物、药品、</w:t>
      </w:r>
      <w:r>
        <w:rPr>
          <w:kern w:val="0"/>
        </w:rPr>
        <w:t>HW04</w:t>
      </w:r>
      <w:r>
        <w:rPr>
          <w:rFonts w:hint="eastAsia"/>
          <w:kern w:val="0"/>
        </w:rPr>
        <w:t>农药废物）危废。</w:t>
      </w:r>
    </w:p>
    <w:p>
      <w:pPr>
        <w:snapToGrid w:val="0"/>
        <w:ind w:firstLine="480"/>
        <w:rPr>
          <w:rFonts w:hAnsi="宋体"/>
        </w:rPr>
      </w:pPr>
      <w:r>
        <w:rPr>
          <w:rFonts w:hint="eastAsia" w:hAnsi="宋体"/>
        </w:rPr>
        <w:t>项目改扩建后产生的固体废物处理量、处置类别和方式见表4</w:t>
      </w:r>
      <w:r>
        <w:rPr>
          <w:rFonts w:hAnsi="宋体"/>
        </w:rPr>
        <w:t>.</w:t>
      </w:r>
      <w:r>
        <w:rPr>
          <w:rFonts w:hint="eastAsia" w:hAnsi="宋体"/>
        </w:rPr>
        <w:t>3—2。</w:t>
      </w:r>
    </w:p>
    <w:p>
      <w:pPr>
        <w:snapToGrid w:val="0"/>
        <w:ind w:firstLine="480"/>
        <w:rPr>
          <w:rFonts w:hAnsi="宋体"/>
        </w:rPr>
      </w:pPr>
      <w:r>
        <w:rPr>
          <w:rFonts w:hint="eastAsia" w:hAnsi="宋体"/>
        </w:rPr>
        <w:t>表4</w:t>
      </w:r>
      <w:r>
        <w:rPr>
          <w:rFonts w:hAnsi="宋体"/>
        </w:rPr>
        <w:t>.</w:t>
      </w:r>
      <w:r>
        <w:rPr>
          <w:rFonts w:hint="eastAsia" w:hAnsi="宋体"/>
        </w:rPr>
        <w:t>3—2 项目产生的危险废物处理量、处置类别和方式一览表</w:t>
      </w:r>
    </w:p>
    <w:tbl>
      <w:tblPr>
        <w:tblStyle w:val="88"/>
        <w:tblpPr w:leftFromText="180" w:rightFromText="180" w:vertAnchor="text" w:tblpXSpec="center" w:tblpY="1"/>
        <w:tblOverlap w:val="never"/>
        <w:tblW w:w="9063"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25"/>
        <w:gridCol w:w="3004"/>
        <w:gridCol w:w="1046"/>
        <w:gridCol w:w="2128"/>
        <w:gridCol w:w="2260"/>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25" w:type="dxa"/>
            <w:tcBorders>
              <w:top w:val="single" w:color="000000"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编号</w:t>
            </w:r>
          </w:p>
        </w:tc>
        <w:tc>
          <w:tcPr>
            <w:tcW w:w="3004"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污染源名称</w:t>
            </w:r>
          </w:p>
        </w:tc>
        <w:tc>
          <w:tcPr>
            <w:tcW w:w="1046"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cs="Times New Roman"/>
                <w:sz w:val="21"/>
              </w:rPr>
            </w:pPr>
            <w:r>
              <w:rPr>
                <w:rFonts w:hint="eastAsia" w:hAnsi="宋体"/>
                <w:sz w:val="21"/>
              </w:rPr>
              <w:t>产生量</w:t>
            </w:r>
          </w:p>
          <w:p>
            <w:pPr>
              <w:adjustRightInd w:val="0"/>
              <w:snapToGrid w:val="0"/>
              <w:spacing w:line="240" w:lineRule="atLeast"/>
              <w:ind w:firstLine="0" w:firstLineChars="0"/>
              <w:jc w:val="center"/>
              <w:rPr>
                <w:sz w:val="21"/>
              </w:rPr>
            </w:pPr>
            <w:r>
              <w:rPr>
                <w:rFonts w:hAnsi="宋体"/>
                <w:sz w:val="21"/>
              </w:rPr>
              <w:t>(t/a)</w:t>
            </w:r>
          </w:p>
        </w:tc>
        <w:tc>
          <w:tcPr>
            <w:tcW w:w="2128"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主要成分</w:t>
            </w:r>
          </w:p>
        </w:tc>
        <w:tc>
          <w:tcPr>
            <w:tcW w:w="2260" w:type="dxa"/>
            <w:tcBorders>
              <w:top w:val="single" w:color="000000"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sz w:val="21"/>
              </w:rPr>
            </w:pPr>
            <w:r>
              <w:rPr>
                <w:rFonts w:hint="eastAsia" w:hAnsi="宋体"/>
                <w:sz w:val="21"/>
              </w:rPr>
              <w:t>治理措施</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625"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w:t>
            </w:r>
          </w:p>
        </w:tc>
        <w:tc>
          <w:tcPr>
            <w:tcW w:w="3004" w:type="dxa"/>
            <w:tcBorders>
              <w:top w:val="single" w:color="auto" w:sz="12"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hAnsi="宋体"/>
                <w:sz w:val="21"/>
              </w:rPr>
              <w:t>有机废气净化器废渣</w:t>
            </w:r>
          </w:p>
        </w:tc>
        <w:tc>
          <w:tcPr>
            <w:tcW w:w="1046" w:type="dxa"/>
            <w:tcBorders>
              <w:top w:val="single" w:color="auto" w:sz="12"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23.70</w:t>
            </w:r>
          </w:p>
        </w:tc>
        <w:tc>
          <w:tcPr>
            <w:tcW w:w="2128" w:type="dxa"/>
            <w:tcBorders>
              <w:top w:val="single" w:color="auto" w:sz="12"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kern w:val="0"/>
                <w:sz w:val="21"/>
              </w:rPr>
              <w:t>废活性炭</w:t>
            </w:r>
          </w:p>
        </w:tc>
        <w:tc>
          <w:tcPr>
            <w:tcW w:w="2260"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340" w:hRule="atLeast"/>
        </w:trPr>
        <w:tc>
          <w:tcPr>
            <w:tcW w:w="62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2</w:t>
            </w:r>
          </w:p>
        </w:tc>
        <w:tc>
          <w:tcPr>
            <w:tcW w:w="3004"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物化车间澄清池废渣</w:t>
            </w:r>
          </w:p>
        </w:tc>
        <w:tc>
          <w:tcPr>
            <w:tcW w:w="1046"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11757.57</w:t>
            </w:r>
          </w:p>
        </w:tc>
        <w:tc>
          <w:tcPr>
            <w:tcW w:w="212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硫酸钙等</w:t>
            </w:r>
          </w:p>
        </w:tc>
        <w:tc>
          <w:tcPr>
            <w:tcW w:w="22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340" w:hRule="atLeast"/>
        </w:trPr>
        <w:tc>
          <w:tcPr>
            <w:tcW w:w="62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3</w:t>
            </w:r>
          </w:p>
        </w:tc>
        <w:tc>
          <w:tcPr>
            <w:tcW w:w="3004"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物化车间隔油池废油</w:t>
            </w:r>
          </w:p>
        </w:tc>
        <w:tc>
          <w:tcPr>
            <w:tcW w:w="1046"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101.97</w:t>
            </w:r>
          </w:p>
        </w:tc>
        <w:tc>
          <w:tcPr>
            <w:tcW w:w="212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废油等</w:t>
            </w:r>
          </w:p>
        </w:tc>
        <w:tc>
          <w:tcPr>
            <w:tcW w:w="22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340" w:hRule="atLeast"/>
        </w:trPr>
        <w:tc>
          <w:tcPr>
            <w:tcW w:w="62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4</w:t>
            </w:r>
          </w:p>
        </w:tc>
        <w:tc>
          <w:tcPr>
            <w:tcW w:w="3004"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物化车间沉淀池废渣</w:t>
            </w:r>
          </w:p>
        </w:tc>
        <w:tc>
          <w:tcPr>
            <w:tcW w:w="1046"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99.00</w:t>
            </w:r>
          </w:p>
        </w:tc>
        <w:tc>
          <w:tcPr>
            <w:tcW w:w="212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含重沉淀物等</w:t>
            </w:r>
          </w:p>
        </w:tc>
        <w:tc>
          <w:tcPr>
            <w:tcW w:w="22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340" w:hRule="atLeast"/>
        </w:trPr>
        <w:tc>
          <w:tcPr>
            <w:tcW w:w="62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5</w:t>
            </w:r>
          </w:p>
        </w:tc>
        <w:tc>
          <w:tcPr>
            <w:tcW w:w="30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焚烧炉炉渣</w:t>
            </w:r>
          </w:p>
        </w:tc>
        <w:tc>
          <w:tcPr>
            <w:tcW w:w="1046"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7474.50</w:t>
            </w:r>
          </w:p>
        </w:tc>
        <w:tc>
          <w:tcPr>
            <w:tcW w:w="212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8"/>
                <w:sz w:val="21"/>
                <w:lang w:val="pt-BR"/>
              </w:rPr>
            </w:pPr>
            <w:r>
              <w:rPr>
                <w:rFonts w:hint="eastAsia"/>
                <w:spacing w:val="-8"/>
                <w:sz w:val="21"/>
                <w:lang w:val="pt-BR"/>
              </w:rPr>
              <w:t>焚烧残渣</w:t>
            </w:r>
          </w:p>
        </w:tc>
        <w:tc>
          <w:tcPr>
            <w:tcW w:w="22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340" w:hRule="atLeast"/>
        </w:trPr>
        <w:tc>
          <w:tcPr>
            <w:tcW w:w="62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6</w:t>
            </w:r>
          </w:p>
        </w:tc>
        <w:tc>
          <w:tcPr>
            <w:tcW w:w="30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焚烧炉飞灰</w:t>
            </w:r>
          </w:p>
        </w:tc>
        <w:tc>
          <w:tcPr>
            <w:tcW w:w="1046"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1089.0</w:t>
            </w:r>
          </w:p>
        </w:tc>
        <w:tc>
          <w:tcPr>
            <w:tcW w:w="212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8"/>
                <w:sz w:val="21"/>
                <w:lang w:val="pt-BR"/>
              </w:rPr>
            </w:pPr>
            <w:r>
              <w:rPr>
                <w:rFonts w:hint="eastAsia"/>
                <w:spacing w:val="-8"/>
                <w:sz w:val="21"/>
                <w:lang w:val="pt-BR"/>
              </w:rPr>
              <w:t>颗粒物及重金属等</w:t>
            </w:r>
          </w:p>
        </w:tc>
        <w:tc>
          <w:tcPr>
            <w:tcW w:w="22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340" w:hRule="atLeast"/>
        </w:trPr>
        <w:tc>
          <w:tcPr>
            <w:tcW w:w="62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7</w:t>
            </w:r>
          </w:p>
        </w:tc>
        <w:tc>
          <w:tcPr>
            <w:tcW w:w="30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喷淋洗涤塔滤渣</w:t>
            </w:r>
          </w:p>
        </w:tc>
        <w:tc>
          <w:tcPr>
            <w:tcW w:w="1046"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39.60</w:t>
            </w:r>
          </w:p>
        </w:tc>
        <w:tc>
          <w:tcPr>
            <w:tcW w:w="212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spacing w:val="-8"/>
                <w:sz w:val="21"/>
                <w:lang w:val="pt-BR"/>
              </w:rPr>
              <w:t>颗粒物及重金属等</w:t>
            </w:r>
          </w:p>
        </w:tc>
        <w:tc>
          <w:tcPr>
            <w:tcW w:w="22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340" w:hRule="atLeast"/>
        </w:trPr>
        <w:tc>
          <w:tcPr>
            <w:tcW w:w="62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8</w:t>
            </w:r>
          </w:p>
        </w:tc>
        <w:tc>
          <w:tcPr>
            <w:tcW w:w="300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厂区污水处理站污泥</w:t>
            </w:r>
          </w:p>
        </w:tc>
        <w:tc>
          <w:tcPr>
            <w:tcW w:w="1046"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1920.6</w:t>
            </w:r>
          </w:p>
        </w:tc>
        <w:tc>
          <w:tcPr>
            <w:tcW w:w="212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hAnsi="宋体"/>
                <w:sz w:val="21"/>
              </w:rPr>
              <w:t>有机质、重金属等</w:t>
            </w:r>
          </w:p>
        </w:tc>
        <w:tc>
          <w:tcPr>
            <w:tcW w:w="2260"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340" w:hRule="atLeast"/>
        </w:trPr>
        <w:tc>
          <w:tcPr>
            <w:tcW w:w="62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9</w:t>
            </w:r>
          </w:p>
        </w:tc>
        <w:tc>
          <w:tcPr>
            <w:tcW w:w="300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强制循环蒸发系统盐泥</w:t>
            </w:r>
          </w:p>
        </w:tc>
        <w:tc>
          <w:tcPr>
            <w:tcW w:w="1046"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1204.50</w:t>
            </w:r>
          </w:p>
        </w:tc>
        <w:tc>
          <w:tcPr>
            <w:tcW w:w="2128"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盐类、重金属等</w:t>
            </w:r>
          </w:p>
        </w:tc>
        <w:tc>
          <w:tcPr>
            <w:tcW w:w="2260"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trHeight w:val="340" w:hRule="atLeast"/>
        </w:trPr>
        <w:tc>
          <w:tcPr>
            <w:tcW w:w="625"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sz w:val="21"/>
              </w:rPr>
              <w:t>10</w:t>
            </w:r>
          </w:p>
        </w:tc>
        <w:tc>
          <w:tcPr>
            <w:tcW w:w="300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强制循环蒸发系统净化器废渣</w:t>
            </w:r>
          </w:p>
        </w:tc>
        <w:tc>
          <w:tcPr>
            <w:tcW w:w="1046" w:type="dxa"/>
            <w:tcBorders>
              <w:top w:val="dotted" w:color="auto" w:sz="4" w:space="0"/>
              <w:left w:val="dotted" w:color="auto" w:sz="4" w:space="0"/>
              <w:bottom w:val="single" w:color="auto" w:sz="12" w:space="0"/>
              <w:right w:val="dotted" w:color="auto" w:sz="4" w:space="0"/>
            </w:tcBorders>
            <w:vAlign w:val="center"/>
          </w:tcPr>
          <w:p>
            <w:pPr>
              <w:adjustRightInd w:val="0"/>
              <w:spacing w:line="240" w:lineRule="atLeast"/>
              <w:ind w:firstLine="0" w:firstLineChars="0"/>
              <w:jc w:val="center"/>
              <w:rPr>
                <w:sz w:val="21"/>
              </w:rPr>
            </w:pPr>
            <w:r>
              <w:rPr>
                <w:sz w:val="21"/>
              </w:rPr>
              <w:t>1.6</w:t>
            </w:r>
          </w:p>
        </w:tc>
        <w:tc>
          <w:tcPr>
            <w:tcW w:w="2128"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废活性炭</w:t>
            </w:r>
          </w:p>
        </w:tc>
        <w:tc>
          <w:tcPr>
            <w:tcW w:w="2260"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送至焚烧车间</w:t>
            </w:r>
          </w:p>
        </w:tc>
      </w:tr>
    </w:tbl>
    <w:p>
      <w:pPr>
        <w:snapToGrid w:val="0"/>
        <w:ind w:firstLine="480"/>
        <w:rPr>
          <w:rFonts w:hAnsi="宋体"/>
        </w:rPr>
      </w:pPr>
    </w:p>
    <w:p>
      <w:pPr>
        <w:snapToGrid w:val="0"/>
        <w:ind w:firstLine="480"/>
        <w:rPr>
          <w:rFonts w:hAnsi="宋体"/>
        </w:rPr>
      </w:pPr>
      <w:r>
        <w:rPr>
          <w:rFonts w:hAnsi="宋体"/>
        </w:rPr>
        <w:fldChar w:fldCharType="begin"/>
      </w:r>
      <w:r>
        <w:rPr>
          <w:rFonts w:hint="eastAsia" w:hAnsi="宋体"/>
        </w:rPr>
        <w:instrText xml:space="preserve">= 2 \* GB2</w:instrText>
      </w:r>
      <w:r>
        <w:rPr>
          <w:rFonts w:hAnsi="宋体"/>
        </w:rPr>
        <w:fldChar w:fldCharType="separate"/>
      </w:r>
      <w:r>
        <w:rPr>
          <w:rFonts w:hint="eastAsia" w:hAnsi="宋体"/>
        </w:rPr>
        <w:t>⑵</w:t>
      </w:r>
      <w:r>
        <w:rPr>
          <w:rFonts w:hAnsi="宋体"/>
        </w:rPr>
        <w:fldChar w:fldCharType="end"/>
      </w:r>
      <w:r>
        <w:rPr>
          <w:rFonts w:hint="eastAsia" w:hAnsi="宋体"/>
        </w:rPr>
        <w:t>处理能力</w:t>
      </w:r>
    </w:p>
    <w:p>
      <w:pPr>
        <w:snapToGrid w:val="0"/>
        <w:ind w:firstLine="480"/>
        <w:rPr>
          <w:rFonts w:hAnsi="宋体"/>
        </w:rPr>
      </w:pPr>
      <w:r>
        <w:rPr>
          <w:rFonts w:hint="eastAsia" w:hAnsi="宋体"/>
        </w:rPr>
        <w:t>改扩建后项目各车间的处理能力和处理量见表4</w:t>
      </w:r>
      <w:r>
        <w:rPr>
          <w:rFonts w:hAnsi="宋体"/>
        </w:rPr>
        <w:t>.</w:t>
      </w:r>
      <w:r>
        <w:rPr>
          <w:rFonts w:hint="eastAsia" w:hAnsi="宋体"/>
        </w:rPr>
        <w:t>3—3。</w:t>
      </w:r>
    </w:p>
    <w:p>
      <w:pPr>
        <w:snapToGrid w:val="0"/>
        <w:ind w:firstLine="480"/>
        <w:rPr>
          <w:rFonts w:hAnsi="宋体"/>
        </w:rPr>
      </w:pPr>
      <w:r>
        <w:rPr>
          <w:rFonts w:hint="eastAsia" w:hAnsi="宋体"/>
        </w:rPr>
        <w:t>表4</w:t>
      </w:r>
      <w:r>
        <w:rPr>
          <w:rFonts w:hAnsi="宋体"/>
        </w:rPr>
        <w:t>.</w:t>
      </w:r>
      <w:r>
        <w:rPr>
          <w:rFonts w:hint="eastAsia" w:hAnsi="宋体"/>
        </w:rPr>
        <w:t>3—3  项目各车间处理能力及处理量</w:t>
      </w:r>
    </w:p>
    <w:tbl>
      <w:tblPr>
        <w:tblStyle w:val="88"/>
        <w:tblpPr w:leftFromText="180" w:rightFromText="180" w:vertAnchor="text" w:tblpX="142" w:tblpY="1"/>
        <w:tblOverlap w:val="never"/>
        <w:tblW w:w="9070"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515"/>
        <w:gridCol w:w="3510"/>
        <w:gridCol w:w="862"/>
        <w:gridCol w:w="1081"/>
        <w:gridCol w:w="1243"/>
        <w:gridCol w:w="1859"/>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515" w:type="dxa"/>
            <w:tcBorders>
              <w:top w:val="single" w:color="000000"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编号</w:t>
            </w:r>
          </w:p>
        </w:tc>
        <w:tc>
          <w:tcPr>
            <w:tcW w:w="3510"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车间名称</w:t>
            </w:r>
          </w:p>
        </w:tc>
        <w:tc>
          <w:tcPr>
            <w:tcW w:w="862"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单位</w:t>
            </w:r>
          </w:p>
        </w:tc>
        <w:tc>
          <w:tcPr>
            <w:tcW w:w="1081"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处理能力</w:t>
            </w:r>
          </w:p>
        </w:tc>
        <w:tc>
          <w:tcPr>
            <w:tcW w:w="1243"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处理量</w:t>
            </w:r>
          </w:p>
        </w:tc>
        <w:tc>
          <w:tcPr>
            <w:tcW w:w="1859" w:type="dxa"/>
            <w:tcBorders>
              <w:top w:val="single" w:color="000000"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sz w:val="21"/>
              </w:rPr>
            </w:pPr>
            <w:r>
              <w:rPr>
                <w:rFonts w:hint="eastAsia"/>
                <w:sz w:val="21"/>
              </w:rPr>
              <w:t>备注</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51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w:t>
            </w:r>
          </w:p>
        </w:tc>
        <w:tc>
          <w:tcPr>
            <w:tcW w:w="351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物化车间</w:t>
            </w:r>
          </w:p>
        </w:tc>
        <w:tc>
          <w:tcPr>
            <w:tcW w:w="86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Ansi="宋体"/>
                <w:sz w:val="21"/>
              </w:rPr>
              <w:t>t/a</w:t>
            </w:r>
          </w:p>
        </w:tc>
        <w:tc>
          <w:tcPr>
            <w:tcW w:w="108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230</w:t>
            </w:r>
            <w:r>
              <w:rPr>
                <w:sz w:val="21"/>
              </w:rPr>
              <w:t>00</w:t>
            </w:r>
          </w:p>
        </w:tc>
        <w:tc>
          <w:tcPr>
            <w:tcW w:w="124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w:t>
            </w:r>
            <w:r>
              <w:rPr>
                <w:rFonts w:hint="eastAsia"/>
                <w:sz w:val="21"/>
              </w:rPr>
              <w:t>30</w:t>
            </w:r>
            <w:r>
              <w:rPr>
                <w:sz w:val="21"/>
              </w:rPr>
              <w:t>00</w:t>
            </w:r>
          </w:p>
        </w:tc>
        <w:tc>
          <w:tcPr>
            <w:tcW w:w="1859"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51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2</w:t>
            </w:r>
          </w:p>
        </w:tc>
        <w:tc>
          <w:tcPr>
            <w:tcW w:w="351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焚烧车间</w:t>
            </w:r>
          </w:p>
        </w:tc>
        <w:tc>
          <w:tcPr>
            <w:tcW w:w="86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Ansi="宋体"/>
                <w:sz w:val="21"/>
              </w:rPr>
              <w:t>t/a</w:t>
            </w:r>
          </w:p>
        </w:tc>
        <w:tc>
          <w:tcPr>
            <w:tcW w:w="108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33000</w:t>
            </w:r>
          </w:p>
        </w:tc>
        <w:tc>
          <w:tcPr>
            <w:tcW w:w="124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33000</w:t>
            </w:r>
          </w:p>
        </w:tc>
        <w:tc>
          <w:tcPr>
            <w:tcW w:w="1859"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hAnsi="宋体"/>
                <w:sz w:val="21"/>
              </w:rPr>
            </w:pPr>
            <w:r>
              <w:rPr>
                <w:rFonts w:hint="eastAsia" w:hAnsi="宋体"/>
                <w:sz w:val="21"/>
              </w:rPr>
              <w:t>分期建设</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515" w:type="dxa"/>
            <w:tcBorders>
              <w:top w:val="dotted" w:color="auto" w:sz="4" w:space="0"/>
              <w:left w:val="nil"/>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3</w:t>
            </w:r>
          </w:p>
        </w:tc>
        <w:tc>
          <w:tcPr>
            <w:tcW w:w="351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固化车间</w:t>
            </w:r>
          </w:p>
        </w:tc>
        <w:tc>
          <w:tcPr>
            <w:tcW w:w="862"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Ansi="宋体"/>
                <w:sz w:val="21"/>
              </w:rPr>
              <w:t>t/a</w:t>
            </w:r>
          </w:p>
        </w:tc>
        <w:tc>
          <w:tcPr>
            <w:tcW w:w="1081"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29700</w:t>
            </w:r>
          </w:p>
        </w:tc>
        <w:tc>
          <w:tcPr>
            <w:tcW w:w="124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29700</w:t>
            </w:r>
          </w:p>
        </w:tc>
        <w:tc>
          <w:tcPr>
            <w:tcW w:w="1859"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rPr>
                <w:rFonts w:hAnsi="宋体"/>
                <w:sz w:val="21"/>
              </w:rPr>
            </w:pPr>
          </w:p>
        </w:tc>
      </w:tr>
    </w:tbl>
    <w:p>
      <w:pPr>
        <w:pStyle w:val="178"/>
        <w:snapToGrid w:val="0"/>
        <w:ind w:firstLine="480"/>
        <w:rPr>
          <w:rFonts w:ascii="Times New Roman" w:hAnsi="Times New Roman"/>
        </w:rPr>
      </w:pPr>
    </w:p>
    <w:p>
      <w:pPr>
        <w:snapToGrid w:val="0"/>
        <w:ind w:firstLine="480"/>
        <w:rPr>
          <w:rFonts w:hAnsi="宋体"/>
        </w:rPr>
      </w:pPr>
      <w:r>
        <w:rPr>
          <w:rFonts w:hAnsi="宋体"/>
        </w:rPr>
        <w:fldChar w:fldCharType="begin"/>
      </w:r>
      <w:r>
        <w:rPr>
          <w:rFonts w:hint="eastAsia" w:hAnsi="宋体"/>
        </w:rPr>
        <w:instrText xml:space="preserve">= 3 \* GB2</w:instrText>
      </w:r>
      <w:r>
        <w:rPr>
          <w:rFonts w:hAnsi="宋体"/>
        </w:rPr>
        <w:fldChar w:fldCharType="separate"/>
      </w:r>
      <w:r>
        <w:rPr>
          <w:rFonts w:hint="eastAsia" w:hAnsi="宋体"/>
        </w:rPr>
        <w:t>⑶</w:t>
      </w:r>
      <w:r>
        <w:rPr>
          <w:rFonts w:hAnsi="宋体"/>
        </w:rPr>
        <w:fldChar w:fldCharType="end"/>
      </w:r>
      <w:r>
        <w:rPr>
          <w:rFonts w:hint="eastAsia" w:hAnsi="宋体"/>
        </w:rPr>
        <w:t>辅助材料和能源消耗情况</w:t>
      </w:r>
    </w:p>
    <w:p>
      <w:pPr>
        <w:snapToGrid w:val="0"/>
        <w:ind w:firstLine="480"/>
        <w:rPr>
          <w:rFonts w:hAnsi="宋体"/>
        </w:rPr>
      </w:pPr>
      <w:r>
        <w:rPr>
          <w:rFonts w:hint="eastAsia" w:hAnsi="宋体"/>
        </w:rPr>
        <w:t>扩建后项目主要辅助材料及能源消耗见表4</w:t>
      </w:r>
      <w:r>
        <w:rPr>
          <w:rFonts w:hAnsi="宋体"/>
        </w:rPr>
        <w:t>.</w:t>
      </w:r>
      <w:r>
        <w:rPr>
          <w:rFonts w:hint="eastAsia" w:hAnsi="宋体"/>
        </w:rPr>
        <w:t>3—4。项目所使用的辅助材料采用袋装或专门容器进行储存。天然气来源于园区天然气管网接入厂区。</w:t>
      </w:r>
    </w:p>
    <w:p>
      <w:pPr>
        <w:snapToGrid w:val="0"/>
        <w:ind w:firstLine="480"/>
        <w:rPr>
          <w:rFonts w:hAnsi="宋体"/>
        </w:rPr>
      </w:pPr>
    </w:p>
    <w:p>
      <w:pPr>
        <w:snapToGrid w:val="0"/>
        <w:ind w:firstLine="480"/>
        <w:rPr>
          <w:rFonts w:hAnsi="宋体"/>
        </w:rPr>
      </w:pPr>
    </w:p>
    <w:p>
      <w:pPr>
        <w:snapToGrid w:val="0"/>
        <w:ind w:firstLine="480"/>
        <w:rPr>
          <w:rFonts w:hAnsi="宋体"/>
        </w:rPr>
      </w:pPr>
    </w:p>
    <w:p>
      <w:pPr>
        <w:snapToGrid w:val="0"/>
        <w:ind w:firstLine="480"/>
        <w:rPr>
          <w:rFonts w:hAnsi="宋体"/>
        </w:rPr>
      </w:pPr>
      <w:r>
        <w:rPr>
          <w:rFonts w:hint="eastAsia" w:hAnsi="宋体"/>
        </w:rPr>
        <w:t>表4</w:t>
      </w:r>
      <w:r>
        <w:rPr>
          <w:rFonts w:hAnsi="宋体"/>
        </w:rPr>
        <w:t>.</w:t>
      </w:r>
      <w:r>
        <w:rPr>
          <w:rFonts w:hint="eastAsia" w:hAnsi="宋体"/>
        </w:rPr>
        <w:t>3—4            项目辅助材料及能源消耗情况一览表</w:t>
      </w:r>
    </w:p>
    <w:tbl>
      <w:tblPr>
        <w:tblStyle w:val="88"/>
        <w:tblW w:w="9286" w:type="dxa"/>
        <w:tblInd w:w="0" w:type="dxa"/>
        <w:tblLayout w:type="fixed"/>
        <w:tblCellMar>
          <w:top w:w="0" w:type="dxa"/>
          <w:left w:w="108" w:type="dxa"/>
          <w:bottom w:w="0" w:type="dxa"/>
          <w:right w:w="108" w:type="dxa"/>
        </w:tblCellMar>
      </w:tblPr>
      <w:tblGrid>
        <w:gridCol w:w="1726"/>
        <w:gridCol w:w="2817"/>
        <w:gridCol w:w="2396"/>
        <w:gridCol w:w="2347"/>
      </w:tblGrid>
      <w:tr>
        <w:tblPrEx>
          <w:tblCellMar>
            <w:top w:w="0" w:type="dxa"/>
            <w:left w:w="108" w:type="dxa"/>
            <w:bottom w:w="0" w:type="dxa"/>
            <w:right w:w="108" w:type="dxa"/>
          </w:tblCellMar>
        </w:tblPrEx>
        <w:trPr>
          <w:trHeight w:val="340" w:hRule="atLeast"/>
        </w:trPr>
        <w:tc>
          <w:tcPr>
            <w:tcW w:w="1726" w:type="dxa"/>
            <w:tcBorders>
              <w:top w:val="single" w:color="000000" w:sz="12" w:space="0"/>
              <w:bottom w:val="single" w:color="auto" w:sz="12"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序号</w:t>
            </w:r>
          </w:p>
        </w:tc>
        <w:tc>
          <w:tcPr>
            <w:tcW w:w="2817" w:type="dxa"/>
            <w:tcBorders>
              <w:top w:val="single" w:color="000000" w:sz="12" w:space="0"/>
              <w:left w:val="dotted" w:color="auto" w:sz="4" w:space="0"/>
              <w:bottom w:val="single" w:color="auto" w:sz="12"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名称</w:t>
            </w:r>
          </w:p>
        </w:tc>
        <w:tc>
          <w:tcPr>
            <w:tcW w:w="2396" w:type="dxa"/>
            <w:tcBorders>
              <w:top w:val="single" w:color="000000" w:sz="12" w:space="0"/>
              <w:left w:val="dotted" w:color="auto" w:sz="4" w:space="0"/>
              <w:bottom w:val="single" w:color="auto" w:sz="12"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单位</w:t>
            </w:r>
          </w:p>
        </w:tc>
        <w:tc>
          <w:tcPr>
            <w:tcW w:w="2347" w:type="dxa"/>
            <w:tcBorders>
              <w:top w:val="single" w:color="000000" w:sz="12" w:space="0"/>
              <w:left w:val="dotted" w:color="auto" w:sz="4" w:space="0"/>
              <w:bottom w:val="single" w:color="auto" w:sz="12"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消耗量</w:t>
            </w:r>
          </w:p>
        </w:tc>
      </w:tr>
      <w:tr>
        <w:tblPrEx>
          <w:tblCellMar>
            <w:top w:w="0" w:type="dxa"/>
            <w:left w:w="108" w:type="dxa"/>
            <w:bottom w:w="0" w:type="dxa"/>
            <w:right w:w="108" w:type="dxa"/>
          </w:tblCellMar>
        </w:tblPrEx>
        <w:trPr>
          <w:trHeight w:val="340" w:hRule="atLeast"/>
        </w:trPr>
        <w:tc>
          <w:tcPr>
            <w:tcW w:w="9286" w:type="dxa"/>
            <w:gridSpan w:val="4"/>
            <w:tcBorders>
              <w:top w:val="single" w:color="auto" w:sz="12" w:space="0"/>
              <w:left w:val="nil"/>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辅助材料</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1</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消石灰</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5709.00</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2</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氢氧化钠</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1592.91</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3</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柴油</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3478.20</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4</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尿素</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1584.00</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5</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活性炭</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330.00</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6</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水泥</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1584.00</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7</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粉煤灰</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1</w:t>
            </w:r>
            <w:r>
              <w:rPr>
                <w:rFonts w:hint="eastAsia" w:ascii="Times New Roman" w:cs="Times New Roman"/>
                <w:color w:val="auto"/>
                <w:kern w:val="2"/>
                <w:sz w:val="21"/>
                <w:szCs w:val="21"/>
              </w:rPr>
              <w:t>798.50</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8</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螯合剂</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264.66</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highlight w:val="yellow"/>
              </w:rPr>
            </w:pPr>
            <w:r>
              <w:rPr>
                <w:rFonts w:ascii="Times New Roman" w:cs="Times New Roman"/>
                <w:color w:val="auto"/>
                <w:kern w:val="2"/>
                <w:sz w:val="21"/>
                <w:szCs w:val="21"/>
              </w:rPr>
              <w:t>9</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污水处理药剂</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105.60</w:t>
            </w:r>
          </w:p>
        </w:tc>
      </w:tr>
      <w:tr>
        <w:tblPrEx>
          <w:tblCellMar>
            <w:top w:w="0" w:type="dxa"/>
            <w:left w:w="108" w:type="dxa"/>
            <w:bottom w:w="0" w:type="dxa"/>
            <w:right w:w="108" w:type="dxa"/>
          </w:tblCellMar>
        </w:tblPrEx>
        <w:trPr>
          <w:trHeight w:val="340" w:hRule="atLeast"/>
        </w:trPr>
        <w:tc>
          <w:tcPr>
            <w:tcW w:w="9286" w:type="dxa"/>
            <w:gridSpan w:val="4"/>
            <w:tcBorders>
              <w:top w:val="dotted" w:color="auto" w:sz="4" w:space="0"/>
              <w:left w:val="nil"/>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能源消耗</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1</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电力</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KWh/a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sz w:val="21"/>
                <w:szCs w:val="21"/>
              </w:rPr>
              <w:t>1080.00</w:t>
            </w:r>
            <w:r>
              <w:rPr>
                <w:rFonts w:ascii="Times New Roman" w:cs="Times New Roman"/>
                <w:color w:val="auto"/>
                <w:kern w:val="2"/>
                <w:sz w:val="21"/>
                <w:szCs w:val="21"/>
              </w:rPr>
              <w:t>×10</w:t>
            </w:r>
            <w:r>
              <w:rPr>
                <w:rFonts w:ascii="Times New Roman" w:cs="Times New Roman"/>
                <w:color w:val="auto"/>
                <w:kern w:val="2"/>
                <w:sz w:val="21"/>
                <w:szCs w:val="21"/>
                <w:vertAlign w:val="superscript"/>
              </w:rPr>
              <w:t>4</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2</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新鲜水</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68640.00</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3</w:t>
            </w:r>
          </w:p>
        </w:tc>
        <w:tc>
          <w:tcPr>
            <w:tcW w:w="2817"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蒸汽</w:t>
            </w:r>
          </w:p>
        </w:tc>
        <w:tc>
          <w:tcPr>
            <w:tcW w:w="2396" w:type="dxa"/>
            <w:tcBorders>
              <w:top w:val="dotted" w:color="auto" w:sz="4" w:space="0"/>
              <w:left w:val="dotted" w:color="auto" w:sz="4" w:space="0"/>
              <w:bottom w:val="dotted" w:color="auto" w:sz="4" w:space="0"/>
              <w:right w:val="dotted" w:color="auto" w:sz="4" w:space="0"/>
            </w:tcBorders>
            <w:vAlign w:val="center"/>
          </w:tcPr>
          <w:p>
            <w:pPr>
              <w:pStyle w:val="157"/>
              <w:adjustRightInd/>
              <w:jc w:val="center"/>
              <w:rPr>
                <w:rFonts w:ascii="Times New Roman" w:cs="Times New Roman"/>
                <w:color w:val="auto"/>
                <w:kern w:val="2"/>
                <w:sz w:val="21"/>
                <w:szCs w:val="21"/>
              </w:rPr>
            </w:pPr>
            <w:r>
              <w:rPr>
                <w:rFonts w:ascii="Times New Roman" w:cs="Times New Roman"/>
                <w:color w:val="auto"/>
                <w:kern w:val="2"/>
                <w:sz w:val="21"/>
                <w:szCs w:val="21"/>
              </w:rPr>
              <w:t>t/a</w:t>
            </w:r>
          </w:p>
        </w:tc>
        <w:tc>
          <w:tcPr>
            <w:tcW w:w="2347" w:type="dxa"/>
            <w:tcBorders>
              <w:top w:val="dotted" w:color="auto" w:sz="4" w:space="0"/>
              <w:left w:val="dotted" w:color="auto" w:sz="4" w:space="0"/>
              <w:bottom w:val="dotted" w:color="auto" w:sz="4" w:space="0"/>
              <w:right w:val="nil"/>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51645.00</w:t>
            </w:r>
          </w:p>
        </w:tc>
      </w:tr>
      <w:tr>
        <w:tblPrEx>
          <w:tblCellMar>
            <w:top w:w="0" w:type="dxa"/>
            <w:left w:w="108" w:type="dxa"/>
            <w:bottom w:w="0" w:type="dxa"/>
            <w:right w:w="108" w:type="dxa"/>
          </w:tblCellMar>
        </w:tblPrEx>
        <w:trPr>
          <w:trHeight w:val="340" w:hRule="atLeast"/>
        </w:trPr>
        <w:tc>
          <w:tcPr>
            <w:tcW w:w="1726" w:type="dxa"/>
            <w:tcBorders>
              <w:top w:val="dotted" w:color="auto" w:sz="4" w:space="0"/>
              <w:left w:val="nil"/>
              <w:bottom w:val="single" w:color="000000" w:sz="12"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4</w:t>
            </w:r>
          </w:p>
        </w:tc>
        <w:tc>
          <w:tcPr>
            <w:tcW w:w="2817" w:type="dxa"/>
            <w:tcBorders>
              <w:top w:val="dotted" w:color="auto" w:sz="4" w:space="0"/>
              <w:left w:val="dotted" w:color="auto" w:sz="4" w:space="0"/>
              <w:bottom w:val="single" w:color="000000" w:sz="12" w:space="0"/>
              <w:right w:val="dotted" w:color="auto" w:sz="4" w:space="0"/>
            </w:tcBorders>
            <w:vAlign w:val="center"/>
          </w:tcPr>
          <w:p>
            <w:pPr>
              <w:pStyle w:val="157"/>
              <w:adjustRightInd/>
              <w:jc w:val="center"/>
              <w:rPr>
                <w:rFonts w:hint="eastAsia" w:ascii="Times New Roman" w:cs="Times New Roman"/>
                <w:color w:val="auto"/>
                <w:kern w:val="2"/>
                <w:sz w:val="21"/>
                <w:szCs w:val="21"/>
              </w:rPr>
            </w:pPr>
            <w:r>
              <w:rPr>
                <w:rFonts w:hint="eastAsia" w:ascii="Times New Roman" w:cs="Times New Roman"/>
                <w:color w:val="auto"/>
                <w:kern w:val="2"/>
                <w:sz w:val="21"/>
                <w:szCs w:val="21"/>
              </w:rPr>
              <w:t>天然气</w:t>
            </w:r>
          </w:p>
        </w:tc>
        <w:tc>
          <w:tcPr>
            <w:tcW w:w="2396" w:type="dxa"/>
            <w:tcBorders>
              <w:top w:val="dotted" w:color="auto" w:sz="4" w:space="0"/>
              <w:left w:val="dotted" w:color="auto" w:sz="4" w:space="0"/>
              <w:bottom w:val="single" w:color="000000" w:sz="12" w:space="0"/>
              <w:right w:val="dotted" w:color="auto" w:sz="4" w:space="0"/>
            </w:tcBorders>
            <w:vAlign w:val="center"/>
          </w:tcPr>
          <w:p>
            <w:pPr>
              <w:pStyle w:val="157"/>
              <w:adjustRightInd/>
              <w:jc w:val="center"/>
              <w:rPr>
                <w:rFonts w:ascii="Times New Roman" w:cs="Times New Roman"/>
                <w:color w:val="auto"/>
                <w:kern w:val="2"/>
                <w:sz w:val="21"/>
                <w:szCs w:val="21"/>
              </w:rPr>
            </w:pPr>
            <w:r>
              <w:rPr>
                <w:rFonts w:hint="eastAsia" w:ascii="Times New Roman" w:cs="Times New Roman"/>
                <w:color w:val="auto"/>
                <w:kern w:val="2"/>
                <w:sz w:val="21"/>
                <w:szCs w:val="21"/>
              </w:rPr>
              <w:t>m</w:t>
            </w:r>
            <w:r>
              <w:rPr>
                <w:rFonts w:hint="eastAsia" w:ascii="Times New Roman" w:cs="Times New Roman"/>
                <w:color w:val="auto"/>
                <w:kern w:val="2"/>
                <w:sz w:val="21"/>
                <w:szCs w:val="21"/>
                <w:vertAlign w:val="superscript"/>
              </w:rPr>
              <w:t>3</w:t>
            </w:r>
            <w:r>
              <w:rPr>
                <w:rFonts w:hint="eastAsia" w:ascii="Times New Roman" w:cs="Times New Roman"/>
                <w:color w:val="auto"/>
                <w:kern w:val="2"/>
                <w:sz w:val="21"/>
                <w:szCs w:val="21"/>
              </w:rPr>
              <w:t>/a</w:t>
            </w:r>
          </w:p>
        </w:tc>
        <w:tc>
          <w:tcPr>
            <w:tcW w:w="2347" w:type="dxa"/>
            <w:tcBorders>
              <w:top w:val="dotted" w:color="auto" w:sz="4" w:space="0"/>
              <w:left w:val="dotted" w:color="auto" w:sz="4" w:space="0"/>
              <w:bottom w:val="single" w:color="000000" w:sz="12" w:space="0"/>
              <w:right w:val="nil"/>
            </w:tcBorders>
            <w:vAlign w:val="center"/>
          </w:tcPr>
          <w:p>
            <w:pPr>
              <w:pStyle w:val="157"/>
              <w:adjustRightInd/>
              <w:jc w:val="center"/>
              <w:rPr>
                <w:rFonts w:hint="eastAsia" w:ascii="Times New Roman" w:cs="Times New Roman"/>
                <w:color w:val="auto"/>
                <w:kern w:val="2"/>
                <w:sz w:val="21"/>
                <w:szCs w:val="21"/>
              </w:rPr>
            </w:pPr>
            <w:r>
              <w:rPr>
                <w:rFonts w:hint="eastAsia" w:ascii="Times New Roman" w:cs="Times New Roman"/>
                <w:color w:val="auto"/>
                <w:kern w:val="2"/>
                <w:sz w:val="21"/>
                <w:szCs w:val="21"/>
              </w:rPr>
              <w:t>11000.0</w:t>
            </w:r>
          </w:p>
        </w:tc>
      </w:tr>
    </w:tbl>
    <w:p>
      <w:pPr>
        <w:ind w:firstLine="480"/>
        <w:jc w:val="center"/>
        <w:rPr>
          <w:rFonts w:asciiTheme="minorEastAsia" w:hAnsiTheme="minorEastAsia" w:eastAsiaTheme="minorEastAsia"/>
          <w:szCs w:val="24"/>
        </w:rPr>
      </w:pPr>
    </w:p>
    <w:p>
      <w:pPr>
        <w:pStyle w:val="4"/>
        <w:rPr>
          <w:rFonts w:asciiTheme="minorEastAsia" w:hAnsiTheme="minorEastAsia" w:eastAsiaTheme="minorEastAsia"/>
          <w:szCs w:val="24"/>
        </w:rPr>
      </w:pPr>
      <w:bookmarkStart w:id="217" w:name="_Toc13760136"/>
      <w:r>
        <w:rPr>
          <w:rFonts w:hint="eastAsia"/>
        </w:rPr>
        <w:t>4.4改扩建后储运和危废暂存</w:t>
      </w:r>
      <w:bookmarkEnd w:id="217"/>
    </w:p>
    <w:p>
      <w:pPr>
        <w:ind w:firstLine="480"/>
        <w:rPr>
          <w:rFonts w:asciiTheme="minorEastAsia" w:hAnsiTheme="minorEastAsia" w:eastAsiaTheme="minorEastAsia"/>
          <w:szCs w:val="24"/>
        </w:rPr>
      </w:pPr>
      <w:r>
        <w:rPr>
          <w:rFonts w:hint="eastAsia" w:asciiTheme="minorEastAsia" w:hAnsiTheme="minorEastAsia" w:eastAsiaTheme="minorEastAsia"/>
          <w:szCs w:val="24"/>
        </w:rPr>
        <w:t>项目改扩建后运输方案不变，只针对贮存情况进行调整，本次评价值针对改扩建内容进行分析评价。</w:t>
      </w:r>
    </w:p>
    <w:p>
      <w:pPr>
        <w:pStyle w:val="5"/>
      </w:pPr>
      <w:bookmarkStart w:id="218" w:name="_Toc532546062"/>
      <w:bookmarkStart w:id="219" w:name="_Toc13760137"/>
      <w:r>
        <w:t>4.4.1</w:t>
      </w:r>
      <w:r>
        <w:rPr>
          <w:rFonts w:hint="eastAsia"/>
        </w:rPr>
        <w:t>贮存设置方案</w:t>
      </w:r>
      <w:bookmarkEnd w:id="218"/>
      <w:bookmarkEnd w:id="219"/>
    </w:p>
    <w:p>
      <w:pPr>
        <w:ind w:firstLine="480"/>
        <w:rPr>
          <w:color w:val="FF0000"/>
        </w:rPr>
      </w:pPr>
      <w:r>
        <w:rPr>
          <w:rFonts w:hint="eastAsia"/>
          <w:color w:val="FF0000"/>
        </w:rPr>
        <w:t>改扩建后项目处置危废种类46种，拟建的两座废物暂存仓库（丙类二级，占地面积1510.27 m</w:t>
      </w:r>
      <w:r>
        <w:rPr>
          <w:rFonts w:hint="eastAsia"/>
          <w:color w:val="FF0000"/>
          <w:vertAlign w:val="superscript"/>
        </w:rPr>
        <w:t>2</w:t>
      </w:r>
      <w:r>
        <w:rPr>
          <w:rFonts w:hint="eastAsia"/>
          <w:color w:val="FF0000"/>
        </w:rPr>
        <w:t>）贮存方式不变，只是在2</w:t>
      </w:r>
      <w:r>
        <w:rPr>
          <w:color w:val="FF0000"/>
        </w:rPr>
        <w:t>#</w:t>
      </w:r>
      <w:r>
        <w:rPr>
          <w:rFonts w:hint="eastAsia"/>
          <w:color w:val="FF0000"/>
        </w:rPr>
        <w:t>仓库多存放飞灰，拟建的飞灰筒仓不在建设；新增一座占地面积1710.27m</w:t>
      </w:r>
      <w:r>
        <w:rPr>
          <w:rFonts w:hint="eastAsia"/>
          <w:color w:val="FF0000"/>
          <w:vertAlign w:val="superscript"/>
        </w:rPr>
        <w:t>2</w:t>
      </w:r>
      <w:r>
        <w:rPr>
          <w:rFonts w:hint="eastAsia"/>
          <w:color w:val="FF0000"/>
        </w:rPr>
        <w:t>的危废暂存库（乙类二级），其中</w:t>
      </w:r>
      <w:r>
        <w:rPr>
          <w:color w:val="FF0000"/>
        </w:rPr>
        <w:t>1#</w:t>
      </w:r>
      <w:r>
        <w:rPr>
          <w:rFonts w:hint="eastAsia"/>
          <w:color w:val="FF0000"/>
        </w:rPr>
        <w:t>仓库主要用于储存如下固废：</w:t>
      </w:r>
    </w:p>
    <w:p>
      <w:pPr>
        <w:ind w:firstLine="480"/>
        <w:outlineLvl w:val="0"/>
        <w:rPr>
          <w:color w:val="FF0000"/>
        </w:rPr>
      </w:pPr>
      <w:bookmarkStart w:id="220" w:name="_Toc13760138"/>
      <w:bookmarkStart w:id="221" w:name="_Toc13582092"/>
      <w:r>
        <w:rPr>
          <w:color w:val="FF0000"/>
        </w:rPr>
        <w:t>(1)</w:t>
      </w:r>
      <w:r>
        <w:rPr>
          <w:rFonts w:hint="eastAsia"/>
          <w:color w:val="FF0000"/>
        </w:rPr>
        <w:t>外来的</w:t>
      </w:r>
      <w:r>
        <w:rPr>
          <w:color w:val="FF0000"/>
        </w:rPr>
        <w:t>1</w:t>
      </w:r>
      <w:r>
        <w:rPr>
          <w:rFonts w:hint="eastAsia"/>
          <w:color w:val="FF0000"/>
        </w:rPr>
        <w:t>9种送至焚烧车间处置的危废；</w:t>
      </w:r>
      <w:bookmarkEnd w:id="220"/>
      <w:bookmarkEnd w:id="221"/>
    </w:p>
    <w:p>
      <w:pPr>
        <w:ind w:firstLine="480"/>
        <w:rPr>
          <w:color w:val="FF0000"/>
        </w:rPr>
      </w:pPr>
      <w:r>
        <w:rPr>
          <w:color w:val="FF0000"/>
        </w:rPr>
        <w:t>(2)</w:t>
      </w:r>
      <w:r>
        <w:rPr>
          <w:rFonts w:hint="eastAsia"/>
          <w:color w:val="FF0000"/>
        </w:rPr>
        <w:t>主要种类有</w:t>
      </w:r>
      <w:r>
        <w:rPr>
          <w:rFonts w:hint="eastAsia"/>
          <w:color w:val="FF0000"/>
          <w:szCs w:val="24"/>
        </w:rPr>
        <w:t>：木材防腐剂废物、废有机溶剂、处理含氰废物、废矿物油、多氯（溴）联苯类废物、精（蒸）馏残渣、染料、涂料废物、有机树脂类废物、新化学物质废物、感光材料废物、无机氰化物废物、有机磷化合物废物、有机氰化物废物、含酚废物、含醚类废物、含有机卤化物废物、废催化剂、石棉废物、其他废物</w:t>
      </w:r>
      <w:r>
        <w:rPr>
          <w:rFonts w:hint="eastAsia"/>
          <w:color w:val="FF0000"/>
        </w:rPr>
        <w:t>。</w:t>
      </w:r>
    </w:p>
    <w:p>
      <w:pPr>
        <w:autoSpaceDE w:val="0"/>
        <w:autoSpaceDN w:val="0"/>
        <w:adjustRightInd w:val="0"/>
        <w:snapToGrid w:val="0"/>
        <w:ind w:firstLine="480"/>
        <w:rPr>
          <w:color w:val="FF0000"/>
        </w:rPr>
      </w:pPr>
      <w:r>
        <w:rPr>
          <w:color w:val="FF0000"/>
        </w:rPr>
        <w:t>2#</w:t>
      </w:r>
      <w:r>
        <w:rPr>
          <w:rFonts w:hint="eastAsia"/>
          <w:color w:val="FF0000"/>
        </w:rPr>
        <w:t>仓库主要用于储存如下固废：</w:t>
      </w:r>
    </w:p>
    <w:p>
      <w:pPr>
        <w:autoSpaceDE w:val="0"/>
        <w:autoSpaceDN w:val="0"/>
        <w:adjustRightInd w:val="0"/>
        <w:snapToGrid w:val="0"/>
        <w:ind w:firstLine="480"/>
        <w:outlineLvl w:val="0"/>
        <w:rPr>
          <w:color w:val="FF0000"/>
        </w:rPr>
      </w:pPr>
      <w:r>
        <w:rPr>
          <w:color w:val="FF0000"/>
        </w:rPr>
        <w:t>(1)</w:t>
      </w:r>
      <w:r>
        <w:rPr>
          <w:rFonts w:hint="eastAsia"/>
          <w:color w:val="FF0000"/>
        </w:rPr>
        <w:t>外来的6种送至固化</w:t>
      </w:r>
      <w:r>
        <w:rPr>
          <w:color w:val="FF0000"/>
        </w:rPr>
        <w:t>/</w:t>
      </w:r>
      <w:r>
        <w:rPr>
          <w:rFonts w:hint="eastAsia"/>
          <w:color w:val="FF0000"/>
        </w:rPr>
        <w:t>稳定化车间处置的危废；</w:t>
      </w:r>
    </w:p>
    <w:p>
      <w:pPr>
        <w:autoSpaceDE w:val="0"/>
        <w:autoSpaceDN w:val="0"/>
        <w:adjustRightInd w:val="0"/>
        <w:snapToGrid w:val="0"/>
        <w:ind w:firstLine="480"/>
        <w:rPr>
          <w:rFonts w:hAnsi="宋体"/>
          <w:color w:val="FF0000"/>
          <w:szCs w:val="24"/>
        </w:rPr>
      </w:pPr>
      <w:r>
        <w:rPr>
          <w:color w:val="FF0000"/>
        </w:rPr>
        <w:t>(2)</w:t>
      </w:r>
      <w:r>
        <w:rPr>
          <w:rFonts w:hint="eastAsia"/>
          <w:color w:val="FF0000"/>
        </w:rPr>
        <w:t xml:space="preserve"> 主要种类有</w:t>
      </w:r>
      <w:r>
        <w:rPr>
          <w:rFonts w:hint="eastAsia"/>
          <w:color w:val="FF0000"/>
          <w:szCs w:val="24"/>
        </w:rPr>
        <w:t>：油</w:t>
      </w:r>
      <w:r>
        <w:rPr>
          <w:color w:val="FF0000"/>
          <w:szCs w:val="24"/>
        </w:rPr>
        <w:t>/</w:t>
      </w:r>
      <w:r>
        <w:rPr>
          <w:rFonts w:hint="eastAsia"/>
          <w:color w:val="FF0000"/>
          <w:szCs w:val="24"/>
        </w:rPr>
        <w:t>水、烃</w:t>
      </w:r>
      <w:r>
        <w:rPr>
          <w:color w:val="FF0000"/>
          <w:szCs w:val="24"/>
        </w:rPr>
        <w:t>/</w:t>
      </w:r>
      <w:r>
        <w:rPr>
          <w:rFonts w:hint="eastAsia"/>
          <w:color w:val="FF0000"/>
          <w:szCs w:val="24"/>
        </w:rPr>
        <w:t>水混合物或乳化液、无机氟化物废物、废酸、含铬废水、表面处理废物、表面处理废物、废碱</w:t>
      </w:r>
      <w:r>
        <w:rPr>
          <w:rFonts w:hint="eastAsia" w:hAnsi="宋体"/>
          <w:color w:val="FF0000"/>
          <w:szCs w:val="24"/>
        </w:rPr>
        <w:t>；</w:t>
      </w:r>
    </w:p>
    <w:p>
      <w:pPr>
        <w:autoSpaceDE w:val="0"/>
        <w:autoSpaceDN w:val="0"/>
        <w:adjustRightInd w:val="0"/>
        <w:snapToGrid w:val="0"/>
        <w:ind w:firstLine="480"/>
        <w:rPr>
          <w:color w:val="FF0000"/>
        </w:rPr>
      </w:pPr>
      <w:r>
        <w:rPr>
          <w:color w:val="FF0000"/>
        </w:rPr>
        <w:t>(3)</w:t>
      </w:r>
      <w:r>
        <w:rPr>
          <w:rFonts w:hint="eastAsia"/>
          <w:color w:val="FF0000"/>
        </w:rPr>
        <w:t>焚烧车间飞灰，装袋储存。</w:t>
      </w:r>
    </w:p>
    <w:p>
      <w:pPr>
        <w:autoSpaceDE w:val="0"/>
        <w:autoSpaceDN w:val="0"/>
        <w:adjustRightInd w:val="0"/>
        <w:snapToGrid w:val="0"/>
        <w:ind w:firstLine="480"/>
        <w:rPr>
          <w:color w:val="FF0000"/>
        </w:rPr>
      </w:pPr>
      <w:r>
        <w:rPr>
          <w:rFonts w:hint="eastAsia"/>
          <w:color w:val="FF0000"/>
        </w:rPr>
        <w:t>危废暂存库主要用于储存入场需要送检的危废。</w:t>
      </w:r>
    </w:p>
    <w:p>
      <w:pPr>
        <w:autoSpaceDE w:val="0"/>
        <w:autoSpaceDN w:val="0"/>
        <w:adjustRightInd w:val="0"/>
        <w:snapToGrid w:val="0"/>
        <w:ind w:firstLine="480"/>
        <w:rPr>
          <w:color w:val="FF0000"/>
        </w:rPr>
      </w:pPr>
      <w:r>
        <w:rPr>
          <w:rFonts w:hint="eastAsia"/>
          <w:color w:val="FF0000"/>
        </w:rPr>
        <w:t>对拟建的危废暂存罐进行改扩建，设置情况如下，送往物化车间废液储存罐区：</w:t>
      </w:r>
    </w:p>
    <w:p>
      <w:pPr>
        <w:autoSpaceDE w:val="0"/>
        <w:autoSpaceDN w:val="0"/>
        <w:adjustRightInd w:val="0"/>
        <w:snapToGrid w:val="0"/>
        <w:ind w:firstLine="480"/>
        <w:rPr>
          <w:color w:val="FF0000"/>
        </w:rPr>
      </w:pPr>
      <w:r>
        <w:rPr>
          <w:color w:val="FF0000"/>
        </w:rPr>
        <w:t>(1)4</w:t>
      </w:r>
      <w:r>
        <w:rPr>
          <w:rFonts w:hint="eastAsia"/>
          <w:color w:val="FF0000"/>
        </w:rPr>
        <w:t>台容积为100</w:t>
      </w:r>
      <w:r>
        <w:rPr>
          <w:color w:val="FF0000"/>
        </w:rPr>
        <w:t>m</w:t>
      </w:r>
      <w:r>
        <w:rPr>
          <w:color w:val="FF0000"/>
          <w:vertAlign w:val="superscript"/>
        </w:rPr>
        <w:t>3</w:t>
      </w:r>
      <w:r>
        <w:rPr>
          <w:rFonts w:hint="eastAsia"/>
          <w:color w:val="FF0000"/>
        </w:rPr>
        <w:t>的废酸储罐；</w:t>
      </w:r>
    </w:p>
    <w:p>
      <w:pPr>
        <w:autoSpaceDE w:val="0"/>
        <w:autoSpaceDN w:val="0"/>
        <w:adjustRightInd w:val="0"/>
        <w:snapToGrid w:val="0"/>
        <w:ind w:firstLine="480"/>
        <w:rPr>
          <w:color w:val="FF0000"/>
        </w:rPr>
      </w:pPr>
      <w:r>
        <w:rPr>
          <w:color w:val="FF0000"/>
        </w:rPr>
        <w:t>(2)2</w:t>
      </w:r>
      <w:r>
        <w:rPr>
          <w:rFonts w:hint="eastAsia"/>
          <w:color w:val="FF0000"/>
        </w:rPr>
        <w:t>台容积为100</w:t>
      </w:r>
      <w:r>
        <w:rPr>
          <w:color w:val="FF0000"/>
        </w:rPr>
        <w:t>m</w:t>
      </w:r>
      <w:r>
        <w:rPr>
          <w:color w:val="FF0000"/>
          <w:vertAlign w:val="superscript"/>
        </w:rPr>
        <w:t>3</w:t>
      </w:r>
      <w:r>
        <w:rPr>
          <w:rFonts w:hint="eastAsia"/>
          <w:color w:val="FF0000"/>
        </w:rPr>
        <w:t>的废乳化液储罐；</w:t>
      </w:r>
    </w:p>
    <w:p>
      <w:pPr>
        <w:autoSpaceDE w:val="0"/>
        <w:autoSpaceDN w:val="0"/>
        <w:adjustRightInd w:val="0"/>
        <w:snapToGrid w:val="0"/>
        <w:ind w:firstLine="480"/>
        <w:rPr>
          <w:color w:val="FF0000"/>
        </w:rPr>
      </w:pPr>
      <w:r>
        <w:rPr>
          <w:color w:val="FF0000"/>
        </w:rPr>
        <w:t>(3)</w:t>
      </w:r>
      <w:r>
        <w:rPr>
          <w:rFonts w:hint="eastAsia"/>
          <w:color w:val="FF0000"/>
        </w:rPr>
        <w:t>4台容积为100</w:t>
      </w:r>
      <w:r>
        <w:rPr>
          <w:color w:val="FF0000"/>
        </w:rPr>
        <w:t>m</w:t>
      </w:r>
      <w:r>
        <w:rPr>
          <w:color w:val="FF0000"/>
          <w:vertAlign w:val="superscript"/>
        </w:rPr>
        <w:t>3</w:t>
      </w:r>
      <w:r>
        <w:rPr>
          <w:rFonts w:hint="eastAsia"/>
          <w:color w:val="FF0000"/>
        </w:rPr>
        <w:t>的废碱储罐；</w:t>
      </w:r>
    </w:p>
    <w:p>
      <w:pPr>
        <w:autoSpaceDE w:val="0"/>
        <w:autoSpaceDN w:val="0"/>
        <w:adjustRightInd w:val="0"/>
        <w:snapToGrid w:val="0"/>
        <w:ind w:firstLine="480"/>
        <w:rPr>
          <w:color w:val="FF0000"/>
        </w:rPr>
      </w:pPr>
      <w:r>
        <w:rPr>
          <w:rFonts w:hint="eastAsia"/>
          <w:color w:val="FF0000"/>
        </w:rPr>
        <w:fldChar w:fldCharType="begin"/>
      </w:r>
      <w:r>
        <w:rPr>
          <w:color w:val="FF0000"/>
        </w:rPr>
        <w:instrText xml:space="preserve"> = 4 \* GB2 </w:instrText>
      </w:r>
      <w:r>
        <w:rPr>
          <w:rFonts w:hint="eastAsia"/>
          <w:color w:val="FF0000"/>
        </w:rPr>
        <w:fldChar w:fldCharType="separate"/>
      </w:r>
      <w:r>
        <w:rPr>
          <w:rFonts w:hint="eastAsia"/>
          <w:color w:val="FF0000"/>
        </w:rPr>
        <w:t>⑷</w:t>
      </w:r>
      <w:r>
        <w:rPr>
          <w:rFonts w:hint="eastAsia"/>
          <w:color w:val="FF0000"/>
        </w:rPr>
        <w:fldChar w:fldCharType="end"/>
      </w:r>
      <w:r>
        <w:rPr>
          <w:rFonts w:hint="eastAsia"/>
          <w:color w:val="FF0000"/>
        </w:rPr>
        <w:t>5台容积为15</w:t>
      </w:r>
      <w:r>
        <w:rPr>
          <w:color w:val="FF0000"/>
        </w:rPr>
        <w:t>m</w:t>
      </w:r>
      <w:r>
        <w:rPr>
          <w:color w:val="FF0000"/>
          <w:vertAlign w:val="superscript"/>
        </w:rPr>
        <w:t>3</w:t>
      </w:r>
      <w:r>
        <w:rPr>
          <w:rFonts w:hint="eastAsia"/>
          <w:color w:val="FF0000"/>
        </w:rPr>
        <w:t>的预处理罐；</w:t>
      </w:r>
    </w:p>
    <w:p>
      <w:pPr>
        <w:autoSpaceDE w:val="0"/>
        <w:autoSpaceDN w:val="0"/>
        <w:adjustRightInd w:val="0"/>
        <w:snapToGrid w:val="0"/>
        <w:ind w:firstLine="480"/>
        <w:rPr>
          <w:color w:val="FF0000"/>
        </w:rPr>
      </w:pPr>
      <w:r>
        <w:rPr>
          <w:rFonts w:hint="eastAsia"/>
          <w:color w:val="FF0000"/>
        </w:rPr>
        <w:t>送往焚烧车间废液储存罐区：</w:t>
      </w:r>
    </w:p>
    <w:p>
      <w:pPr>
        <w:autoSpaceDE w:val="0"/>
        <w:autoSpaceDN w:val="0"/>
        <w:adjustRightInd w:val="0"/>
        <w:snapToGrid w:val="0"/>
        <w:ind w:firstLine="480"/>
        <w:rPr>
          <w:color w:val="FF0000"/>
        </w:rPr>
      </w:pPr>
      <w:r>
        <w:rPr>
          <w:color w:val="FF0000"/>
        </w:rPr>
        <w:t>(1)</w:t>
      </w:r>
      <w:r>
        <w:rPr>
          <w:rFonts w:hint="eastAsia"/>
          <w:color w:val="FF0000"/>
        </w:rPr>
        <w:t>4台容积为300</w:t>
      </w:r>
      <w:r>
        <w:rPr>
          <w:color w:val="FF0000"/>
        </w:rPr>
        <w:t xml:space="preserve"> m</w:t>
      </w:r>
      <w:r>
        <w:rPr>
          <w:color w:val="FF0000"/>
          <w:vertAlign w:val="superscript"/>
        </w:rPr>
        <w:t>3</w:t>
      </w:r>
      <w:r>
        <w:rPr>
          <w:rFonts w:hint="eastAsia"/>
          <w:color w:val="FF0000"/>
        </w:rPr>
        <w:t>的废液储罐，环评要求废液储罐单台只可存放来自同一排放源的性质及组成相同的液态废物，不可进行混合储存。</w:t>
      </w:r>
    </w:p>
    <w:p>
      <w:pPr>
        <w:autoSpaceDE w:val="0"/>
        <w:autoSpaceDN w:val="0"/>
        <w:snapToGrid w:val="0"/>
        <w:ind w:firstLine="480"/>
      </w:pPr>
      <w:r>
        <w:rPr>
          <w:rFonts w:hint="eastAsia"/>
        </w:rPr>
        <w:t>项目废物暂存库采用框架结构，轻钢屋面，为全封闭建筑形式，其中</w:t>
      </w:r>
      <w:r>
        <w:t>1#</w:t>
      </w:r>
      <w:r>
        <w:rPr>
          <w:rFonts w:hint="eastAsia"/>
        </w:rPr>
        <w:t>仓库占地为</w:t>
      </w:r>
      <w:r>
        <w:t>15</w:t>
      </w:r>
      <w:r>
        <w:rPr>
          <w:rFonts w:hint="eastAsia"/>
        </w:rPr>
        <w:t>10.27</w:t>
      </w:r>
      <w:r>
        <w:t>m</w:t>
      </w:r>
      <w:r>
        <w:rPr>
          <w:vertAlign w:val="superscript"/>
        </w:rPr>
        <w:t>2</w:t>
      </w:r>
      <w:r>
        <w:rPr>
          <w:rFonts w:hint="eastAsia"/>
        </w:rPr>
        <w:t>，</w:t>
      </w:r>
      <w:r>
        <w:t>2#</w:t>
      </w:r>
      <w:r>
        <w:rPr>
          <w:rFonts w:hint="eastAsia"/>
        </w:rPr>
        <w:t>仓库占地为</w:t>
      </w:r>
      <w:r>
        <w:t>15</w:t>
      </w:r>
      <w:r>
        <w:rPr>
          <w:rFonts w:hint="eastAsia"/>
        </w:rPr>
        <w:t>10.27</w:t>
      </w:r>
      <w:r>
        <w:t>m</w:t>
      </w:r>
      <w:r>
        <w:rPr>
          <w:vertAlign w:val="superscript"/>
        </w:rPr>
        <w:t>2</w:t>
      </w:r>
      <w:r>
        <w:rPr>
          <w:rFonts w:hint="eastAsia"/>
        </w:rPr>
        <w:t>，危废暂存库占地为</w:t>
      </w:r>
      <w:r>
        <w:t>1</w:t>
      </w:r>
      <w:r>
        <w:rPr>
          <w:rFonts w:hint="eastAsia"/>
        </w:rPr>
        <w:t>710.27</w:t>
      </w:r>
      <w:r>
        <w:t>m</w:t>
      </w:r>
      <w:r>
        <w:rPr>
          <w:vertAlign w:val="superscript"/>
        </w:rPr>
        <w:t>2</w:t>
      </w:r>
      <w:r>
        <w:rPr>
          <w:rFonts w:hint="eastAsia"/>
        </w:rPr>
        <w:t>，物化车间的废液储存罐区设置</w:t>
      </w:r>
      <w:r>
        <w:t>1</w:t>
      </w:r>
      <w:r>
        <w:rPr>
          <w:rFonts w:hint="eastAsia"/>
        </w:rPr>
        <w:t>0个暂存罐和5个预处理罐，焚烧车间的废液储存罐区设置4个暂存罐。其中</w:t>
      </w:r>
      <w:r>
        <w:t>1#</w:t>
      </w:r>
      <w:r>
        <w:rPr>
          <w:rFonts w:hint="eastAsia"/>
        </w:rPr>
        <w:t>仓库、</w:t>
      </w:r>
      <w:r>
        <w:t>2#</w:t>
      </w:r>
      <w:r>
        <w:rPr>
          <w:rFonts w:hint="eastAsia"/>
        </w:rPr>
        <w:t>仓库和危废暂存库分为三个防火分区，大区分隔均采用防火墙，地面和裙脚采用防腐、防渗材料。另外，项目设置1座柴油储罐用来储存柴油。</w:t>
      </w:r>
    </w:p>
    <w:p>
      <w:pPr>
        <w:autoSpaceDE w:val="0"/>
        <w:autoSpaceDN w:val="0"/>
        <w:snapToGrid w:val="0"/>
        <w:ind w:firstLine="480"/>
      </w:pPr>
      <w:r>
        <w:rPr>
          <w:rFonts w:hint="eastAsia"/>
        </w:rPr>
        <w:t>项目设置一座综合仓库，用来贮存消石灰、氢氧化钠等辅助材料，占地为</w:t>
      </w:r>
      <w:r>
        <w:t>696m</w:t>
      </w:r>
      <w:r>
        <w:rPr>
          <w:vertAlign w:val="superscript"/>
        </w:rPr>
        <w:t>2</w:t>
      </w:r>
      <w:r>
        <w:rPr>
          <w:rFonts w:hint="eastAsia"/>
        </w:rPr>
        <w:t>。</w:t>
      </w:r>
    </w:p>
    <w:p>
      <w:pPr>
        <w:snapToGrid w:val="0"/>
        <w:ind w:firstLine="488"/>
        <w:rPr>
          <w:rFonts w:hAnsi="宋体"/>
          <w:spacing w:val="2"/>
        </w:rPr>
      </w:pPr>
      <w:r>
        <w:rPr>
          <w:rFonts w:hint="eastAsia" w:hAnsi="宋体"/>
          <w:spacing w:val="2"/>
        </w:rPr>
        <w:t>表</w:t>
      </w:r>
      <w:r>
        <w:rPr>
          <w:rFonts w:hint="eastAsia" w:hAnsi="宋体"/>
        </w:rPr>
        <w:t>4</w:t>
      </w:r>
      <w:r>
        <w:rPr>
          <w:rFonts w:hAnsi="宋体"/>
        </w:rPr>
        <w:t>.</w:t>
      </w:r>
      <w:r>
        <w:rPr>
          <w:rFonts w:hint="eastAsia" w:hAnsi="宋体"/>
        </w:rPr>
        <w:t>4—</w:t>
      </w:r>
      <w:r>
        <w:rPr>
          <w:rFonts w:hint="eastAsia" w:hAnsi="宋体"/>
          <w:spacing w:val="2"/>
        </w:rPr>
        <w:t>1储存方案</w:t>
      </w:r>
    </w:p>
    <w:tbl>
      <w:tblPr>
        <w:tblStyle w:val="88"/>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959"/>
        <w:gridCol w:w="1983"/>
        <w:gridCol w:w="1562"/>
        <w:gridCol w:w="1274"/>
        <w:gridCol w:w="1419"/>
        <w:gridCol w:w="208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序号</w:t>
            </w:r>
          </w:p>
        </w:tc>
        <w:tc>
          <w:tcPr>
            <w:tcW w:w="1983"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名称</w:t>
            </w:r>
          </w:p>
        </w:tc>
        <w:tc>
          <w:tcPr>
            <w:tcW w:w="1562"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建设方案</w:t>
            </w:r>
          </w:p>
        </w:tc>
        <w:tc>
          <w:tcPr>
            <w:tcW w:w="1274"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建设个数</w:t>
            </w:r>
          </w:p>
        </w:tc>
        <w:tc>
          <w:tcPr>
            <w:tcW w:w="1419"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储存量</w:t>
            </w:r>
            <w:r>
              <w:rPr>
                <w:sz w:val="21"/>
              </w:rPr>
              <w:t>(t)</w:t>
            </w:r>
          </w:p>
        </w:tc>
        <w:tc>
          <w:tcPr>
            <w:tcW w:w="2089"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hAnsi="宋体"/>
                <w:sz w:val="21"/>
              </w:rPr>
              <w:t>备注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98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r>
              <w:rPr>
                <w:rFonts w:hint="eastAsia"/>
                <w:sz w:val="21"/>
              </w:rPr>
              <w:t>仓库</w:t>
            </w:r>
          </w:p>
        </w:tc>
        <w:tc>
          <w:tcPr>
            <w:tcW w:w="1562"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15</w:t>
            </w:r>
            <w:r>
              <w:rPr>
                <w:rFonts w:hint="eastAsia"/>
                <w:sz w:val="21"/>
              </w:rPr>
              <w:t>10.27</w:t>
            </w:r>
            <w:r>
              <w:rPr>
                <w:sz w:val="21"/>
              </w:rPr>
              <w:t>m</w:t>
            </w:r>
            <w:r>
              <w:rPr>
                <w:sz w:val="21"/>
                <w:vertAlign w:val="superscript"/>
              </w:rPr>
              <w:t>2</w:t>
            </w:r>
          </w:p>
        </w:tc>
        <w:tc>
          <w:tcPr>
            <w:tcW w:w="1274"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419"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480</w:t>
            </w:r>
          </w:p>
        </w:tc>
        <w:tc>
          <w:tcPr>
            <w:tcW w:w="2089"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r>
              <w:rPr>
                <w:rFonts w:hint="eastAsia"/>
                <w:sz w:val="21"/>
              </w:rPr>
              <w:t>仓库</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15</w:t>
            </w:r>
            <w:r>
              <w:rPr>
                <w:rFonts w:hint="eastAsia"/>
                <w:sz w:val="21"/>
              </w:rPr>
              <w:t>10.27</w:t>
            </w:r>
            <w:r>
              <w:rPr>
                <w:sz w:val="21"/>
              </w:rPr>
              <w:t>m</w:t>
            </w:r>
            <w:r>
              <w:rPr>
                <w:sz w:val="21"/>
                <w:vertAlign w:val="superscript"/>
              </w:rPr>
              <w:t>2</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w:t>
            </w:r>
            <w:r>
              <w:rPr>
                <w:rFonts w:hint="eastAsia"/>
                <w:sz w:val="21"/>
              </w:rPr>
              <w:t>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危废暂存库</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1710.27m</w:t>
            </w:r>
            <w:r>
              <w:rPr>
                <w:rFonts w:hint="eastAsia"/>
                <w:sz w:val="21"/>
                <w:vertAlign w:val="superscript"/>
              </w:rPr>
              <w:t>2</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530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废酸储罐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100</w:t>
            </w:r>
            <w:r>
              <w:rPr>
                <w:sz w:val="21"/>
              </w:rPr>
              <w:t>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320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asciiTheme="minorEastAsia" w:hAnsiTheme="minorEastAsia" w:eastAsiaTheme="minorEastAsia"/>
                <w:sz w:val="21"/>
              </w:rPr>
              <w:t>接地圆底罐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废乳化液储罐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100</w:t>
            </w:r>
            <w:r>
              <w:rPr>
                <w:sz w:val="21"/>
              </w:rPr>
              <w:t>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160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asciiTheme="minorEastAsia" w:hAnsiTheme="minorEastAsia" w:eastAsiaTheme="minorEastAsia"/>
                <w:sz w:val="21"/>
              </w:rPr>
              <w:t>接地圆底罐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废碱储罐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100</w:t>
            </w:r>
            <w:r>
              <w:rPr>
                <w:sz w:val="21"/>
              </w:rPr>
              <w:t>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4</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320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asciiTheme="minorEastAsia" w:hAnsiTheme="minorEastAsia" w:eastAsiaTheme="minorEastAsia"/>
                <w:sz w:val="21"/>
              </w:rPr>
              <w:t>接地圆底罐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预处理储罐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15</w:t>
            </w:r>
            <w:r>
              <w:rPr>
                <w:sz w:val="21"/>
              </w:rPr>
              <w:t xml:space="preserve"> 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5</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Theme="minorEastAsia" w:hAnsiTheme="minorEastAsia" w:eastAsiaTheme="minorEastAsia"/>
                <w:sz w:val="21"/>
              </w:rPr>
            </w:pPr>
            <w:r>
              <w:rPr>
                <w:rFonts w:hint="eastAsia" w:asciiTheme="minorEastAsia" w:hAnsiTheme="minorEastAsia" w:eastAsiaTheme="minorEastAsia"/>
                <w:sz w:val="21"/>
              </w:rPr>
              <w:t>锥底罐</w:t>
            </w:r>
          </w:p>
          <w:p>
            <w:pPr>
              <w:spacing w:line="240" w:lineRule="atLeast"/>
              <w:ind w:firstLine="0" w:firstLineChars="0"/>
              <w:jc w:val="center"/>
              <w:rPr>
                <w:rFonts w:hAnsi="宋体"/>
                <w:sz w:val="21"/>
              </w:rPr>
            </w:pPr>
            <w:r>
              <w:rPr>
                <w:rFonts w:hint="eastAsia" w:asciiTheme="minorEastAsia" w:hAnsiTheme="minorEastAsia" w:eastAsiaTheme="minorEastAsia"/>
                <w:sz w:val="21"/>
              </w:rPr>
              <w:t>每预处理罐对应两个储罐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8</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废液储罐</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300</w:t>
            </w:r>
            <w:r>
              <w:rPr>
                <w:sz w:val="21"/>
              </w:rPr>
              <w:t xml:space="preserve"> m</w:t>
            </w:r>
            <w:r>
              <w:rPr>
                <w:sz w:val="21"/>
                <w:vertAlign w:val="superscript"/>
              </w:rPr>
              <w:t>3</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4</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960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asciiTheme="minorEastAsia" w:hAnsiTheme="minorEastAsia" w:eastAsiaTheme="minorEastAsia"/>
                <w:sz w:val="21"/>
              </w:rPr>
            </w:pPr>
            <w:r>
              <w:rPr>
                <w:rFonts w:hint="eastAsia" w:asciiTheme="minorEastAsia" w:hAnsiTheme="minorEastAsia" w:eastAsiaTheme="minorEastAsia"/>
                <w:sz w:val="21"/>
              </w:rPr>
              <w:t>接地圆底罐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9</w:t>
            </w:r>
          </w:p>
        </w:tc>
        <w:tc>
          <w:tcPr>
            <w:tcW w:w="198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综合仓库</w:t>
            </w:r>
          </w:p>
        </w:tc>
        <w:tc>
          <w:tcPr>
            <w:tcW w:w="156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696</w:t>
            </w:r>
          </w:p>
        </w:tc>
        <w:tc>
          <w:tcPr>
            <w:tcW w:w="127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41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320</w:t>
            </w:r>
          </w:p>
        </w:tc>
        <w:tc>
          <w:tcPr>
            <w:tcW w:w="208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59"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10</w:t>
            </w:r>
          </w:p>
        </w:tc>
        <w:tc>
          <w:tcPr>
            <w:tcW w:w="198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柴油储罐</w:t>
            </w:r>
          </w:p>
        </w:tc>
        <w:tc>
          <w:tcPr>
            <w:tcW w:w="1562"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20.0</w:t>
            </w:r>
          </w:p>
        </w:tc>
        <w:tc>
          <w:tcPr>
            <w:tcW w:w="1274"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1</w:t>
            </w:r>
          </w:p>
        </w:tc>
        <w:tc>
          <w:tcPr>
            <w:tcW w:w="1419"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15</w:t>
            </w:r>
          </w:p>
        </w:tc>
        <w:tc>
          <w:tcPr>
            <w:tcW w:w="2089"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hAnsi="宋体"/>
                <w:sz w:val="21"/>
              </w:rPr>
              <w:t>固定顶罐</w:t>
            </w:r>
          </w:p>
        </w:tc>
      </w:tr>
    </w:tbl>
    <w:p>
      <w:pPr>
        <w:ind w:firstLine="480"/>
        <w:rPr>
          <w:rFonts w:asciiTheme="minorEastAsia" w:hAnsiTheme="minorEastAsia" w:eastAsiaTheme="minorEastAsia"/>
          <w:szCs w:val="24"/>
        </w:rPr>
      </w:pPr>
    </w:p>
    <w:p>
      <w:pPr>
        <w:pStyle w:val="5"/>
      </w:pPr>
      <w:bookmarkStart w:id="222" w:name="_Toc13760139"/>
      <w:r>
        <w:t>4.4.</w:t>
      </w:r>
      <w:r>
        <w:rPr>
          <w:rFonts w:hint="eastAsia"/>
        </w:rPr>
        <w:t>2产污情况</w:t>
      </w:r>
      <w:bookmarkEnd w:id="222"/>
    </w:p>
    <w:p>
      <w:pPr>
        <w:autoSpaceDE w:val="0"/>
        <w:autoSpaceDN w:val="0"/>
        <w:snapToGrid w:val="0"/>
        <w:ind w:firstLine="480"/>
      </w:pPr>
      <w:bookmarkStart w:id="223" w:name="_Toc355628540"/>
      <w:r>
        <w:t>(1)</w:t>
      </w:r>
      <w:r>
        <w:rPr>
          <w:rFonts w:hint="eastAsia"/>
        </w:rPr>
        <w:t>废气</w:t>
      </w:r>
    </w:p>
    <w:p>
      <w:pPr>
        <w:autoSpaceDE w:val="0"/>
        <w:autoSpaceDN w:val="0"/>
        <w:snapToGrid w:val="0"/>
        <w:ind w:firstLine="480"/>
      </w:pPr>
      <w:r>
        <w:rPr>
          <w:rFonts w:hint="eastAsia"/>
        </w:rPr>
        <w:t>①有组织废气</w:t>
      </w:r>
    </w:p>
    <w:p>
      <w:pPr>
        <w:autoSpaceDE w:val="0"/>
        <w:autoSpaceDN w:val="0"/>
        <w:snapToGrid w:val="0"/>
        <w:ind w:firstLine="480"/>
      </w:pPr>
      <w:r>
        <w:rPr>
          <w:rFonts w:hint="eastAsia"/>
        </w:rPr>
        <w:t>改扩建后仓库内废物暂存采用桶装或袋装分别储存于各个小存放区内，储存方式不变化，主要污染物</w:t>
      </w:r>
      <w:r>
        <w:rPr>
          <w:rFonts w:hint="eastAsia"/>
          <w:highlight w:val="yellow"/>
        </w:rPr>
        <w:t>为</w:t>
      </w:r>
      <w:r>
        <w:rPr>
          <w:highlight w:val="yellow"/>
        </w:rPr>
        <w:t>VOCs</w:t>
      </w:r>
      <w:r>
        <w:rPr>
          <w:rFonts w:hint="eastAsia"/>
          <w:highlight w:val="yellow"/>
        </w:rPr>
        <w:t>、氨、硫化氢，采取局部排气机械抽风方式对废气进行收集，1#仓库、2#仓库和危废暂存库的废气经收集后经过同一套液碱喷淋塔+紫外光系统</w:t>
      </w:r>
      <w:r>
        <w:rPr>
          <w:highlight w:val="yellow"/>
        </w:rPr>
        <w:t>+</w:t>
      </w:r>
      <w:r>
        <w:rPr>
          <w:rFonts w:hint="eastAsia"/>
          <w:highlight w:val="yellow"/>
        </w:rPr>
        <w:t>活性炭纤维有机废气净化器处理，净化效率约为</w:t>
      </w:r>
      <w:r>
        <w:rPr>
          <w:highlight w:val="yellow"/>
        </w:rPr>
        <w:t>80%</w:t>
      </w:r>
      <w:r>
        <w:rPr>
          <w:rFonts w:hint="eastAsia"/>
          <w:highlight w:val="yellow"/>
        </w:rPr>
        <w:t>，净化后的尾气</w:t>
      </w:r>
      <w:r>
        <w:rPr>
          <w:highlight w:val="yellow"/>
        </w:rPr>
        <w:t>G1</w:t>
      </w:r>
      <w:r>
        <w:rPr>
          <w:rFonts w:hint="eastAsia"/>
          <w:highlight w:val="yellow"/>
        </w:rPr>
        <w:t>经由</w:t>
      </w:r>
      <w:r>
        <w:rPr>
          <w:highlight w:val="yellow"/>
        </w:rPr>
        <w:t>1</w:t>
      </w:r>
      <w:r>
        <w:rPr>
          <w:rFonts w:hint="eastAsia"/>
          <w:highlight w:val="yellow"/>
        </w:rPr>
        <w:t>根</w:t>
      </w:r>
      <w:r>
        <w:rPr>
          <w:highlight w:val="yellow"/>
        </w:rPr>
        <w:t>20m</w:t>
      </w:r>
      <w:r>
        <w:rPr>
          <w:rFonts w:hint="eastAsia"/>
          <w:highlight w:val="yellow"/>
        </w:rPr>
        <w:t>高排气筒外排。</w:t>
      </w:r>
    </w:p>
    <w:p>
      <w:pPr>
        <w:autoSpaceDE w:val="0"/>
        <w:autoSpaceDN w:val="0"/>
        <w:snapToGrid w:val="0"/>
        <w:ind w:firstLine="480"/>
        <w:outlineLvl w:val="0"/>
      </w:pPr>
      <w:r>
        <w:rPr>
          <w:rFonts w:hint="eastAsia"/>
        </w:rPr>
        <w:t>②无组织废气</w:t>
      </w:r>
    </w:p>
    <w:p>
      <w:pPr>
        <w:autoSpaceDE w:val="0"/>
        <w:autoSpaceDN w:val="0"/>
        <w:snapToGrid w:val="0"/>
        <w:ind w:firstLine="480"/>
      </w:pPr>
      <w:r>
        <w:rPr>
          <w:rFonts w:hint="eastAsia"/>
        </w:rPr>
        <w:t>危废库在危废卸料、危废暂存</w:t>
      </w:r>
      <w:r>
        <w:t>(</w:t>
      </w:r>
      <w:r>
        <w:rPr>
          <w:rFonts w:hint="eastAsia"/>
        </w:rPr>
        <w:t>包括</w:t>
      </w:r>
      <w:r>
        <w:t>1#</w:t>
      </w:r>
      <w:r>
        <w:rPr>
          <w:rFonts w:hint="eastAsia"/>
        </w:rPr>
        <w:t>仓库和</w:t>
      </w:r>
      <w:r>
        <w:t>2#</w:t>
      </w:r>
      <w:r>
        <w:rPr>
          <w:rFonts w:hint="eastAsia"/>
        </w:rPr>
        <w:t>仓库、危废暂存库</w:t>
      </w:r>
      <w:r>
        <w:t>)</w:t>
      </w:r>
      <w:r>
        <w:rPr>
          <w:rFonts w:hint="eastAsia"/>
        </w:rPr>
        <w:t>及危废出料时会产生少量无组织排放废气，主要污染物为</w:t>
      </w:r>
      <w:r>
        <w:t>VOCs</w:t>
      </w:r>
      <w:r>
        <w:rPr>
          <w:rFonts w:hint="eastAsia"/>
        </w:rPr>
        <w:t>、氨、硫化氢，在废液暂存罐区的废液、废酸、废乳化液及废碱储罐由于储罐呼吸会产生少量的酸雾及</w:t>
      </w:r>
      <w:r>
        <w:t>VOC</w:t>
      </w:r>
      <w:r>
        <w:rPr>
          <w:rFonts w:hint="eastAsia"/>
        </w:rPr>
        <w:t>。</w:t>
      </w:r>
    </w:p>
    <w:p>
      <w:pPr>
        <w:autoSpaceDE w:val="0"/>
        <w:autoSpaceDN w:val="0"/>
        <w:snapToGrid w:val="0"/>
        <w:ind w:firstLine="480"/>
        <w:outlineLvl w:val="0"/>
      </w:pPr>
      <w:bookmarkStart w:id="224" w:name="_Toc13582094"/>
      <w:bookmarkStart w:id="225" w:name="_Toc13760140"/>
      <w:r>
        <w:t>(2)</w:t>
      </w:r>
      <w:r>
        <w:rPr>
          <w:rFonts w:hint="eastAsia"/>
        </w:rPr>
        <w:t>废水</w:t>
      </w:r>
      <w:bookmarkEnd w:id="224"/>
      <w:bookmarkEnd w:id="225"/>
    </w:p>
    <w:p>
      <w:pPr>
        <w:autoSpaceDE w:val="0"/>
        <w:autoSpaceDN w:val="0"/>
        <w:snapToGrid w:val="0"/>
        <w:ind w:firstLine="480"/>
      </w:pPr>
      <w:r>
        <w:rPr>
          <w:rFonts w:hint="eastAsia"/>
        </w:rPr>
        <w:t>危废暂存环节产生的污水主要是冲洗用水</w:t>
      </w:r>
      <w:r>
        <w:t>(</w:t>
      </w:r>
      <w:r>
        <w:rPr>
          <w:rFonts w:hint="eastAsia"/>
        </w:rPr>
        <w:t>主要包括车辆，全厂地面以及容器清洗用水等</w:t>
      </w:r>
      <w:r>
        <w:t>)W1</w:t>
      </w:r>
      <w:r>
        <w:rPr>
          <w:rFonts w:hint="eastAsia"/>
        </w:rPr>
        <w:t>及化验用水</w:t>
      </w:r>
      <w:r>
        <w:t>W2</w:t>
      </w:r>
      <w:r>
        <w:rPr>
          <w:rFonts w:hint="eastAsia"/>
        </w:rPr>
        <w:t>。送至厂区污水处理站进行处理。</w:t>
      </w:r>
    </w:p>
    <w:p>
      <w:pPr>
        <w:autoSpaceDE w:val="0"/>
        <w:autoSpaceDN w:val="0"/>
        <w:snapToGrid w:val="0"/>
        <w:ind w:firstLine="480"/>
        <w:outlineLvl w:val="0"/>
      </w:pPr>
      <w:bookmarkStart w:id="226" w:name="_Toc13582095"/>
      <w:bookmarkStart w:id="227" w:name="_Toc13760141"/>
      <w:r>
        <w:t>(3)</w:t>
      </w:r>
      <w:r>
        <w:rPr>
          <w:rFonts w:hint="eastAsia"/>
        </w:rPr>
        <w:t>固废</w:t>
      </w:r>
      <w:bookmarkEnd w:id="226"/>
      <w:bookmarkEnd w:id="227"/>
    </w:p>
    <w:p>
      <w:pPr>
        <w:autoSpaceDE w:val="0"/>
        <w:autoSpaceDN w:val="0"/>
        <w:snapToGrid w:val="0"/>
        <w:ind w:firstLine="480"/>
      </w:pPr>
      <w:r>
        <w:rPr>
          <w:rFonts w:hint="eastAsia"/>
        </w:rPr>
        <w:t>本工段固体废弃物主要是有机仓库和无机仓库活性炭纤维有机废气净化器所产生的废活性炭</w:t>
      </w:r>
      <w:r>
        <w:t>W1</w:t>
      </w:r>
      <w:r>
        <w:rPr>
          <w:rFonts w:hint="eastAsia"/>
        </w:rPr>
        <w:t>，送至焚烧工段进行焚烧处理。本次改扩建项目该工段固废产生情况不变化，本次不进行分析评价。</w:t>
      </w:r>
    </w:p>
    <w:p>
      <w:pPr>
        <w:autoSpaceDE w:val="0"/>
        <w:autoSpaceDN w:val="0"/>
        <w:snapToGrid w:val="0"/>
        <w:ind w:firstLine="480"/>
      </w:pPr>
      <w:r>
        <w:rPr>
          <w:rFonts w:hint="eastAsia"/>
        </w:rPr>
        <w:t>改扩建后该工段“三废”污染源情况见表</w:t>
      </w:r>
      <w:r>
        <w:t>4.</w:t>
      </w:r>
      <w:r>
        <w:rPr>
          <w:rFonts w:hint="eastAsia"/>
        </w:rPr>
        <w:t>4—</w:t>
      </w:r>
      <w:r>
        <w:t>2</w:t>
      </w:r>
      <w:r>
        <w:rPr>
          <w:rFonts w:hint="eastAsia"/>
        </w:rPr>
        <w:t>和表</w:t>
      </w:r>
      <w:r>
        <w:t>4.</w:t>
      </w:r>
      <w:r>
        <w:rPr>
          <w:rFonts w:hint="eastAsia"/>
        </w:rPr>
        <w:t>4—</w:t>
      </w:r>
      <w:r>
        <w:t>3</w:t>
      </w:r>
      <w:r>
        <w:rPr>
          <w:rFonts w:hint="eastAsia"/>
        </w:rPr>
        <w:t>。</w:t>
      </w:r>
    </w:p>
    <w:p>
      <w:pPr>
        <w:autoSpaceDE w:val="0"/>
        <w:autoSpaceDN w:val="0"/>
        <w:snapToGrid w:val="0"/>
        <w:ind w:firstLine="480"/>
      </w:pPr>
      <w:r>
        <w:rPr>
          <w:rFonts w:hint="eastAsia"/>
        </w:rPr>
        <w:t>表</w:t>
      </w:r>
      <w:r>
        <w:t>4.</w:t>
      </w:r>
      <w:r>
        <w:rPr>
          <w:rFonts w:hint="eastAsia"/>
        </w:rPr>
        <w:t>4—</w:t>
      </w:r>
      <w:r>
        <w:t xml:space="preserve">2            </w:t>
      </w:r>
      <w:r>
        <w:rPr>
          <w:rFonts w:hint="eastAsia"/>
        </w:rPr>
        <w:t>危废暂存“三废”污染源情况</w:t>
      </w:r>
    </w:p>
    <w:tbl>
      <w:tblPr>
        <w:tblStyle w:val="88"/>
        <w:tblW w:w="5000" w:type="pct"/>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58"/>
        <w:gridCol w:w="679"/>
        <w:gridCol w:w="2166"/>
        <w:gridCol w:w="988"/>
        <w:gridCol w:w="2495"/>
        <w:gridCol w:w="997"/>
        <w:gridCol w:w="1871"/>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20" w:type="dxa"/>
            <w:tcBorders>
              <w:top w:val="single" w:color="000000" w:sz="12" w:space="0"/>
              <w:bottom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类别</w:t>
            </w:r>
          </w:p>
        </w:tc>
        <w:tc>
          <w:tcPr>
            <w:tcW w:w="640" w:type="dxa"/>
            <w:tcBorders>
              <w:top w:val="single" w:color="000000" w:sz="12" w:space="0"/>
              <w:bottom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代号</w:t>
            </w:r>
          </w:p>
        </w:tc>
        <w:tc>
          <w:tcPr>
            <w:tcW w:w="2041" w:type="dxa"/>
            <w:tcBorders>
              <w:top w:val="single" w:color="000000" w:sz="12" w:space="0"/>
              <w:bottom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污染物名称</w:t>
            </w:r>
          </w:p>
        </w:tc>
        <w:tc>
          <w:tcPr>
            <w:tcW w:w="931" w:type="dxa"/>
            <w:tcBorders>
              <w:top w:val="single" w:color="000000" w:sz="12" w:space="0"/>
              <w:bottom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产生量</w:t>
            </w:r>
          </w:p>
        </w:tc>
        <w:tc>
          <w:tcPr>
            <w:tcW w:w="2351" w:type="dxa"/>
            <w:tcBorders>
              <w:top w:val="single" w:color="000000" w:sz="12" w:space="0"/>
              <w:bottom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主要成分</w:t>
            </w:r>
          </w:p>
        </w:tc>
        <w:tc>
          <w:tcPr>
            <w:tcW w:w="940" w:type="dxa"/>
            <w:tcBorders>
              <w:top w:val="single" w:color="000000" w:sz="12" w:space="0"/>
              <w:bottom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排放</w:t>
            </w:r>
          </w:p>
          <w:p>
            <w:pPr>
              <w:snapToGrid w:val="0"/>
              <w:spacing w:line="240" w:lineRule="atLeast"/>
              <w:ind w:firstLine="0" w:firstLineChars="0"/>
              <w:jc w:val="center"/>
              <w:rPr>
                <w:rFonts w:hAnsi="宋体"/>
                <w:sz w:val="21"/>
              </w:rPr>
            </w:pPr>
            <w:r>
              <w:rPr>
                <w:rFonts w:hint="eastAsia" w:hAnsi="宋体"/>
                <w:sz w:val="21"/>
              </w:rPr>
              <w:t>规律</w:t>
            </w:r>
          </w:p>
        </w:tc>
        <w:tc>
          <w:tcPr>
            <w:tcW w:w="1763" w:type="dxa"/>
            <w:tcBorders>
              <w:top w:val="single" w:color="000000" w:sz="12" w:space="0"/>
              <w:bottom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处理措施</w:t>
            </w:r>
          </w:p>
          <w:p>
            <w:pPr>
              <w:snapToGrid w:val="0"/>
              <w:spacing w:line="240" w:lineRule="atLeast"/>
              <w:ind w:firstLine="0" w:firstLineChars="0"/>
              <w:jc w:val="center"/>
              <w:rPr>
                <w:rFonts w:hAnsi="宋体"/>
                <w:sz w:val="21"/>
              </w:rPr>
            </w:pPr>
            <w:r>
              <w:rPr>
                <w:rFonts w:hint="eastAsia" w:hAnsi="宋体"/>
                <w:sz w:val="21"/>
              </w:rPr>
              <w:t>及去向</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3" w:hRule="atLeast"/>
        </w:trPr>
        <w:tc>
          <w:tcPr>
            <w:tcW w:w="620" w:type="dxa"/>
            <w:tcBorders>
              <w:top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废气</w:t>
            </w:r>
          </w:p>
        </w:tc>
        <w:tc>
          <w:tcPr>
            <w:tcW w:w="640" w:type="dxa"/>
            <w:tcBorders>
              <w:top w:val="single" w:color="000000" w:sz="12" w:space="0"/>
            </w:tcBorders>
            <w:vAlign w:val="center"/>
          </w:tcPr>
          <w:p>
            <w:pPr>
              <w:snapToGrid w:val="0"/>
              <w:spacing w:line="240" w:lineRule="atLeast"/>
              <w:ind w:firstLine="0" w:firstLineChars="0"/>
              <w:jc w:val="center"/>
              <w:rPr>
                <w:rFonts w:hAnsi="宋体"/>
                <w:sz w:val="21"/>
              </w:rPr>
            </w:pPr>
            <w:r>
              <w:rPr>
                <w:rFonts w:hAnsi="宋体"/>
                <w:sz w:val="21"/>
              </w:rPr>
              <w:t>G1</w:t>
            </w:r>
          </w:p>
        </w:tc>
        <w:tc>
          <w:tcPr>
            <w:tcW w:w="2041" w:type="dxa"/>
            <w:tcBorders>
              <w:top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危废暂存库</w:t>
            </w:r>
          </w:p>
          <w:p>
            <w:pPr>
              <w:snapToGrid w:val="0"/>
              <w:spacing w:line="240" w:lineRule="atLeast"/>
              <w:ind w:firstLine="0" w:firstLineChars="0"/>
              <w:jc w:val="center"/>
              <w:rPr>
                <w:rFonts w:hAnsi="宋体"/>
                <w:sz w:val="21"/>
              </w:rPr>
            </w:pPr>
            <w:r>
              <w:rPr>
                <w:rFonts w:hint="eastAsia" w:hAnsi="宋体"/>
                <w:sz w:val="21"/>
              </w:rPr>
              <w:t>有组织废气</w:t>
            </w:r>
          </w:p>
        </w:tc>
        <w:tc>
          <w:tcPr>
            <w:tcW w:w="931" w:type="dxa"/>
            <w:tcBorders>
              <w:top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12</w:t>
            </w:r>
            <w:r>
              <w:rPr>
                <w:rFonts w:hAnsi="宋体"/>
                <w:sz w:val="21"/>
              </w:rPr>
              <w:t>000</w:t>
            </w:r>
          </w:p>
          <w:p>
            <w:pPr>
              <w:snapToGrid w:val="0"/>
              <w:spacing w:line="240" w:lineRule="atLeast"/>
              <w:ind w:firstLine="0" w:firstLineChars="0"/>
              <w:jc w:val="center"/>
              <w:rPr>
                <w:rFonts w:hAnsi="宋体"/>
                <w:sz w:val="21"/>
              </w:rPr>
            </w:pPr>
            <w:r>
              <w:rPr>
                <w:rFonts w:hAnsi="宋体"/>
                <w:sz w:val="21"/>
              </w:rPr>
              <w:t>Nm</w:t>
            </w:r>
            <w:r>
              <w:rPr>
                <w:rFonts w:hAnsi="宋体"/>
                <w:sz w:val="21"/>
                <w:vertAlign w:val="superscript"/>
              </w:rPr>
              <w:t>3</w:t>
            </w:r>
            <w:r>
              <w:rPr>
                <w:rFonts w:hAnsi="宋体"/>
                <w:sz w:val="21"/>
              </w:rPr>
              <w:t>/h</w:t>
            </w:r>
          </w:p>
        </w:tc>
        <w:tc>
          <w:tcPr>
            <w:tcW w:w="2351" w:type="dxa"/>
            <w:tcBorders>
              <w:top w:val="single" w:color="000000" w:sz="12" w:space="0"/>
            </w:tcBorders>
            <w:vAlign w:val="center"/>
          </w:tcPr>
          <w:p>
            <w:pPr>
              <w:snapToGrid w:val="0"/>
              <w:spacing w:line="240" w:lineRule="atLeast"/>
              <w:ind w:firstLine="0" w:firstLineChars="0"/>
              <w:jc w:val="center"/>
              <w:rPr>
                <w:rFonts w:hAnsi="宋体"/>
                <w:sz w:val="21"/>
                <w:lang w:val="pt-BR"/>
              </w:rPr>
            </w:pPr>
            <w:r>
              <w:rPr>
                <w:rFonts w:hAnsi="宋体"/>
                <w:sz w:val="21"/>
                <w:lang w:val="pt-BR"/>
              </w:rPr>
              <w:t>VOC</w:t>
            </w:r>
            <w:r>
              <w:rPr>
                <w:rFonts w:hint="eastAsia" w:hAnsi="宋体"/>
                <w:sz w:val="21"/>
                <w:lang w:val="pt-BR"/>
              </w:rPr>
              <w:t>：</w:t>
            </w:r>
            <w:r>
              <w:rPr>
                <w:rFonts w:hAnsi="宋体"/>
                <w:sz w:val="21"/>
                <w:lang w:val="pt-BR"/>
              </w:rPr>
              <w:t>7.6mg/Nm</w:t>
            </w:r>
            <w:r>
              <w:rPr>
                <w:rFonts w:hAnsi="宋体"/>
                <w:sz w:val="21"/>
                <w:vertAlign w:val="superscript"/>
                <w:lang w:val="pt-BR"/>
              </w:rPr>
              <w:t>3</w:t>
            </w:r>
          </w:p>
          <w:p>
            <w:pPr>
              <w:snapToGrid w:val="0"/>
              <w:spacing w:line="240" w:lineRule="atLeast"/>
              <w:ind w:firstLine="0" w:firstLineChars="0"/>
              <w:jc w:val="center"/>
              <w:rPr>
                <w:rFonts w:hAnsi="宋体"/>
                <w:sz w:val="21"/>
                <w:lang w:val="pt-BR"/>
              </w:rPr>
            </w:pPr>
            <w:r>
              <w:rPr>
                <w:rFonts w:hAnsi="宋体"/>
                <w:sz w:val="21"/>
                <w:lang w:val="pt-BR"/>
              </w:rPr>
              <w:t>H</w:t>
            </w:r>
            <w:r>
              <w:rPr>
                <w:rFonts w:hAnsi="宋体"/>
                <w:sz w:val="21"/>
                <w:vertAlign w:val="subscript"/>
                <w:lang w:val="pt-BR"/>
              </w:rPr>
              <w:t>2</w:t>
            </w:r>
            <w:r>
              <w:rPr>
                <w:rFonts w:hAnsi="宋体"/>
                <w:sz w:val="21"/>
                <w:lang w:val="pt-BR"/>
              </w:rPr>
              <w:t>S</w:t>
            </w:r>
            <w:r>
              <w:rPr>
                <w:rFonts w:hint="eastAsia" w:hAnsi="宋体"/>
                <w:sz w:val="21"/>
                <w:lang w:val="pt-BR"/>
              </w:rPr>
              <w:t>：</w:t>
            </w:r>
            <w:r>
              <w:rPr>
                <w:rFonts w:hAnsi="宋体"/>
                <w:sz w:val="21"/>
                <w:lang w:val="pt-BR"/>
              </w:rPr>
              <w:t>0.4mg/Nm</w:t>
            </w:r>
            <w:r>
              <w:rPr>
                <w:rFonts w:hAnsi="宋体"/>
                <w:sz w:val="21"/>
                <w:vertAlign w:val="superscript"/>
                <w:lang w:val="pt-BR"/>
              </w:rPr>
              <w:t>3</w:t>
            </w:r>
          </w:p>
          <w:p>
            <w:pPr>
              <w:snapToGrid w:val="0"/>
              <w:spacing w:line="240" w:lineRule="atLeast"/>
              <w:ind w:firstLine="0" w:firstLineChars="0"/>
              <w:jc w:val="center"/>
              <w:rPr>
                <w:rFonts w:hAnsi="宋体"/>
                <w:sz w:val="21"/>
              </w:rPr>
            </w:pPr>
            <w:r>
              <w:rPr>
                <w:rFonts w:hAnsi="宋体"/>
                <w:sz w:val="21"/>
              </w:rPr>
              <w:t>NH</w:t>
            </w:r>
            <w:r>
              <w:rPr>
                <w:rFonts w:hAnsi="宋体"/>
                <w:sz w:val="21"/>
                <w:vertAlign w:val="subscript"/>
              </w:rPr>
              <w:t>3</w:t>
            </w:r>
            <w:r>
              <w:rPr>
                <w:rFonts w:hint="eastAsia" w:hAnsi="宋体"/>
                <w:sz w:val="21"/>
              </w:rPr>
              <w:t>：</w:t>
            </w:r>
            <w:r>
              <w:rPr>
                <w:rFonts w:hAnsi="宋体"/>
                <w:sz w:val="21"/>
              </w:rPr>
              <w:t>12mg/Nm</w:t>
            </w:r>
            <w:r>
              <w:rPr>
                <w:rFonts w:hAnsi="宋体"/>
                <w:sz w:val="21"/>
                <w:vertAlign w:val="superscript"/>
              </w:rPr>
              <w:t>3</w:t>
            </w:r>
          </w:p>
        </w:tc>
        <w:tc>
          <w:tcPr>
            <w:tcW w:w="940" w:type="dxa"/>
            <w:tcBorders>
              <w:top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single" w:color="000000" w:sz="12" w:space="0"/>
            </w:tcBorders>
            <w:vAlign w:val="center"/>
          </w:tcPr>
          <w:p>
            <w:pPr>
              <w:snapToGrid w:val="0"/>
              <w:spacing w:line="240" w:lineRule="atLeast"/>
              <w:ind w:firstLine="0" w:firstLineChars="0"/>
              <w:jc w:val="center"/>
              <w:rPr>
                <w:rFonts w:hAnsi="宋体"/>
                <w:sz w:val="21"/>
              </w:rPr>
            </w:pPr>
            <w:r>
              <w:rPr>
                <w:rFonts w:hint="eastAsia" w:hAnsi="宋体"/>
                <w:sz w:val="21"/>
              </w:rPr>
              <w:t>液碱喷淋塔+紫外光系统</w:t>
            </w:r>
            <w:r>
              <w:rPr>
                <w:rFonts w:hAnsi="宋体"/>
                <w:sz w:val="21"/>
              </w:rPr>
              <w:t>+</w:t>
            </w:r>
            <w:r>
              <w:rPr>
                <w:rFonts w:hint="eastAsia" w:hAnsi="宋体"/>
                <w:sz w:val="21"/>
              </w:rPr>
              <w:t>活性炭纤维有机废气净化器</w:t>
            </w:r>
          </w:p>
          <w:p>
            <w:pPr>
              <w:snapToGrid w:val="0"/>
              <w:spacing w:line="240" w:lineRule="atLeast"/>
              <w:ind w:firstLine="0" w:firstLineChars="0"/>
              <w:jc w:val="center"/>
              <w:rPr>
                <w:rFonts w:hAnsi="宋体"/>
                <w:sz w:val="21"/>
              </w:rPr>
            </w:pPr>
            <w:r>
              <w:rPr>
                <w:rFonts w:hAnsi="宋体"/>
                <w:sz w:val="21"/>
              </w:rPr>
              <w:t>H=20m</w:t>
            </w:r>
          </w:p>
          <w:p>
            <w:pPr>
              <w:snapToGrid w:val="0"/>
              <w:spacing w:line="240" w:lineRule="atLeast"/>
              <w:ind w:firstLine="0" w:firstLineChars="0"/>
              <w:jc w:val="center"/>
              <w:rPr>
                <w:rFonts w:hAnsi="宋体"/>
                <w:sz w:val="21"/>
              </w:rPr>
            </w:pPr>
            <w:r>
              <w:rPr>
                <w:rFonts w:hAnsi="宋体"/>
                <w:sz w:val="21"/>
              </w:rPr>
              <w:t>D=800mm</w:t>
            </w:r>
          </w:p>
          <w:p>
            <w:pPr>
              <w:snapToGrid w:val="0"/>
              <w:spacing w:line="240" w:lineRule="atLeast"/>
              <w:ind w:firstLine="0" w:firstLineChars="0"/>
              <w:jc w:val="center"/>
              <w:rPr>
                <w:rFonts w:hAnsi="宋体"/>
                <w:sz w:val="21"/>
              </w:rPr>
            </w:pPr>
            <w:r>
              <w:rPr>
                <w:rFonts w:hAnsi="宋体"/>
                <w:sz w:val="21"/>
              </w:rPr>
              <w:t>T=20</w:t>
            </w:r>
            <w:r>
              <w:rPr>
                <w:rFonts w:hint="eastAsia" w:hAnsi="宋体"/>
                <w:sz w:val="21"/>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3" w:hRule="atLeast"/>
        </w:trPr>
        <w:tc>
          <w:tcPr>
            <w:tcW w:w="620" w:type="dxa"/>
            <w:vMerge w:val="restart"/>
            <w:vAlign w:val="center"/>
          </w:tcPr>
          <w:p>
            <w:pPr>
              <w:snapToGrid w:val="0"/>
              <w:spacing w:line="240" w:lineRule="atLeast"/>
              <w:ind w:firstLine="0" w:firstLineChars="0"/>
              <w:jc w:val="center"/>
              <w:rPr>
                <w:rFonts w:hAnsi="宋体"/>
                <w:sz w:val="21"/>
              </w:rPr>
            </w:pPr>
            <w:r>
              <w:rPr>
                <w:rFonts w:hint="eastAsia" w:hAnsi="宋体"/>
                <w:sz w:val="21"/>
              </w:rPr>
              <w:t>废水</w:t>
            </w:r>
          </w:p>
        </w:tc>
        <w:tc>
          <w:tcPr>
            <w:tcW w:w="640" w:type="dxa"/>
            <w:vAlign w:val="center"/>
          </w:tcPr>
          <w:p>
            <w:pPr>
              <w:snapToGrid w:val="0"/>
              <w:spacing w:line="240" w:lineRule="atLeast"/>
              <w:ind w:firstLine="0" w:firstLineChars="0"/>
              <w:jc w:val="center"/>
              <w:rPr>
                <w:rFonts w:hAnsi="宋体"/>
                <w:sz w:val="21"/>
              </w:rPr>
            </w:pPr>
            <w:r>
              <w:rPr>
                <w:rFonts w:hAnsi="宋体"/>
                <w:sz w:val="21"/>
              </w:rPr>
              <w:t>W1</w:t>
            </w:r>
          </w:p>
        </w:tc>
        <w:tc>
          <w:tcPr>
            <w:tcW w:w="2041" w:type="dxa"/>
            <w:vAlign w:val="center"/>
          </w:tcPr>
          <w:p>
            <w:pPr>
              <w:snapToGrid w:val="0"/>
              <w:spacing w:line="240" w:lineRule="atLeast"/>
              <w:ind w:firstLine="0" w:firstLineChars="0"/>
              <w:jc w:val="center"/>
              <w:rPr>
                <w:rFonts w:hAnsi="宋体"/>
                <w:sz w:val="21"/>
              </w:rPr>
            </w:pPr>
            <w:r>
              <w:rPr>
                <w:rFonts w:hint="eastAsia" w:hAnsi="宋体"/>
                <w:sz w:val="21"/>
              </w:rPr>
              <w:t>冲洗废水</w:t>
            </w:r>
          </w:p>
        </w:tc>
        <w:tc>
          <w:tcPr>
            <w:tcW w:w="931" w:type="dxa"/>
            <w:vAlign w:val="center"/>
          </w:tcPr>
          <w:p>
            <w:pPr>
              <w:snapToGrid w:val="0"/>
              <w:spacing w:line="240" w:lineRule="atLeast"/>
              <w:ind w:firstLine="0" w:firstLineChars="0"/>
              <w:jc w:val="center"/>
              <w:rPr>
                <w:rFonts w:hAnsi="宋体"/>
                <w:sz w:val="21"/>
              </w:rPr>
            </w:pPr>
            <w:r>
              <w:rPr>
                <w:rFonts w:hint="eastAsia" w:hAnsi="宋体"/>
                <w:sz w:val="21"/>
              </w:rPr>
              <w:t>20.0</w:t>
            </w:r>
            <w:r>
              <w:rPr>
                <w:rFonts w:hAnsi="宋体"/>
                <w:sz w:val="21"/>
              </w:rPr>
              <w:t>t/d</w:t>
            </w:r>
          </w:p>
        </w:tc>
        <w:tc>
          <w:tcPr>
            <w:tcW w:w="2351" w:type="dxa"/>
            <w:vAlign w:val="center"/>
          </w:tcPr>
          <w:p>
            <w:pPr>
              <w:snapToGrid w:val="0"/>
              <w:spacing w:line="240" w:lineRule="atLeast"/>
              <w:ind w:firstLine="0" w:firstLineChars="0"/>
              <w:jc w:val="center"/>
              <w:rPr>
                <w:rFonts w:hAnsi="宋体"/>
                <w:sz w:val="21"/>
              </w:rPr>
            </w:pPr>
            <w:r>
              <w:rPr>
                <w:rFonts w:hAnsi="宋体"/>
                <w:sz w:val="21"/>
              </w:rPr>
              <w:t>COD</w:t>
            </w:r>
            <w:r>
              <w:rPr>
                <w:rFonts w:hint="eastAsia" w:hAnsi="宋体"/>
                <w:sz w:val="21"/>
              </w:rPr>
              <w:t>：</w:t>
            </w:r>
            <w:r>
              <w:rPr>
                <w:rFonts w:hAnsi="宋体"/>
                <w:sz w:val="21"/>
              </w:rPr>
              <w:t>400mg/L</w:t>
            </w:r>
          </w:p>
          <w:p>
            <w:pPr>
              <w:snapToGrid w:val="0"/>
              <w:spacing w:line="240" w:lineRule="atLeast"/>
              <w:ind w:firstLine="0" w:firstLineChars="0"/>
              <w:jc w:val="center"/>
              <w:rPr>
                <w:rFonts w:hAnsi="宋体"/>
                <w:sz w:val="21"/>
              </w:rPr>
            </w:pPr>
            <w:r>
              <w:rPr>
                <w:rFonts w:hAnsi="宋体"/>
                <w:sz w:val="21"/>
              </w:rPr>
              <w:t>BOD</w:t>
            </w:r>
            <w:r>
              <w:rPr>
                <w:rFonts w:hint="eastAsia" w:hAnsi="宋体"/>
                <w:sz w:val="21"/>
              </w:rPr>
              <w:t>：</w:t>
            </w:r>
            <w:r>
              <w:rPr>
                <w:rFonts w:hAnsi="宋体"/>
                <w:sz w:val="21"/>
              </w:rPr>
              <w:t>150mg/L</w:t>
            </w:r>
          </w:p>
          <w:p>
            <w:pPr>
              <w:snapToGrid w:val="0"/>
              <w:spacing w:line="240" w:lineRule="atLeast"/>
              <w:ind w:firstLine="0" w:firstLineChars="0"/>
              <w:jc w:val="center"/>
              <w:rPr>
                <w:rFonts w:hAnsi="宋体"/>
                <w:sz w:val="21"/>
              </w:rPr>
            </w:pPr>
            <w:r>
              <w:rPr>
                <w:rFonts w:hAnsi="宋体"/>
                <w:sz w:val="21"/>
              </w:rPr>
              <w:t>SS</w:t>
            </w:r>
            <w:r>
              <w:rPr>
                <w:rFonts w:hint="eastAsia" w:hAnsi="宋体"/>
                <w:sz w:val="21"/>
              </w:rPr>
              <w:t>：</w:t>
            </w:r>
            <w:r>
              <w:rPr>
                <w:rFonts w:hAnsi="宋体"/>
                <w:sz w:val="21"/>
              </w:rPr>
              <w:t>200mg/L</w:t>
            </w:r>
          </w:p>
          <w:p>
            <w:pPr>
              <w:snapToGrid w:val="0"/>
              <w:spacing w:line="240" w:lineRule="atLeast"/>
              <w:ind w:firstLine="0" w:firstLineChars="0"/>
              <w:jc w:val="center"/>
              <w:rPr>
                <w:rFonts w:hAnsi="宋体"/>
                <w:sz w:val="21"/>
              </w:rPr>
            </w:pPr>
            <w:r>
              <w:rPr>
                <w:rFonts w:hint="eastAsia" w:hAnsi="宋体"/>
                <w:sz w:val="21"/>
              </w:rPr>
              <w:t>氨氮：</w:t>
            </w:r>
            <w:r>
              <w:rPr>
                <w:rFonts w:hAnsi="宋体"/>
                <w:sz w:val="21"/>
              </w:rPr>
              <w:t>15mg/L</w:t>
            </w:r>
          </w:p>
          <w:p>
            <w:pPr>
              <w:snapToGrid w:val="0"/>
              <w:spacing w:line="240" w:lineRule="atLeast"/>
              <w:ind w:firstLine="0" w:firstLineChars="0"/>
              <w:jc w:val="center"/>
              <w:rPr>
                <w:rFonts w:hAnsi="宋体"/>
                <w:sz w:val="21"/>
              </w:rPr>
            </w:pPr>
            <w:r>
              <w:rPr>
                <w:rFonts w:hint="eastAsia" w:hAnsi="宋体"/>
                <w:sz w:val="21"/>
              </w:rPr>
              <w:t>石油类：</w:t>
            </w:r>
            <w:r>
              <w:rPr>
                <w:rFonts w:hAnsi="宋体"/>
                <w:sz w:val="21"/>
              </w:rPr>
              <w:t>6mg/L</w:t>
            </w:r>
          </w:p>
          <w:p>
            <w:pPr>
              <w:snapToGrid w:val="0"/>
              <w:spacing w:line="240" w:lineRule="atLeast"/>
              <w:ind w:firstLine="0" w:firstLineChars="0"/>
              <w:jc w:val="center"/>
              <w:rPr>
                <w:rFonts w:hAnsi="宋体"/>
                <w:sz w:val="21"/>
              </w:rPr>
            </w:pPr>
            <w:r>
              <w:rPr>
                <w:rFonts w:hAnsi="宋体"/>
                <w:sz w:val="21"/>
              </w:rPr>
              <w:t>TP</w:t>
            </w:r>
            <w:r>
              <w:rPr>
                <w:rFonts w:hint="eastAsia" w:hAnsi="宋体"/>
                <w:sz w:val="21"/>
              </w:rPr>
              <w:t>：</w:t>
            </w:r>
            <w:r>
              <w:rPr>
                <w:rFonts w:hAnsi="宋体"/>
                <w:sz w:val="21"/>
              </w:rPr>
              <w:t>0.5mg/L</w:t>
            </w:r>
          </w:p>
          <w:p>
            <w:pPr>
              <w:snapToGrid w:val="0"/>
              <w:spacing w:line="240" w:lineRule="atLeast"/>
              <w:ind w:firstLine="0" w:firstLineChars="0"/>
              <w:jc w:val="center"/>
              <w:rPr>
                <w:rFonts w:hAnsi="宋体"/>
                <w:sz w:val="21"/>
              </w:rPr>
            </w:pPr>
            <w:r>
              <w:rPr>
                <w:rFonts w:hint="eastAsia" w:hAnsi="宋体"/>
                <w:sz w:val="21"/>
              </w:rPr>
              <w:t>镍：</w:t>
            </w:r>
            <w:r>
              <w:rPr>
                <w:rFonts w:hAnsi="宋体"/>
                <w:sz w:val="21"/>
              </w:rPr>
              <w:t>0.5mg/L</w:t>
            </w:r>
          </w:p>
          <w:p>
            <w:pPr>
              <w:snapToGrid w:val="0"/>
              <w:spacing w:line="240" w:lineRule="atLeast"/>
              <w:ind w:firstLine="0" w:firstLineChars="0"/>
              <w:jc w:val="center"/>
              <w:rPr>
                <w:rFonts w:hAnsi="宋体"/>
                <w:sz w:val="21"/>
              </w:rPr>
            </w:pPr>
            <w:r>
              <w:rPr>
                <w:rFonts w:hint="eastAsia" w:hAnsi="宋体"/>
                <w:sz w:val="21"/>
              </w:rPr>
              <w:t>铜：</w:t>
            </w:r>
            <w:r>
              <w:rPr>
                <w:rFonts w:hAnsi="宋体"/>
                <w:sz w:val="21"/>
              </w:rPr>
              <w:t>0.5mg/L</w:t>
            </w:r>
          </w:p>
          <w:p>
            <w:pPr>
              <w:snapToGrid w:val="0"/>
              <w:spacing w:line="240" w:lineRule="atLeast"/>
              <w:ind w:firstLine="0" w:firstLineChars="0"/>
              <w:jc w:val="center"/>
              <w:rPr>
                <w:rFonts w:hAnsi="宋体"/>
                <w:sz w:val="21"/>
              </w:rPr>
            </w:pPr>
            <w:r>
              <w:rPr>
                <w:rFonts w:hint="eastAsia" w:hAnsi="宋体"/>
                <w:sz w:val="21"/>
              </w:rPr>
              <w:t>汞：</w:t>
            </w:r>
            <w:r>
              <w:rPr>
                <w:rFonts w:hAnsi="宋体"/>
                <w:sz w:val="21"/>
              </w:rPr>
              <w:t>0.01mg/L</w:t>
            </w:r>
          </w:p>
          <w:p>
            <w:pPr>
              <w:snapToGrid w:val="0"/>
              <w:spacing w:line="240" w:lineRule="atLeast"/>
              <w:ind w:firstLine="0" w:firstLineChars="0"/>
              <w:jc w:val="center"/>
              <w:rPr>
                <w:rFonts w:hAnsi="宋体"/>
                <w:sz w:val="21"/>
              </w:rPr>
            </w:pPr>
            <w:r>
              <w:rPr>
                <w:rFonts w:hint="eastAsia" w:hAnsi="宋体"/>
                <w:sz w:val="21"/>
              </w:rPr>
              <w:t>铅：</w:t>
            </w:r>
            <w:r>
              <w:rPr>
                <w:rFonts w:hAnsi="宋体"/>
                <w:sz w:val="21"/>
              </w:rPr>
              <w:t>0.5mg/L</w:t>
            </w:r>
          </w:p>
          <w:p>
            <w:pPr>
              <w:snapToGrid w:val="0"/>
              <w:spacing w:line="240" w:lineRule="atLeast"/>
              <w:ind w:firstLine="0" w:firstLineChars="0"/>
              <w:jc w:val="center"/>
              <w:rPr>
                <w:rFonts w:hAnsi="宋体"/>
                <w:sz w:val="21"/>
              </w:rPr>
            </w:pPr>
            <w:r>
              <w:rPr>
                <w:rFonts w:hint="eastAsia" w:hAnsi="宋体"/>
                <w:sz w:val="21"/>
              </w:rPr>
              <w:t>铬：</w:t>
            </w:r>
            <w:r>
              <w:rPr>
                <w:rFonts w:hAnsi="宋体"/>
                <w:sz w:val="21"/>
              </w:rPr>
              <w:t>0.5mg/L</w:t>
            </w:r>
          </w:p>
          <w:p>
            <w:pPr>
              <w:snapToGrid w:val="0"/>
              <w:spacing w:line="240" w:lineRule="atLeast"/>
              <w:ind w:firstLine="0" w:firstLineChars="0"/>
              <w:jc w:val="center"/>
              <w:rPr>
                <w:rFonts w:hAnsi="宋体"/>
                <w:sz w:val="21"/>
              </w:rPr>
            </w:pPr>
            <w:r>
              <w:rPr>
                <w:rFonts w:hint="eastAsia" w:hAnsi="宋体"/>
                <w:sz w:val="21"/>
              </w:rPr>
              <w:t>锌：</w:t>
            </w:r>
            <w:r>
              <w:rPr>
                <w:rFonts w:hAnsi="宋体"/>
                <w:sz w:val="21"/>
              </w:rPr>
              <w:t>0.5mg/L</w:t>
            </w:r>
          </w:p>
        </w:tc>
        <w:tc>
          <w:tcPr>
            <w:tcW w:w="940" w:type="dxa"/>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vAlign w:val="center"/>
          </w:tcPr>
          <w:p>
            <w:pPr>
              <w:snapToGrid w:val="0"/>
              <w:spacing w:line="240" w:lineRule="atLeast"/>
              <w:ind w:firstLine="0" w:firstLineChars="0"/>
              <w:jc w:val="center"/>
              <w:rPr>
                <w:rFonts w:hAnsi="宋体"/>
                <w:sz w:val="21"/>
              </w:rPr>
            </w:pPr>
            <w:r>
              <w:rPr>
                <w:rFonts w:hint="eastAsia" w:hAnsi="宋体"/>
                <w:sz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3" w:hRule="atLeast"/>
        </w:trPr>
        <w:tc>
          <w:tcPr>
            <w:tcW w:w="620" w:type="dxa"/>
            <w:vMerge w:val="continue"/>
            <w:vAlign w:val="center"/>
          </w:tcPr>
          <w:p>
            <w:pPr>
              <w:widowControl/>
              <w:spacing w:line="240" w:lineRule="atLeast"/>
              <w:ind w:firstLine="0" w:firstLineChars="0"/>
              <w:jc w:val="center"/>
              <w:rPr>
                <w:rFonts w:hAnsi="宋体"/>
                <w:sz w:val="21"/>
              </w:rPr>
            </w:pPr>
          </w:p>
        </w:tc>
        <w:tc>
          <w:tcPr>
            <w:tcW w:w="640" w:type="dxa"/>
            <w:vAlign w:val="center"/>
          </w:tcPr>
          <w:p>
            <w:pPr>
              <w:snapToGrid w:val="0"/>
              <w:spacing w:line="240" w:lineRule="atLeast"/>
              <w:ind w:firstLine="0" w:firstLineChars="0"/>
              <w:jc w:val="center"/>
              <w:rPr>
                <w:rFonts w:hAnsi="宋体"/>
                <w:sz w:val="21"/>
              </w:rPr>
            </w:pPr>
            <w:r>
              <w:rPr>
                <w:rFonts w:hAnsi="宋体"/>
                <w:sz w:val="21"/>
              </w:rPr>
              <w:t>W2</w:t>
            </w:r>
          </w:p>
        </w:tc>
        <w:tc>
          <w:tcPr>
            <w:tcW w:w="2041" w:type="dxa"/>
            <w:vAlign w:val="center"/>
          </w:tcPr>
          <w:p>
            <w:pPr>
              <w:snapToGrid w:val="0"/>
              <w:spacing w:line="240" w:lineRule="atLeast"/>
              <w:ind w:firstLine="0" w:firstLineChars="0"/>
              <w:jc w:val="center"/>
              <w:rPr>
                <w:rFonts w:hAnsi="宋体"/>
                <w:sz w:val="21"/>
              </w:rPr>
            </w:pPr>
            <w:r>
              <w:rPr>
                <w:rFonts w:hint="eastAsia" w:hAnsi="宋体"/>
                <w:sz w:val="21"/>
              </w:rPr>
              <w:t>化验废水</w:t>
            </w:r>
          </w:p>
        </w:tc>
        <w:tc>
          <w:tcPr>
            <w:tcW w:w="931" w:type="dxa"/>
            <w:vAlign w:val="center"/>
          </w:tcPr>
          <w:p>
            <w:pPr>
              <w:snapToGrid w:val="0"/>
              <w:spacing w:line="240" w:lineRule="atLeast"/>
              <w:ind w:firstLine="0" w:firstLineChars="0"/>
              <w:jc w:val="center"/>
              <w:rPr>
                <w:rFonts w:hAnsi="宋体"/>
                <w:sz w:val="21"/>
              </w:rPr>
            </w:pPr>
            <w:r>
              <w:rPr>
                <w:rFonts w:hint="eastAsia" w:hAnsi="宋体"/>
                <w:sz w:val="21"/>
              </w:rPr>
              <w:t>3</w:t>
            </w:r>
            <w:r>
              <w:rPr>
                <w:rFonts w:hAnsi="宋体"/>
                <w:sz w:val="21"/>
              </w:rPr>
              <w:t>.0t/d</w:t>
            </w:r>
          </w:p>
        </w:tc>
        <w:tc>
          <w:tcPr>
            <w:tcW w:w="2351" w:type="dxa"/>
            <w:vAlign w:val="center"/>
          </w:tcPr>
          <w:p>
            <w:pPr>
              <w:snapToGrid w:val="0"/>
              <w:spacing w:line="240" w:lineRule="atLeast"/>
              <w:ind w:firstLine="0" w:firstLineChars="0"/>
              <w:jc w:val="center"/>
              <w:rPr>
                <w:rFonts w:hAnsi="宋体"/>
                <w:sz w:val="21"/>
              </w:rPr>
            </w:pPr>
            <w:r>
              <w:rPr>
                <w:rFonts w:hAnsi="宋体"/>
                <w:sz w:val="21"/>
              </w:rPr>
              <w:t>COD</w:t>
            </w:r>
            <w:r>
              <w:rPr>
                <w:rFonts w:hint="eastAsia" w:hAnsi="宋体"/>
                <w:sz w:val="21"/>
              </w:rPr>
              <w:t>：</w:t>
            </w:r>
            <w:r>
              <w:rPr>
                <w:rFonts w:hAnsi="宋体"/>
                <w:sz w:val="21"/>
              </w:rPr>
              <w:t>600mg/L</w:t>
            </w:r>
          </w:p>
          <w:p>
            <w:pPr>
              <w:snapToGrid w:val="0"/>
              <w:spacing w:line="240" w:lineRule="atLeast"/>
              <w:ind w:firstLine="0" w:firstLineChars="0"/>
              <w:jc w:val="center"/>
              <w:rPr>
                <w:rFonts w:hAnsi="宋体"/>
                <w:sz w:val="21"/>
              </w:rPr>
            </w:pPr>
            <w:r>
              <w:rPr>
                <w:rFonts w:hAnsi="宋体"/>
                <w:sz w:val="21"/>
              </w:rPr>
              <w:t>BOD</w:t>
            </w:r>
            <w:r>
              <w:rPr>
                <w:rFonts w:hint="eastAsia" w:hAnsi="宋体"/>
                <w:sz w:val="21"/>
              </w:rPr>
              <w:t>：</w:t>
            </w:r>
            <w:r>
              <w:rPr>
                <w:rFonts w:hAnsi="宋体"/>
                <w:sz w:val="21"/>
              </w:rPr>
              <w:t>250mg/L</w:t>
            </w:r>
          </w:p>
          <w:p>
            <w:pPr>
              <w:snapToGrid w:val="0"/>
              <w:spacing w:line="240" w:lineRule="atLeast"/>
              <w:ind w:firstLine="0" w:firstLineChars="0"/>
              <w:jc w:val="center"/>
              <w:rPr>
                <w:rFonts w:hAnsi="宋体"/>
                <w:sz w:val="21"/>
              </w:rPr>
            </w:pPr>
            <w:r>
              <w:rPr>
                <w:rFonts w:hAnsi="宋体"/>
                <w:sz w:val="21"/>
              </w:rPr>
              <w:t>SS</w:t>
            </w:r>
            <w:r>
              <w:rPr>
                <w:rFonts w:hint="eastAsia" w:hAnsi="宋体"/>
                <w:sz w:val="21"/>
              </w:rPr>
              <w:t>：</w:t>
            </w:r>
            <w:r>
              <w:rPr>
                <w:rFonts w:hAnsi="宋体"/>
                <w:sz w:val="21"/>
              </w:rPr>
              <w:t>250mg/L</w:t>
            </w:r>
          </w:p>
          <w:p>
            <w:pPr>
              <w:snapToGrid w:val="0"/>
              <w:spacing w:line="240" w:lineRule="atLeast"/>
              <w:ind w:firstLine="0" w:firstLineChars="0"/>
              <w:jc w:val="center"/>
              <w:rPr>
                <w:rFonts w:hAnsi="宋体"/>
                <w:sz w:val="21"/>
              </w:rPr>
            </w:pPr>
            <w:r>
              <w:rPr>
                <w:rFonts w:hint="eastAsia" w:hAnsi="宋体"/>
                <w:sz w:val="21"/>
              </w:rPr>
              <w:t>氨氮：</w:t>
            </w:r>
            <w:r>
              <w:rPr>
                <w:rFonts w:hAnsi="宋体"/>
                <w:sz w:val="21"/>
              </w:rPr>
              <w:t>15mg/L</w:t>
            </w:r>
          </w:p>
          <w:p>
            <w:pPr>
              <w:snapToGrid w:val="0"/>
              <w:spacing w:line="240" w:lineRule="atLeast"/>
              <w:ind w:firstLine="0" w:firstLineChars="0"/>
              <w:jc w:val="center"/>
              <w:rPr>
                <w:rFonts w:hAnsi="宋体"/>
                <w:sz w:val="21"/>
              </w:rPr>
            </w:pPr>
            <w:r>
              <w:rPr>
                <w:rFonts w:hint="eastAsia" w:hAnsi="宋体"/>
                <w:sz w:val="21"/>
              </w:rPr>
              <w:t>石油类：</w:t>
            </w:r>
            <w:r>
              <w:rPr>
                <w:rFonts w:hAnsi="宋体"/>
                <w:sz w:val="21"/>
              </w:rPr>
              <w:t>20mg/L</w:t>
            </w:r>
          </w:p>
          <w:p>
            <w:pPr>
              <w:snapToGrid w:val="0"/>
              <w:spacing w:line="240" w:lineRule="atLeast"/>
              <w:ind w:firstLine="0" w:firstLineChars="0"/>
              <w:jc w:val="center"/>
              <w:rPr>
                <w:rFonts w:hAnsi="宋体"/>
                <w:sz w:val="21"/>
              </w:rPr>
            </w:pPr>
            <w:r>
              <w:rPr>
                <w:rFonts w:hAnsi="宋体"/>
                <w:sz w:val="21"/>
              </w:rPr>
              <w:t>TP</w:t>
            </w:r>
            <w:r>
              <w:rPr>
                <w:rFonts w:hint="eastAsia" w:hAnsi="宋体"/>
                <w:sz w:val="21"/>
              </w:rPr>
              <w:t>：</w:t>
            </w:r>
            <w:r>
              <w:rPr>
                <w:rFonts w:hAnsi="宋体"/>
                <w:sz w:val="21"/>
              </w:rPr>
              <w:t>3mg/L</w:t>
            </w:r>
          </w:p>
          <w:p>
            <w:pPr>
              <w:snapToGrid w:val="0"/>
              <w:spacing w:line="240" w:lineRule="atLeast"/>
              <w:ind w:firstLine="0" w:firstLineChars="0"/>
              <w:jc w:val="center"/>
              <w:rPr>
                <w:rFonts w:hAnsi="宋体"/>
                <w:sz w:val="21"/>
              </w:rPr>
            </w:pPr>
            <w:r>
              <w:rPr>
                <w:rFonts w:hint="eastAsia" w:hAnsi="宋体"/>
                <w:sz w:val="21"/>
              </w:rPr>
              <w:t>镍：</w:t>
            </w:r>
            <w:r>
              <w:rPr>
                <w:rFonts w:hAnsi="宋体"/>
                <w:sz w:val="21"/>
              </w:rPr>
              <w:t>0.5mg/L</w:t>
            </w:r>
          </w:p>
          <w:p>
            <w:pPr>
              <w:snapToGrid w:val="0"/>
              <w:spacing w:line="240" w:lineRule="atLeast"/>
              <w:ind w:firstLine="0" w:firstLineChars="0"/>
              <w:jc w:val="center"/>
              <w:rPr>
                <w:rFonts w:hAnsi="宋体"/>
                <w:sz w:val="21"/>
              </w:rPr>
            </w:pPr>
            <w:r>
              <w:rPr>
                <w:rFonts w:hint="eastAsia" w:hAnsi="宋体"/>
                <w:sz w:val="21"/>
              </w:rPr>
              <w:t>铜：</w:t>
            </w:r>
            <w:r>
              <w:rPr>
                <w:rFonts w:hAnsi="宋体"/>
                <w:sz w:val="21"/>
              </w:rPr>
              <w:t>0.5mg/L</w:t>
            </w:r>
          </w:p>
          <w:p>
            <w:pPr>
              <w:snapToGrid w:val="0"/>
              <w:spacing w:line="240" w:lineRule="atLeast"/>
              <w:ind w:firstLine="0" w:firstLineChars="0"/>
              <w:jc w:val="center"/>
              <w:rPr>
                <w:rFonts w:hAnsi="宋体"/>
                <w:sz w:val="21"/>
              </w:rPr>
            </w:pPr>
            <w:r>
              <w:rPr>
                <w:rFonts w:hint="eastAsia" w:hAnsi="宋体"/>
                <w:sz w:val="21"/>
              </w:rPr>
              <w:t>汞：</w:t>
            </w:r>
            <w:r>
              <w:rPr>
                <w:rFonts w:hAnsi="宋体"/>
                <w:sz w:val="21"/>
              </w:rPr>
              <w:t>0.05mg/L</w:t>
            </w:r>
          </w:p>
          <w:p>
            <w:pPr>
              <w:snapToGrid w:val="0"/>
              <w:spacing w:line="240" w:lineRule="atLeast"/>
              <w:ind w:firstLine="0" w:firstLineChars="0"/>
              <w:jc w:val="center"/>
              <w:rPr>
                <w:rFonts w:hAnsi="宋体"/>
                <w:sz w:val="21"/>
              </w:rPr>
            </w:pPr>
            <w:r>
              <w:rPr>
                <w:rFonts w:hint="eastAsia" w:hAnsi="宋体"/>
                <w:sz w:val="21"/>
              </w:rPr>
              <w:t>铅：</w:t>
            </w:r>
            <w:r>
              <w:rPr>
                <w:rFonts w:hAnsi="宋体"/>
                <w:sz w:val="21"/>
              </w:rPr>
              <w:t>1.0mg/L</w:t>
            </w:r>
          </w:p>
          <w:p>
            <w:pPr>
              <w:snapToGrid w:val="0"/>
              <w:spacing w:line="240" w:lineRule="atLeast"/>
              <w:ind w:firstLine="0" w:firstLineChars="0"/>
              <w:jc w:val="center"/>
              <w:rPr>
                <w:rFonts w:hAnsi="宋体"/>
                <w:sz w:val="21"/>
              </w:rPr>
            </w:pPr>
            <w:r>
              <w:rPr>
                <w:rFonts w:hint="eastAsia" w:hAnsi="宋体"/>
                <w:sz w:val="21"/>
              </w:rPr>
              <w:t>六价铬：</w:t>
            </w:r>
            <w:r>
              <w:rPr>
                <w:rFonts w:hAnsi="宋体"/>
                <w:sz w:val="21"/>
              </w:rPr>
              <w:t>0.5mg/L</w:t>
            </w:r>
          </w:p>
          <w:p>
            <w:pPr>
              <w:snapToGrid w:val="0"/>
              <w:spacing w:line="240" w:lineRule="atLeast"/>
              <w:ind w:firstLine="0" w:firstLineChars="0"/>
              <w:jc w:val="center"/>
              <w:rPr>
                <w:rFonts w:hAnsi="宋体"/>
                <w:sz w:val="21"/>
              </w:rPr>
            </w:pPr>
            <w:r>
              <w:rPr>
                <w:rFonts w:hint="eastAsia" w:hAnsi="宋体"/>
                <w:sz w:val="21"/>
              </w:rPr>
              <w:t>砷：</w:t>
            </w:r>
            <w:r>
              <w:rPr>
                <w:rFonts w:hAnsi="宋体"/>
                <w:sz w:val="21"/>
              </w:rPr>
              <w:t>0.5mg/L</w:t>
            </w:r>
          </w:p>
          <w:p>
            <w:pPr>
              <w:snapToGrid w:val="0"/>
              <w:spacing w:line="240" w:lineRule="atLeast"/>
              <w:ind w:firstLine="0" w:firstLineChars="0"/>
              <w:jc w:val="center"/>
              <w:rPr>
                <w:rFonts w:hAnsi="宋体"/>
                <w:sz w:val="21"/>
              </w:rPr>
            </w:pPr>
            <w:r>
              <w:rPr>
                <w:rFonts w:hint="eastAsia" w:hAnsi="宋体"/>
                <w:sz w:val="21"/>
              </w:rPr>
              <w:t>镉：</w:t>
            </w:r>
            <w:r>
              <w:rPr>
                <w:rFonts w:hAnsi="宋体"/>
                <w:sz w:val="21"/>
              </w:rPr>
              <w:t>0.1mg/L</w:t>
            </w:r>
          </w:p>
          <w:p>
            <w:pPr>
              <w:snapToGrid w:val="0"/>
              <w:spacing w:line="240" w:lineRule="atLeast"/>
              <w:ind w:firstLine="0" w:firstLineChars="0"/>
              <w:jc w:val="center"/>
              <w:rPr>
                <w:rFonts w:hAnsi="宋体"/>
                <w:sz w:val="21"/>
              </w:rPr>
            </w:pPr>
            <w:r>
              <w:rPr>
                <w:rFonts w:hint="eastAsia" w:hAnsi="宋体"/>
                <w:sz w:val="21"/>
              </w:rPr>
              <w:t>锌：</w:t>
            </w:r>
            <w:r>
              <w:rPr>
                <w:rFonts w:hAnsi="宋体"/>
                <w:sz w:val="21"/>
              </w:rPr>
              <w:t>0.5mg/L</w:t>
            </w:r>
          </w:p>
        </w:tc>
        <w:tc>
          <w:tcPr>
            <w:tcW w:w="940" w:type="dxa"/>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vAlign w:val="center"/>
          </w:tcPr>
          <w:p>
            <w:pPr>
              <w:snapToGrid w:val="0"/>
              <w:spacing w:line="240" w:lineRule="atLeast"/>
              <w:ind w:firstLine="0" w:firstLineChars="0"/>
              <w:jc w:val="center"/>
              <w:rPr>
                <w:rFonts w:hAnsi="宋体"/>
                <w:sz w:val="21"/>
              </w:rPr>
            </w:pPr>
            <w:r>
              <w:rPr>
                <w:rFonts w:hint="eastAsia" w:hAnsi="宋体"/>
                <w:sz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4" w:hRule="atLeast"/>
        </w:trPr>
        <w:tc>
          <w:tcPr>
            <w:tcW w:w="620" w:type="dxa"/>
            <w:vAlign w:val="center"/>
          </w:tcPr>
          <w:p>
            <w:pPr>
              <w:snapToGrid w:val="0"/>
              <w:spacing w:line="240" w:lineRule="atLeast"/>
              <w:ind w:firstLine="0" w:firstLineChars="0"/>
              <w:jc w:val="center"/>
              <w:rPr>
                <w:rFonts w:hAnsi="宋体"/>
                <w:sz w:val="21"/>
              </w:rPr>
            </w:pPr>
            <w:r>
              <w:rPr>
                <w:rFonts w:hint="eastAsia" w:hAnsi="宋体"/>
                <w:sz w:val="21"/>
              </w:rPr>
              <w:t>固废</w:t>
            </w:r>
          </w:p>
        </w:tc>
        <w:tc>
          <w:tcPr>
            <w:tcW w:w="640" w:type="dxa"/>
            <w:vAlign w:val="center"/>
          </w:tcPr>
          <w:p>
            <w:pPr>
              <w:snapToGrid w:val="0"/>
              <w:spacing w:line="240" w:lineRule="atLeast"/>
              <w:ind w:firstLine="0" w:firstLineChars="0"/>
              <w:jc w:val="center"/>
              <w:rPr>
                <w:rFonts w:hAnsi="宋体"/>
                <w:sz w:val="21"/>
              </w:rPr>
            </w:pPr>
            <w:r>
              <w:rPr>
                <w:rFonts w:hAnsi="宋体"/>
                <w:sz w:val="21"/>
              </w:rPr>
              <w:t>S1</w:t>
            </w:r>
          </w:p>
        </w:tc>
        <w:tc>
          <w:tcPr>
            <w:tcW w:w="2041" w:type="dxa"/>
            <w:vAlign w:val="center"/>
          </w:tcPr>
          <w:p>
            <w:pPr>
              <w:snapToGrid w:val="0"/>
              <w:spacing w:line="240" w:lineRule="atLeast"/>
              <w:ind w:firstLine="0" w:firstLineChars="0"/>
              <w:jc w:val="center"/>
              <w:rPr>
                <w:rFonts w:hAnsi="宋体"/>
                <w:sz w:val="21"/>
              </w:rPr>
            </w:pPr>
            <w:r>
              <w:rPr>
                <w:rFonts w:hint="eastAsia" w:hAnsi="宋体"/>
                <w:sz w:val="21"/>
              </w:rPr>
              <w:t>有机废气净化器</w:t>
            </w:r>
          </w:p>
          <w:p>
            <w:pPr>
              <w:snapToGrid w:val="0"/>
              <w:spacing w:line="240" w:lineRule="atLeast"/>
              <w:ind w:firstLine="0" w:firstLineChars="0"/>
              <w:jc w:val="center"/>
              <w:rPr>
                <w:rFonts w:hAnsi="宋体"/>
                <w:sz w:val="21"/>
              </w:rPr>
            </w:pPr>
            <w:r>
              <w:rPr>
                <w:rFonts w:hint="eastAsia" w:hAnsi="宋体"/>
                <w:sz w:val="21"/>
              </w:rPr>
              <w:t>废渣</w:t>
            </w:r>
          </w:p>
        </w:tc>
        <w:tc>
          <w:tcPr>
            <w:tcW w:w="931" w:type="dxa"/>
            <w:vAlign w:val="center"/>
          </w:tcPr>
          <w:p>
            <w:pPr>
              <w:snapToGrid w:val="0"/>
              <w:spacing w:line="240" w:lineRule="atLeast"/>
              <w:ind w:firstLine="0" w:firstLineChars="0"/>
              <w:jc w:val="center"/>
              <w:rPr>
                <w:rFonts w:hAnsi="宋体"/>
                <w:sz w:val="21"/>
              </w:rPr>
            </w:pPr>
            <w:r>
              <w:rPr>
                <w:rFonts w:hint="eastAsia" w:hAnsi="宋体"/>
                <w:sz w:val="21"/>
              </w:rPr>
              <w:t>23</w:t>
            </w:r>
            <w:r>
              <w:rPr>
                <w:rFonts w:hAnsi="宋体"/>
                <w:sz w:val="21"/>
              </w:rPr>
              <w:t>.7t/a</w:t>
            </w:r>
          </w:p>
        </w:tc>
        <w:tc>
          <w:tcPr>
            <w:tcW w:w="2351" w:type="dxa"/>
            <w:vAlign w:val="center"/>
          </w:tcPr>
          <w:p>
            <w:pPr>
              <w:snapToGrid w:val="0"/>
              <w:spacing w:line="240" w:lineRule="atLeast"/>
              <w:ind w:firstLine="0" w:firstLineChars="0"/>
              <w:jc w:val="center"/>
              <w:rPr>
                <w:rFonts w:hAnsi="宋体"/>
                <w:sz w:val="21"/>
              </w:rPr>
            </w:pPr>
            <w:r>
              <w:rPr>
                <w:rFonts w:hint="eastAsia" w:hAnsi="宋体"/>
                <w:sz w:val="21"/>
              </w:rPr>
              <w:t>废活性炭</w:t>
            </w:r>
          </w:p>
        </w:tc>
        <w:tc>
          <w:tcPr>
            <w:tcW w:w="940" w:type="dxa"/>
            <w:vAlign w:val="center"/>
          </w:tcPr>
          <w:p>
            <w:pPr>
              <w:snapToGrid w:val="0"/>
              <w:spacing w:line="240" w:lineRule="atLeast"/>
              <w:ind w:firstLine="0" w:firstLineChars="0"/>
              <w:jc w:val="center"/>
              <w:rPr>
                <w:rFonts w:hAnsi="宋体"/>
                <w:sz w:val="21"/>
              </w:rPr>
            </w:pPr>
            <w:r>
              <w:rPr>
                <w:rFonts w:hint="eastAsia" w:hAnsi="宋体"/>
                <w:sz w:val="21"/>
              </w:rPr>
              <w:t>间断，次</w:t>
            </w:r>
            <w:r>
              <w:rPr>
                <w:rFonts w:hAnsi="宋体"/>
                <w:sz w:val="21"/>
              </w:rPr>
              <w:t>/1</w:t>
            </w:r>
            <w:r>
              <w:rPr>
                <w:rFonts w:hint="eastAsia" w:hAnsi="宋体"/>
                <w:sz w:val="21"/>
              </w:rPr>
              <w:t>月</w:t>
            </w:r>
          </w:p>
        </w:tc>
        <w:tc>
          <w:tcPr>
            <w:tcW w:w="1763" w:type="dxa"/>
            <w:vAlign w:val="center"/>
          </w:tcPr>
          <w:p>
            <w:pPr>
              <w:snapToGrid w:val="0"/>
              <w:spacing w:line="240" w:lineRule="atLeast"/>
              <w:ind w:firstLine="0" w:firstLineChars="0"/>
              <w:jc w:val="center"/>
              <w:rPr>
                <w:rFonts w:hAnsi="宋体"/>
                <w:sz w:val="21"/>
              </w:rPr>
            </w:pPr>
            <w:r>
              <w:rPr>
                <w:rFonts w:hint="eastAsia" w:hAnsi="宋体"/>
                <w:sz w:val="21"/>
              </w:rPr>
              <w:t>送至焚烧车间</w:t>
            </w:r>
          </w:p>
        </w:tc>
      </w:tr>
    </w:tbl>
    <w:p>
      <w:pPr>
        <w:autoSpaceDE w:val="0"/>
        <w:autoSpaceDN w:val="0"/>
        <w:ind w:firstLine="480"/>
      </w:pPr>
    </w:p>
    <w:p>
      <w:pPr>
        <w:autoSpaceDE w:val="0"/>
        <w:autoSpaceDN w:val="0"/>
        <w:ind w:firstLine="480"/>
      </w:pPr>
      <w:r>
        <w:rPr>
          <w:rFonts w:hint="eastAsia"/>
        </w:rPr>
        <w:t>表</w:t>
      </w:r>
      <w:r>
        <w:t>4.</w:t>
      </w:r>
      <w:r>
        <w:rPr>
          <w:rFonts w:hint="eastAsia"/>
        </w:rPr>
        <w:t>4—</w:t>
      </w:r>
      <w:r>
        <w:t xml:space="preserve">3             </w:t>
      </w:r>
      <w:r>
        <w:rPr>
          <w:rFonts w:hint="eastAsia"/>
        </w:rPr>
        <w:t>危废暂存无组织废气产生情况</w:t>
      </w:r>
    </w:p>
    <w:tbl>
      <w:tblPr>
        <w:tblStyle w:val="88"/>
        <w:tblW w:w="5000" w:type="pct"/>
        <w:tblInd w:w="0" w:type="dxa"/>
        <w:tblLayout w:type="fixed"/>
        <w:tblCellMar>
          <w:top w:w="0" w:type="dxa"/>
          <w:left w:w="108" w:type="dxa"/>
          <w:bottom w:w="0" w:type="dxa"/>
          <w:right w:w="108" w:type="dxa"/>
        </w:tblCellMar>
      </w:tblPr>
      <w:tblGrid>
        <w:gridCol w:w="3629"/>
        <w:gridCol w:w="3113"/>
        <w:gridCol w:w="3112"/>
      </w:tblGrid>
      <w:tr>
        <w:tblPrEx>
          <w:tblCellMar>
            <w:top w:w="0" w:type="dxa"/>
            <w:left w:w="108" w:type="dxa"/>
            <w:bottom w:w="0" w:type="dxa"/>
            <w:right w:w="108" w:type="dxa"/>
          </w:tblCellMar>
        </w:tblPrEx>
        <w:trPr>
          <w:trHeight w:val="270" w:hRule="atLeast"/>
        </w:trPr>
        <w:tc>
          <w:tcPr>
            <w:tcW w:w="3419" w:type="dxa"/>
            <w:vMerge w:val="restart"/>
            <w:tcBorders>
              <w:top w:val="single" w:color="000000" w:sz="12"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hAnsi="宋体"/>
                <w:sz w:val="21"/>
              </w:rPr>
              <w:t>污染物名称</w:t>
            </w:r>
          </w:p>
        </w:tc>
        <w:tc>
          <w:tcPr>
            <w:tcW w:w="5867" w:type="dxa"/>
            <w:gridSpan w:val="2"/>
            <w:tcBorders>
              <w:top w:val="single" w:color="000000" w:sz="12" w:space="0"/>
              <w:left w:val="dotted" w:color="auto" w:sz="4" w:space="0"/>
              <w:bottom w:val="dotted" w:color="auto" w:sz="4" w:space="0"/>
            </w:tcBorders>
            <w:vAlign w:val="center"/>
          </w:tcPr>
          <w:p>
            <w:pPr>
              <w:spacing w:line="240" w:lineRule="atLeast"/>
              <w:ind w:firstLine="0" w:firstLineChars="0"/>
              <w:jc w:val="center"/>
              <w:rPr>
                <w:sz w:val="21"/>
              </w:rPr>
            </w:pPr>
            <w:r>
              <w:rPr>
                <w:rFonts w:hint="eastAsia" w:hAnsi="宋体"/>
                <w:sz w:val="21"/>
              </w:rPr>
              <w:t>主要成分</w:t>
            </w:r>
          </w:p>
        </w:tc>
      </w:tr>
      <w:tr>
        <w:tblPrEx>
          <w:tblCellMar>
            <w:top w:w="0" w:type="dxa"/>
            <w:left w:w="108" w:type="dxa"/>
            <w:bottom w:w="0" w:type="dxa"/>
            <w:right w:w="108" w:type="dxa"/>
          </w:tblCellMar>
        </w:tblPrEx>
        <w:trPr>
          <w:trHeight w:val="336" w:hRule="atLeast"/>
        </w:trPr>
        <w:tc>
          <w:tcPr>
            <w:tcW w:w="3419"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名称</w:t>
            </w:r>
          </w:p>
        </w:tc>
        <w:tc>
          <w:tcPr>
            <w:tcW w:w="2933"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rFonts w:hAnsi="宋体"/>
                <w:sz w:val="21"/>
              </w:rPr>
            </w:pPr>
            <w:r>
              <w:rPr>
                <w:rFonts w:hint="eastAsia" w:hAnsi="宋体"/>
                <w:sz w:val="21"/>
              </w:rPr>
              <w:t>速率</w:t>
            </w:r>
            <w:r>
              <w:rPr>
                <w:rFonts w:hAnsi="宋体"/>
                <w:sz w:val="21"/>
              </w:rPr>
              <w:t>(kg/h)</w:t>
            </w:r>
          </w:p>
        </w:tc>
      </w:tr>
      <w:tr>
        <w:tblPrEx>
          <w:tblCellMar>
            <w:top w:w="0" w:type="dxa"/>
            <w:left w:w="108" w:type="dxa"/>
            <w:bottom w:w="0" w:type="dxa"/>
            <w:right w:w="108" w:type="dxa"/>
          </w:tblCellMar>
        </w:tblPrEx>
        <w:trPr>
          <w:trHeight w:val="398" w:hRule="atLeast"/>
        </w:trPr>
        <w:tc>
          <w:tcPr>
            <w:tcW w:w="3419" w:type="dxa"/>
            <w:vMerge w:val="restart"/>
            <w:tcBorders>
              <w:top w:val="single" w:color="auto" w:sz="12" w:space="0"/>
              <w:left w:val="nil"/>
              <w:right w:val="dotted" w:color="auto" w:sz="4" w:space="0"/>
            </w:tcBorders>
            <w:vAlign w:val="center"/>
          </w:tcPr>
          <w:p>
            <w:pPr>
              <w:spacing w:line="240" w:lineRule="atLeast"/>
              <w:ind w:firstLine="0" w:firstLineChars="0"/>
              <w:jc w:val="center"/>
              <w:rPr>
                <w:sz w:val="21"/>
              </w:rPr>
            </w:pPr>
            <w:r>
              <w:rPr>
                <w:rFonts w:hint="eastAsia"/>
                <w:sz w:val="21"/>
              </w:rPr>
              <w:t>危废暂存装置</w:t>
            </w:r>
          </w:p>
          <w:p>
            <w:pPr>
              <w:spacing w:line="240" w:lineRule="atLeast"/>
              <w:ind w:firstLine="0" w:firstLineChars="0"/>
              <w:jc w:val="center"/>
              <w:rPr>
                <w:sz w:val="21"/>
              </w:rPr>
            </w:pPr>
            <w:r>
              <w:rPr>
                <w:rFonts w:hint="eastAsia"/>
                <w:sz w:val="21"/>
              </w:rPr>
              <w:t>无组织废气</w:t>
            </w:r>
          </w:p>
        </w:tc>
        <w:tc>
          <w:tcPr>
            <w:tcW w:w="2934"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VOC</w:t>
            </w:r>
          </w:p>
        </w:tc>
        <w:tc>
          <w:tcPr>
            <w:tcW w:w="2933"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3.63</w:t>
            </w:r>
          </w:p>
        </w:tc>
      </w:tr>
      <w:tr>
        <w:tblPrEx>
          <w:tblCellMar>
            <w:top w:w="0" w:type="dxa"/>
            <w:left w:w="108" w:type="dxa"/>
            <w:bottom w:w="0" w:type="dxa"/>
            <w:right w:w="108" w:type="dxa"/>
          </w:tblCellMar>
        </w:tblPrEx>
        <w:trPr>
          <w:trHeight w:val="403" w:hRule="atLeast"/>
        </w:trPr>
        <w:tc>
          <w:tcPr>
            <w:tcW w:w="3419" w:type="dxa"/>
            <w:vMerge w:val="continue"/>
            <w:tcBorders>
              <w:left w:val="nil"/>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H</w:t>
            </w:r>
            <w:r>
              <w:rPr>
                <w:sz w:val="21"/>
                <w:vertAlign w:val="subscript"/>
              </w:rPr>
              <w:t>2</w:t>
            </w:r>
            <w:r>
              <w:rPr>
                <w:sz w:val="21"/>
              </w:rPr>
              <w:t>S</w:t>
            </w:r>
          </w:p>
        </w:tc>
        <w:tc>
          <w:tcPr>
            <w:tcW w:w="293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0.0</w:t>
            </w:r>
            <w:r>
              <w:rPr>
                <w:rFonts w:hint="eastAsia"/>
                <w:sz w:val="21"/>
              </w:rPr>
              <w:t>135</w:t>
            </w:r>
          </w:p>
        </w:tc>
      </w:tr>
      <w:tr>
        <w:tblPrEx>
          <w:tblCellMar>
            <w:top w:w="0" w:type="dxa"/>
            <w:left w:w="108" w:type="dxa"/>
            <w:bottom w:w="0" w:type="dxa"/>
            <w:right w:w="108" w:type="dxa"/>
          </w:tblCellMar>
        </w:tblPrEx>
        <w:trPr>
          <w:trHeight w:val="419" w:hRule="atLeast"/>
        </w:trPr>
        <w:tc>
          <w:tcPr>
            <w:tcW w:w="3419" w:type="dxa"/>
            <w:vMerge w:val="continue"/>
            <w:tcBorders>
              <w:left w:val="nil"/>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NH</w:t>
            </w:r>
            <w:r>
              <w:rPr>
                <w:sz w:val="21"/>
                <w:vertAlign w:val="subscript"/>
              </w:rPr>
              <w:t>3</w:t>
            </w:r>
          </w:p>
        </w:tc>
        <w:tc>
          <w:tcPr>
            <w:tcW w:w="293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0.0</w:t>
            </w:r>
            <w:r>
              <w:rPr>
                <w:rFonts w:hint="eastAsia"/>
                <w:sz w:val="21"/>
              </w:rPr>
              <w:t>297</w:t>
            </w:r>
          </w:p>
        </w:tc>
      </w:tr>
      <w:tr>
        <w:tblPrEx>
          <w:tblCellMar>
            <w:top w:w="0" w:type="dxa"/>
            <w:left w:w="108" w:type="dxa"/>
            <w:bottom w:w="0" w:type="dxa"/>
            <w:right w:w="108" w:type="dxa"/>
          </w:tblCellMar>
        </w:tblPrEx>
        <w:trPr>
          <w:trHeight w:val="411" w:hRule="atLeast"/>
        </w:trPr>
        <w:tc>
          <w:tcPr>
            <w:tcW w:w="3419" w:type="dxa"/>
            <w:vMerge w:val="continue"/>
            <w:tcBorders>
              <w:left w:val="nil"/>
              <w:bottom w:val="single" w:color="000000" w:sz="12" w:space="0"/>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rFonts w:hint="eastAsia"/>
                <w:sz w:val="21"/>
              </w:rPr>
              <w:t>酸雾</w:t>
            </w:r>
          </w:p>
        </w:tc>
        <w:tc>
          <w:tcPr>
            <w:tcW w:w="2933"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sz w:val="21"/>
              </w:rPr>
            </w:pPr>
            <w:r>
              <w:rPr>
                <w:sz w:val="21"/>
              </w:rPr>
              <w:t>0.0</w:t>
            </w:r>
            <w:r>
              <w:rPr>
                <w:rFonts w:hint="eastAsia"/>
                <w:sz w:val="21"/>
              </w:rPr>
              <w:t>9</w:t>
            </w:r>
          </w:p>
        </w:tc>
      </w:tr>
      <w:bookmarkEnd w:id="223"/>
    </w:tbl>
    <w:p>
      <w:pPr>
        <w:ind w:firstLine="480"/>
        <w:rPr>
          <w:rFonts w:asciiTheme="minorEastAsia" w:hAnsiTheme="minorEastAsia" w:eastAsiaTheme="minorEastAsia"/>
          <w:szCs w:val="24"/>
        </w:rPr>
      </w:pPr>
    </w:p>
    <w:p>
      <w:pPr>
        <w:pStyle w:val="4"/>
      </w:pPr>
      <w:bookmarkStart w:id="228" w:name="_Toc13760142"/>
      <w:r>
        <w:rPr>
          <w:rFonts w:hint="eastAsia"/>
        </w:rPr>
        <w:t>4.5改扩建后物化系统</w:t>
      </w:r>
      <w:bookmarkEnd w:id="228"/>
    </w:p>
    <w:p>
      <w:pPr>
        <w:pStyle w:val="5"/>
      </w:pPr>
      <w:bookmarkStart w:id="229" w:name="_Toc503368881"/>
      <w:bookmarkStart w:id="230" w:name="_Toc13760143"/>
      <w:r>
        <w:t>4.</w:t>
      </w:r>
      <w:r>
        <w:rPr>
          <w:rFonts w:hint="eastAsia"/>
        </w:rPr>
        <w:t>5</w:t>
      </w:r>
      <w:r>
        <w:t>.1</w:t>
      </w:r>
      <w:r>
        <w:rPr>
          <w:rFonts w:hint="eastAsia"/>
        </w:rPr>
        <w:t>废物性质及处理规模</w:t>
      </w:r>
      <w:bookmarkEnd w:id="229"/>
      <w:bookmarkEnd w:id="230"/>
    </w:p>
    <w:p>
      <w:pPr>
        <w:ind w:firstLine="480"/>
      </w:pPr>
      <w:r>
        <w:rPr>
          <w:rFonts w:hint="eastAsia"/>
        </w:rPr>
        <w:t>本次物化处理的危险废物为废酸、废碱及乳化液，废酸废碱废乳化液处理工艺与之前的环评没变化，只是处理规模扩大。</w:t>
      </w:r>
      <w:r>
        <w:rPr>
          <w:rFonts w:hint="eastAsia" w:asciiTheme="minorEastAsia" w:hAnsiTheme="minorEastAsia" w:eastAsiaTheme="minorEastAsia"/>
          <w:szCs w:val="24"/>
        </w:rPr>
        <w:t>本次针对改扩建内容产排污进行分析评价。</w:t>
      </w:r>
    </w:p>
    <w:p>
      <w:pPr>
        <w:ind w:firstLine="480"/>
      </w:pPr>
      <w:r>
        <w:rPr>
          <w:rFonts w:hint="eastAsia"/>
        </w:rPr>
        <w:t>物化车间处理的危险废物形态主要包括固态和液态，其处理的废物种类见表</w:t>
      </w:r>
      <w:r>
        <w:t>4.</w:t>
      </w:r>
      <w:r>
        <w:rPr>
          <w:rFonts w:hint="eastAsia"/>
        </w:rPr>
        <w:t>5—</w:t>
      </w:r>
      <w:r>
        <w:t>1</w:t>
      </w:r>
      <w:r>
        <w:rPr>
          <w:rFonts w:hint="eastAsia"/>
        </w:rPr>
        <w:t>。</w:t>
      </w:r>
    </w:p>
    <w:p>
      <w:pPr>
        <w:ind w:firstLine="480"/>
      </w:pPr>
    </w:p>
    <w:p>
      <w:pPr>
        <w:ind w:firstLine="480"/>
      </w:pPr>
    </w:p>
    <w:p>
      <w:pPr>
        <w:ind w:firstLine="480"/>
      </w:pPr>
    </w:p>
    <w:p>
      <w:pPr>
        <w:ind w:firstLine="480"/>
      </w:pPr>
      <w:r>
        <w:rPr>
          <w:rFonts w:hint="eastAsia"/>
        </w:rPr>
        <w:t>表</w:t>
      </w:r>
      <w:r>
        <w:t>4.</w:t>
      </w:r>
      <w:r>
        <w:rPr>
          <w:rFonts w:hint="eastAsia"/>
        </w:rPr>
        <w:t>5—</w:t>
      </w:r>
      <w:r>
        <w:t xml:space="preserve">1          </w:t>
      </w:r>
      <w:r>
        <w:rPr>
          <w:rFonts w:hint="eastAsia"/>
        </w:rPr>
        <w:t>改扩建项目物化车间处置废物种类一览表</w:t>
      </w:r>
    </w:p>
    <w:tbl>
      <w:tblPr>
        <w:tblStyle w:val="88"/>
        <w:tblW w:w="5000" w:type="pct"/>
        <w:tblInd w:w="0" w:type="dxa"/>
        <w:tblLayout w:type="fixed"/>
        <w:tblCellMar>
          <w:top w:w="0" w:type="dxa"/>
          <w:left w:w="108" w:type="dxa"/>
          <w:bottom w:w="0" w:type="dxa"/>
          <w:right w:w="108" w:type="dxa"/>
        </w:tblCellMar>
      </w:tblPr>
      <w:tblGrid>
        <w:gridCol w:w="539"/>
        <w:gridCol w:w="877"/>
        <w:gridCol w:w="1512"/>
        <w:gridCol w:w="1385"/>
        <w:gridCol w:w="1695"/>
        <w:gridCol w:w="891"/>
        <w:gridCol w:w="1338"/>
        <w:gridCol w:w="1617"/>
      </w:tblGrid>
      <w:tr>
        <w:tblPrEx>
          <w:tblCellMar>
            <w:top w:w="0" w:type="dxa"/>
            <w:left w:w="108" w:type="dxa"/>
            <w:bottom w:w="0" w:type="dxa"/>
            <w:right w:w="108" w:type="dxa"/>
          </w:tblCellMar>
        </w:tblPrEx>
        <w:trPr>
          <w:trHeight w:val="340" w:hRule="atLeast"/>
        </w:trPr>
        <w:tc>
          <w:tcPr>
            <w:tcW w:w="508" w:type="dxa"/>
            <w:tcBorders>
              <w:top w:val="single" w:color="000000" w:sz="12"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序号</w:t>
            </w:r>
          </w:p>
        </w:tc>
        <w:tc>
          <w:tcPr>
            <w:tcW w:w="826"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编号</w:t>
            </w:r>
          </w:p>
        </w:tc>
        <w:tc>
          <w:tcPr>
            <w:tcW w:w="1425"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废物类别</w:t>
            </w:r>
          </w:p>
        </w:tc>
        <w:tc>
          <w:tcPr>
            <w:tcW w:w="1305"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本项目处理量</w:t>
            </w:r>
            <w:r>
              <w:rPr>
                <w:sz w:val="21"/>
              </w:rPr>
              <w:t>(t/a)</w:t>
            </w:r>
          </w:p>
        </w:tc>
        <w:tc>
          <w:tcPr>
            <w:tcW w:w="1597"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来源</w:t>
            </w:r>
          </w:p>
        </w:tc>
        <w:tc>
          <w:tcPr>
            <w:tcW w:w="840"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形态</w:t>
            </w:r>
          </w:p>
        </w:tc>
        <w:tc>
          <w:tcPr>
            <w:tcW w:w="1261"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性质</w:t>
            </w:r>
          </w:p>
        </w:tc>
        <w:tc>
          <w:tcPr>
            <w:tcW w:w="1524" w:type="dxa"/>
            <w:tcBorders>
              <w:top w:val="single" w:color="000000" w:sz="12" w:space="0"/>
              <w:left w:val="dotted" w:color="auto" w:sz="4" w:space="0"/>
              <w:bottom w:val="single" w:color="auto" w:sz="12" w:space="0"/>
            </w:tcBorders>
            <w:vAlign w:val="center"/>
          </w:tcPr>
          <w:p>
            <w:pPr>
              <w:adjustRightInd w:val="0"/>
              <w:snapToGrid w:val="0"/>
              <w:spacing w:line="240" w:lineRule="atLeast"/>
              <w:ind w:firstLine="0" w:firstLineChars="0"/>
              <w:jc w:val="center"/>
              <w:rPr>
                <w:sz w:val="21"/>
              </w:rPr>
            </w:pPr>
            <w:r>
              <w:rPr>
                <w:rFonts w:hint="eastAsia"/>
                <w:sz w:val="21"/>
              </w:rPr>
              <w:t>备注</w:t>
            </w:r>
          </w:p>
        </w:tc>
      </w:tr>
      <w:tr>
        <w:tblPrEx>
          <w:tblCellMar>
            <w:top w:w="0" w:type="dxa"/>
            <w:left w:w="108" w:type="dxa"/>
            <w:bottom w:w="0" w:type="dxa"/>
            <w:right w:w="108" w:type="dxa"/>
          </w:tblCellMar>
        </w:tblPrEx>
        <w:trPr>
          <w:trHeight w:val="710" w:hRule="atLeast"/>
        </w:trPr>
        <w:tc>
          <w:tcPr>
            <w:tcW w:w="508"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w:t>
            </w:r>
          </w:p>
        </w:tc>
        <w:tc>
          <w:tcPr>
            <w:tcW w:w="82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HW34</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废酸</w:t>
            </w:r>
          </w:p>
        </w:tc>
        <w:tc>
          <w:tcPr>
            <w:tcW w:w="1305" w:type="dxa"/>
            <w:vMerge w:val="restart"/>
            <w:tcBorders>
              <w:top w:val="dotted" w:color="auto" w:sz="4" w:space="0"/>
              <w:left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1000</w:t>
            </w:r>
            <w:r>
              <w:rPr>
                <w:rFonts w:hint="eastAsia"/>
                <w:sz w:val="21"/>
              </w:rPr>
              <w:t>0</w:t>
            </w:r>
          </w:p>
        </w:tc>
        <w:tc>
          <w:tcPr>
            <w:tcW w:w="1597" w:type="dxa"/>
            <w:vMerge w:val="restart"/>
            <w:tcBorders>
              <w:top w:val="dotted" w:color="auto" w:sz="4" w:space="0"/>
              <w:left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来自于精细化工、</w:t>
            </w:r>
            <w:r>
              <w:rPr>
                <w:sz w:val="21"/>
              </w:rPr>
              <w:t>PVC</w:t>
            </w:r>
            <w:r>
              <w:rPr>
                <w:rFonts w:hint="eastAsia"/>
                <w:sz w:val="21"/>
              </w:rPr>
              <w:t>制造等行业的各类废酸</w:t>
            </w:r>
          </w:p>
        </w:tc>
        <w:tc>
          <w:tcPr>
            <w:tcW w:w="840" w:type="dxa"/>
            <w:vMerge w:val="restart"/>
            <w:tcBorders>
              <w:top w:val="dotted" w:color="auto" w:sz="4" w:space="0"/>
              <w:left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液态</w:t>
            </w:r>
          </w:p>
        </w:tc>
        <w:tc>
          <w:tcPr>
            <w:tcW w:w="1261" w:type="dxa"/>
            <w:vMerge w:val="restart"/>
            <w:tcBorders>
              <w:top w:val="dotted" w:color="auto" w:sz="4" w:space="0"/>
              <w:left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毒性</w:t>
            </w:r>
            <w:r>
              <w:rPr>
                <w:sz w:val="21"/>
              </w:rPr>
              <w:t>/</w:t>
            </w:r>
            <w:r>
              <w:rPr>
                <w:rFonts w:hint="eastAsia"/>
                <w:sz w:val="21"/>
              </w:rPr>
              <w:t>腐蚀性</w:t>
            </w:r>
          </w:p>
        </w:tc>
        <w:tc>
          <w:tcPr>
            <w:tcW w:w="1524" w:type="dxa"/>
            <w:vMerge w:val="restart"/>
            <w:tcBorders>
              <w:top w:val="dotted" w:color="auto" w:sz="4" w:space="0"/>
              <w:left w:val="dotted" w:color="auto" w:sz="4" w:space="0"/>
              <w:right w:val="nil"/>
            </w:tcBorders>
            <w:vAlign w:val="center"/>
          </w:tcPr>
          <w:p>
            <w:pPr>
              <w:adjustRightInd w:val="0"/>
              <w:snapToGrid w:val="0"/>
              <w:spacing w:line="240" w:lineRule="atLeast"/>
              <w:ind w:firstLine="0" w:firstLineChars="0"/>
              <w:jc w:val="center"/>
              <w:rPr>
                <w:sz w:val="21"/>
              </w:rPr>
            </w:pPr>
            <w:r>
              <w:rPr>
                <w:sz w:val="21"/>
              </w:rPr>
              <w:t>pH&lt;1</w:t>
            </w:r>
            <w:r>
              <w:rPr>
                <w:rFonts w:hint="eastAsia" w:hAnsi="Arial"/>
                <w:sz w:val="21"/>
              </w:rPr>
              <w:t>，主</w:t>
            </w:r>
            <w:r>
              <w:rPr>
                <w:rFonts w:hint="eastAsia"/>
                <w:sz w:val="21"/>
              </w:rPr>
              <w:t>要是含</w:t>
            </w:r>
            <w:r>
              <w:rPr>
                <w:sz w:val="21"/>
              </w:rPr>
              <w:t>HCl</w:t>
            </w:r>
            <w:r>
              <w:rPr>
                <w:rFonts w:hint="eastAsia"/>
                <w:sz w:val="21"/>
              </w:rPr>
              <w:t>、</w:t>
            </w:r>
            <w:r>
              <w:rPr>
                <w:sz w:val="21"/>
              </w:rPr>
              <w:t>H</w:t>
            </w:r>
            <w:r>
              <w:rPr>
                <w:sz w:val="21"/>
                <w:vertAlign w:val="subscript"/>
              </w:rPr>
              <w:t>2</w:t>
            </w:r>
            <w:r>
              <w:rPr>
                <w:sz w:val="21"/>
              </w:rPr>
              <w:t>SO</w:t>
            </w:r>
            <w:r>
              <w:rPr>
                <w:sz w:val="21"/>
                <w:vertAlign w:val="subscript"/>
              </w:rPr>
              <w:t>4</w:t>
            </w:r>
            <w:r>
              <w:rPr>
                <w:rFonts w:hint="eastAsia"/>
                <w:sz w:val="21"/>
              </w:rPr>
              <w:t>、</w:t>
            </w:r>
            <w:r>
              <w:rPr>
                <w:sz w:val="21"/>
              </w:rPr>
              <w:t>HF</w:t>
            </w:r>
            <w:r>
              <w:rPr>
                <w:rFonts w:hint="eastAsia"/>
                <w:sz w:val="21"/>
              </w:rPr>
              <w:t>等废液，还含有少量重金属离子。</w:t>
            </w:r>
          </w:p>
        </w:tc>
      </w:tr>
      <w:tr>
        <w:tblPrEx>
          <w:tblCellMar>
            <w:top w:w="0" w:type="dxa"/>
            <w:left w:w="108" w:type="dxa"/>
            <w:bottom w:w="0" w:type="dxa"/>
            <w:right w:w="108" w:type="dxa"/>
          </w:tblCellMar>
        </w:tblPrEx>
        <w:trPr>
          <w:trHeight w:val="340" w:hRule="atLeast"/>
        </w:trPr>
        <w:tc>
          <w:tcPr>
            <w:tcW w:w="508"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2</w:t>
            </w:r>
          </w:p>
        </w:tc>
        <w:tc>
          <w:tcPr>
            <w:tcW w:w="82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HW32</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无机氟化物废物</w:t>
            </w:r>
          </w:p>
        </w:tc>
        <w:tc>
          <w:tcPr>
            <w:tcW w:w="1305" w:type="dxa"/>
            <w:vMerge w:val="continue"/>
            <w:tcBorders>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1597" w:type="dxa"/>
            <w:vMerge w:val="continue"/>
            <w:tcBorders>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840" w:type="dxa"/>
            <w:vMerge w:val="continue"/>
            <w:tcBorders>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1261" w:type="dxa"/>
            <w:vMerge w:val="continue"/>
            <w:tcBorders>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1524" w:type="dxa"/>
            <w:vMerge w:val="continue"/>
            <w:tcBorders>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p>
        </w:tc>
      </w:tr>
      <w:tr>
        <w:tblPrEx>
          <w:tblCellMar>
            <w:top w:w="0" w:type="dxa"/>
            <w:left w:w="108" w:type="dxa"/>
            <w:bottom w:w="0" w:type="dxa"/>
            <w:right w:w="108" w:type="dxa"/>
          </w:tblCellMar>
        </w:tblPrEx>
        <w:trPr>
          <w:trHeight w:val="340" w:hRule="atLeast"/>
        </w:trPr>
        <w:tc>
          <w:tcPr>
            <w:tcW w:w="508"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3</w:t>
            </w:r>
          </w:p>
        </w:tc>
        <w:tc>
          <w:tcPr>
            <w:tcW w:w="82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HW21</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含铬废水</w:t>
            </w:r>
          </w:p>
        </w:tc>
        <w:tc>
          <w:tcPr>
            <w:tcW w:w="1305" w:type="dxa"/>
            <w:vMerge w:val="restart"/>
            <w:tcBorders>
              <w:top w:val="dotted" w:color="auto" w:sz="4" w:space="0"/>
              <w:left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1000</w:t>
            </w:r>
            <w:r>
              <w:rPr>
                <w:rFonts w:hint="eastAsia"/>
                <w:sz w:val="21"/>
              </w:rPr>
              <w:t>0</w:t>
            </w:r>
          </w:p>
        </w:tc>
        <w:tc>
          <w:tcPr>
            <w:tcW w:w="1597" w:type="dxa"/>
            <w:vMerge w:val="restart"/>
            <w:tcBorders>
              <w:top w:val="dotted" w:color="auto" w:sz="4" w:space="0"/>
              <w:left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来自化学品制造、造纸等行业产生的各类废碱</w:t>
            </w:r>
          </w:p>
        </w:tc>
        <w:tc>
          <w:tcPr>
            <w:tcW w:w="840" w:type="dxa"/>
            <w:vMerge w:val="restart"/>
            <w:tcBorders>
              <w:top w:val="dotted" w:color="auto" w:sz="4" w:space="0"/>
              <w:left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液态</w:t>
            </w:r>
          </w:p>
        </w:tc>
        <w:tc>
          <w:tcPr>
            <w:tcW w:w="1261" w:type="dxa"/>
            <w:vMerge w:val="restart"/>
            <w:tcBorders>
              <w:top w:val="dotted" w:color="auto" w:sz="4" w:space="0"/>
              <w:left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毒性</w:t>
            </w:r>
            <w:r>
              <w:rPr>
                <w:sz w:val="21"/>
              </w:rPr>
              <w:t>/</w:t>
            </w:r>
            <w:r>
              <w:rPr>
                <w:rFonts w:hint="eastAsia"/>
                <w:sz w:val="21"/>
              </w:rPr>
              <w:t>腐蚀性</w:t>
            </w:r>
          </w:p>
        </w:tc>
        <w:tc>
          <w:tcPr>
            <w:tcW w:w="1524" w:type="dxa"/>
            <w:vMerge w:val="restart"/>
            <w:tcBorders>
              <w:top w:val="dotted" w:color="auto" w:sz="4" w:space="0"/>
              <w:left w:val="dotted" w:color="auto" w:sz="4" w:space="0"/>
              <w:right w:val="nil"/>
            </w:tcBorders>
            <w:vAlign w:val="center"/>
          </w:tcPr>
          <w:p>
            <w:pPr>
              <w:adjustRightInd w:val="0"/>
              <w:snapToGrid w:val="0"/>
              <w:spacing w:line="240" w:lineRule="atLeast"/>
              <w:ind w:firstLine="0" w:firstLineChars="0"/>
              <w:jc w:val="center"/>
              <w:rPr>
                <w:sz w:val="21"/>
              </w:rPr>
            </w:pPr>
            <w:r>
              <w:rPr>
                <w:rFonts w:ascii="Arial" w:hAnsi="Arial" w:cs="Arial"/>
                <w:sz w:val="21"/>
              </w:rPr>
              <w:t>p</w:t>
            </w:r>
            <w:r>
              <w:rPr>
                <w:sz w:val="21"/>
              </w:rPr>
              <w:t>H&gt;14</w:t>
            </w:r>
            <w:r>
              <w:rPr>
                <w:rFonts w:hint="eastAsia"/>
                <w:sz w:val="21"/>
              </w:rPr>
              <w:t>，主要成分为</w:t>
            </w:r>
            <w:r>
              <w:rPr>
                <w:sz w:val="21"/>
              </w:rPr>
              <w:t>NaOH</w:t>
            </w:r>
            <w:r>
              <w:rPr>
                <w:rFonts w:hint="eastAsia"/>
                <w:sz w:val="21"/>
              </w:rPr>
              <w:t>，</w:t>
            </w:r>
            <w:r>
              <w:rPr>
                <w:spacing w:val="30"/>
                <w:sz w:val="21"/>
              </w:rPr>
              <w:t>Ca(OH)</w:t>
            </w:r>
            <w:r>
              <w:rPr>
                <w:spacing w:val="30"/>
                <w:sz w:val="21"/>
                <w:vertAlign w:val="subscript"/>
              </w:rPr>
              <w:t>2</w:t>
            </w:r>
            <w:r>
              <w:rPr>
                <w:rFonts w:hint="eastAsia"/>
                <w:sz w:val="21"/>
              </w:rPr>
              <w:t>等。</w:t>
            </w:r>
          </w:p>
        </w:tc>
      </w:tr>
      <w:tr>
        <w:tblPrEx>
          <w:tblCellMar>
            <w:top w:w="0" w:type="dxa"/>
            <w:left w:w="108" w:type="dxa"/>
            <w:bottom w:w="0" w:type="dxa"/>
            <w:right w:w="108" w:type="dxa"/>
          </w:tblCellMar>
        </w:tblPrEx>
        <w:trPr>
          <w:trHeight w:val="340" w:hRule="atLeast"/>
        </w:trPr>
        <w:tc>
          <w:tcPr>
            <w:tcW w:w="508"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4</w:t>
            </w:r>
          </w:p>
        </w:tc>
        <w:tc>
          <w:tcPr>
            <w:tcW w:w="82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HW17</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表面处理废物</w:t>
            </w:r>
          </w:p>
        </w:tc>
        <w:tc>
          <w:tcPr>
            <w:tcW w:w="1305" w:type="dxa"/>
            <w:vMerge w:val="continue"/>
            <w:tcBorders>
              <w:left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1597" w:type="dxa"/>
            <w:vMerge w:val="continue"/>
            <w:tcBorders>
              <w:left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840" w:type="dxa"/>
            <w:vMerge w:val="continue"/>
            <w:tcBorders>
              <w:left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1261" w:type="dxa"/>
            <w:vMerge w:val="continue"/>
            <w:tcBorders>
              <w:left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1524" w:type="dxa"/>
            <w:vMerge w:val="continue"/>
            <w:tcBorders>
              <w:left w:val="dotted" w:color="auto" w:sz="4" w:space="0"/>
              <w:right w:val="nil"/>
            </w:tcBorders>
            <w:vAlign w:val="center"/>
          </w:tcPr>
          <w:p>
            <w:pPr>
              <w:adjustRightInd w:val="0"/>
              <w:snapToGrid w:val="0"/>
              <w:spacing w:line="240" w:lineRule="atLeast"/>
              <w:ind w:firstLine="0" w:firstLineChars="0"/>
              <w:jc w:val="center"/>
              <w:rPr>
                <w:rFonts w:ascii="Arial" w:hAnsi="Arial" w:cs="Arial"/>
                <w:sz w:val="21"/>
              </w:rPr>
            </w:pPr>
          </w:p>
        </w:tc>
      </w:tr>
      <w:tr>
        <w:tblPrEx>
          <w:tblCellMar>
            <w:top w:w="0" w:type="dxa"/>
            <w:left w:w="108" w:type="dxa"/>
            <w:bottom w:w="0" w:type="dxa"/>
            <w:right w:w="108" w:type="dxa"/>
          </w:tblCellMar>
        </w:tblPrEx>
        <w:trPr>
          <w:trHeight w:val="340" w:hRule="atLeast"/>
        </w:trPr>
        <w:tc>
          <w:tcPr>
            <w:tcW w:w="508"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5</w:t>
            </w:r>
          </w:p>
        </w:tc>
        <w:tc>
          <w:tcPr>
            <w:tcW w:w="82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HW35</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废碱</w:t>
            </w:r>
          </w:p>
        </w:tc>
        <w:tc>
          <w:tcPr>
            <w:tcW w:w="1305" w:type="dxa"/>
            <w:vMerge w:val="continue"/>
            <w:tcBorders>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1597" w:type="dxa"/>
            <w:vMerge w:val="continue"/>
            <w:tcBorders>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840" w:type="dxa"/>
            <w:vMerge w:val="continue"/>
            <w:tcBorders>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1261" w:type="dxa"/>
            <w:vMerge w:val="continue"/>
            <w:tcBorders>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p>
        </w:tc>
        <w:tc>
          <w:tcPr>
            <w:tcW w:w="1524" w:type="dxa"/>
            <w:vMerge w:val="continue"/>
            <w:tcBorders>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ascii="Arial" w:hAnsi="Arial" w:cs="Arial"/>
                <w:sz w:val="21"/>
              </w:rPr>
            </w:pPr>
          </w:p>
        </w:tc>
      </w:tr>
      <w:tr>
        <w:tblPrEx>
          <w:tblCellMar>
            <w:top w:w="0" w:type="dxa"/>
            <w:left w:w="108" w:type="dxa"/>
            <w:bottom w:w="0" w:type="dxa"/>
            <w:right w:w="108" w:type="dxa"/>
          </w:tblCellMar>
        </w:tblPrEx>
        <w:trPr>
          <w:trHeight w:val="340" w:hRule="atLeast"/>
        </w:trPr>
        <w:tc>
          <w:tcPr>
            <w:tcW w:w="508" w:type="dxa"/>
            <w:tcBorders>
              <w:top w:val="dotted" w:color="auto" w:sz="4" w:space="0"/>
              <w:left w:val="nil"/>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6</w:t>
            </w:r>
          </w:p>
        </w:tc>
        <w:tc>
          <w:tcPr>
            <w:tcW w:w="826"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sz w:val="21"/>
              </w:rPr>
              <w:t>HW09</w:t>
            </w:r>
          </w:p>
        </w:tc>
        <w:tc>
          <w:tcPr>
            <w:tcW w:w="1425"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废乳化液</w:t>
            </w:r>
          </w:p>
        </w:tc>
        <w:tc>
          <w:tcPr>
            <w:tcW w:w="1305"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30</w:t>
            </w:r>
            <w:r>
              <w:rPr>
                <w:sz w:val="21"/>
              </w:rPr>
              <w:t>00</w:t>
            </w:r>
          </w:p>
        </w:tc>
        <w:tc>
          <w:tcPr>
            <w:tcW w:w="1597"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ascii="宋体" w:cs="宋体"/>
                <w:sz w:val="21"/>
              </w:rPr>
              <w:t>非特定行业产生的废乳化液</w:t>
            </w:r>
          </w:p>
        </w:tc>
        <w:tc>
          <w:tcPr>
            <w:tcW w:w="840"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液态</w:t>
            </w:r>
          </w:p>
        </w:tc>
        <w:tc>
          <w:tcPr>
            <w:tcW w:w="1261"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毒性</w:t>
            </w:r>
          </w:p>
        </w:tc>
        <w:tc>
          <w:tcPr>
            <w:tcW w:w="1524" w:type="dxa"/>
            <w:tcBorders>
              <w:top w:val="dotted" w:color="auto" w:sz="4" w:space="0"/>
              <w:left w:val="dotted" w:color="auto" w:sz="4" w:space="0"/>
              <w:bottom w:val="single" w:color="000000" w:sz="12" w:space="0"/>
              <w:right w:val="nil"/>
            </w:tcBorders>
            <w:vAlign w:val="center"/>
          </w:tcPr>
          <w:p>
            <w:pPr>
              <w:adjustRightInd w:val="0"/>
              <w:snapToGrid w:val="0"/>
              <w:spacing w:line="240" w:lineRule="atLeast"/>
              <w:ind w:firstLine="0" w:firstLineChars="0"/>
              <w:jc w:val="center"/>
              <w:rPr>
                <w:sz w:val="21"/>
              </w:rPr>
            </w:pPr>
            <w:r>
              <w:rPr>
                <w:rFonts w:hint="eastAsia" w:ascii="Arial" w:hAnsi="Arial" w:cs="Arial"/>
                <w:sz w:val="21"/>
              </w:rPr>
              <w:t>主要是乳化油，含有少量重金属。</w:t>
            </w:r>
          </w:p>
        </w:tc>
      </w:tr>
    </w:tbl>
    <w:p>
      <w:pPr>
        <w:ind w:firstLine="480"/>
      </w:pPr>
    </w:p>
    <w:p>
      <w:pPr>
        <w:pStyle w:val="5"/>
      </w:pPr>
      <w:bookmarkStart w:id="231" w:name="_Toc13760144"/>
      <w:r>
        <w:t>4.</w:t>
      </w:r>
      <w:r>
        <w:rPr>
          <w:rFonts w:hint="eastAsia"/>
        </w:rPr>
        <w:t>5</w:t>
      </w:r>
      <w:r>
        <w:t>.</w:t>
      </w:r>
      <w:r>
        <w:rPr>
          <w:rFonts w:hint="eastAsia"/>
        </w:rPr>
        <w:t>2主要工艺设备</w:t>
      </w:r>
      <w:bookmarkEnd w:id="231"/>
    </w:p>
    <w:p>
      <w:pPr>
        <w:pStyle w:val="161"/>
        <w:ind w:firstLine="480"/>
      </w:pPr>
      <w:bookmarkStart w:id="232" w:name="_Ref196633908"/>
      <w:r>
        <w:rPr>
          <w:rFonts w:hint="eastAsia"/>
        </w:rPr>
        <w:t>表</w:t>
      </w:r>
      <w:bookmarkEnd w:id="232"/>
      <w:r>
        <w:rPr>
          <w:rFonts w:hint="eastAsia"/>
        </w:rPr>
        <w:t>4.5—2                物化工段主要设备一览表</w:t>
      </w:r>
    </w:p>
    <w:tbl>
      <w:tblPr>
        <w:tblStyle w:val="181"/>
        <w:tblW w:w="5000" w:type="pct"/>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598"/>
        <w:gridCol w:w="1811"/>
        <w:gridCol w:w="2855"/>
        <w:gridCol w:w="698"/>
        <w:gridCol w:w="757"/>
        <w:gridCol w:w="2227"/>
        <w:gridCol w:w="692"/>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84" w:hRule="atLeast"/>
        </w:trPr>
        <w:tc>
          <w:tcPr>
            <w:tcW w:w="563" w:type="dxa"/>
            <w:tcBorders>
              <w:top w:val="single" w:color="auto" w:sz="12" w:space="0"/>
              <w:left w:val="nil"/>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cs="Times New Roman"/>
                <w:kern w:val="0"/>
                <w:sz w:val="21"/>
                <w:szCs w:val="20"/>
              </w:rPr>
              <w:t>序号</w:t>
            </w:r>
          </w:p>
        </w:tc>
        <w:tc>
          <w:tcPr>
            <w:tcW w:w="1704"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cs="Times New Roman"/>
                <w:kern w:val="0"/>
                <w:sz w:val="21"/>
                <w:szCs w:val="20"/>
              </w:rPr>
              <w:t>名称</w:t>
            </w:r>
          </w:p>
        </w:tc>
        <w:tc>
          <w:tcPr>
            <w:tcW w:w="2687"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cs="Times New Roman"/>
                <w:kern w:val="0"/>
                <w:sz w:val="21"/>
                <w:szCs w:val="20"/>
              </w:rPr>
              <w:t>规格</w:t>
            </w:r>
          </w:p>
        </w:tc>
        <w:tc>
          <w:tcPr>
            <w:tcW w:w="657"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cs="Times New Roman"/>
                <w:kern w:val="0"/>
                <w:sz w:val="21"/>
                <w:szCs w:val="20"/>
              </w:rPr>
              <w:t>单位</w:t>
            </w:r>
          </w:p>
        </w:tc>
        <w:tc>
          <w:tcPr>
            <w:tcW w:w="712"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cs="Times New Roman"/>
                <w:kern w:val="0"/>
                <w:sz w:val="21"/>
                <w:szCs w:val="20"/>
              </w:rPr>
              <w:t>数量</w:t>
            </w:r>
          </w:p>
        </w:tc>
        <w:tc>
          <w:tcPr>
            <w:tcW w:w="2096"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cs="Times New Roman"/>
                <w:kern w:val="0"/>
                <w:sz w:val="21"/>
                <w:szCs w:val="20"/>
              </w:rPr>
              <w:t>材质</w:t>
            </w:r>
          </w:p>
        </w:tc>
        <w:tc>
          <w:tcPr>
            <w:tcW w:w="651" w:type="dxa"/>
            <w:tcBorders>
              <w:top w:val="single" w:color="auto" w:sz="12" w:space="0"/>
              <w:left w:val="dotted" w:color="auto" w:sz="8" w:space="0"/>
              <w:bottom w:val="single" w:color="auto" w:sz="12" w:space="0"/>
              <w:right w:val="nil"/>
              <w:insideV w:val="dotted" w:sz="4" w:space="0"/>
              <w:tl2br w:val="nil"/>
              <w:tr2bl w:val="nil"/>
            </w:tcBorders>
            <w:vAlign w:val="center"/>
          </w:tcPr>
          <w:p>
            <w:pPr>
              <w:spacing w:line="240" w:lineRule="atLeast"/>
              <w:ind w:firstLine="0" w:firstLineChars="0"/>
              <w:rPr>
                <w:rFonts w:cs="Times New Roman"/>
                <w:kern w:val="0"/>
                <w:sz w:val="21"/>
                <w:szCs w:val="20"/>
              </w:rPr>
            </w:pPr>
            <w:r>
              <w:rPr>
                <w:rFonts w:cs="Times New Roman"/>
                <w:kern w:val="0"/>
                <w:sz w:val="21"/>
                <w:szCs w:val="20"/>
              </w:rPr>
              <w:t>备注</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84" w:hRule="atLeast"/>
        </w:trPr>
        <w:tc>
          <w:tcPr>
            <w:tcW w:w="563" w:type="dxa"/>
            <w:tcBorders>
              <w:top w:val="single" w:color="auto" w:sz="12"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1704"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酸液类反应罐</w:t>
            </w:r>
          </w:p>
        </w:tc>
        <w:tc>
          <w:tcPr>
            <w:tcW w:w="2687"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φ2500</w:t>
            </w:r>
            <w:r>
              <w:rPr>
                <w:rFonts w:cs="Times New Roman"/>
                <w:kern w:val="0"/>
                <w:sz w:val="21"/>
                <w:szCs w:val="20"/>
              </w:rPr>
              <w:sym w:font="Symbol" w:char="00B4"/>
            </w:r>
            <w:r>
              <w:rPr>
                <w:rFonts w:cs="Times New Roman"/>
                <w:kern w:val="0"/>
                <w:sz w:val="21"/>
                <w:szCs w:val="20"/>
              </w:rPr>
              <w:t>3900，V=15m</w:t>
            </w:r>
            <w:r>
              <w:rPr>
                <w:rFonts w:cs="Times New Roman"/>
                <w:kern w:val="0"/>
                <w:sz w:val="21"/>
                <w:szCs w:val="20"/>
                <w:vertAlign w:val="superscript"/>
              </w:rPr>
              <w:t>3</w:t>
            </w:r>
          </w:p>
        </w:tc>
        <w:tc>
          <w:tcPr>
            <w:tcW w:w="657"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钢衬聚四氟乙烯</w:t>
            </w:r>
          </w:p>
        </w:tc>
        <w:tc>
          <w:tcPr>
            <w:tcW w:w="651" w:type="dxa"/>
            <w:tcBorders>
              <w:top w:val="single" w:color="auto" w:sz="12"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碱液类反应罐</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φ2500</w:t>
            </w:r>
            <w:r>
              <w:rPr>
                <w:rFonts w:cs="Times New Roman"/>
                <w:kern w:val="0"/>
                <w:sz w:val="21"/>
                <w:szCs w:val="20"/>
              </w:rPr>
              <w:sym w:font="Symbol" w:char="00B4"/>
            </w:r>
            <w:r>
              <w:rPr>
                <w:rFonts w:cs="Times New Roman"/>
                <w:kern w:val="0"/>
                <w:sz w:val="21"/>
                <w:szCs w:val="20"/>
              </w:rPr>
              <w:t>3900，V=15m</w:t>
            </w:r>
            <w:r>
              <w:rPr>
                <w:rFonts w:cs="Times New Roman"/>
                <w:kern w:val="0"/>
                <w:sz w:val="21"/>
                <w:szCs w:val="20"/>
                <w:vertAlign w:val="superscript"/>
              </w:rPr>
              <w:t>3</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玻璃钢材质</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油类反应罐</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φ2500</w:t>
            </w:r>
            <w:r>
              <w:rPr>
                <w:rFonts w:cs="Times New Roman"/>
                <w:kern w:val="0"/>
                <w:sz w:val="21"/>
                <w:szCs w:val="20"/>
              </w:rPr>
              <w:sym w:font="Symbol" w:char="00B4"/>
            </w:r>
            <w:r>
              <w:rPr>
                <w:rFonts w:cs="Times New Roman"/>
                <w:kern w:val="0"/>
                <w:sz w:val="21"/>
                <w:szCs w:val="20"/>
              </w:rPr>
              <w:t>3900，V=15m</w:t>
            </w:r>
            <w:r>
              <w:rPr>
                <w:rFonts w:cs="Times New Roman"/>
                <w:kern w:val="0"/>
                <w:sz w:val="21"/>
                <w:szCs w:val="20"/>
                <w:vertAlign w:val="superscript"/>
              </w:rPr>
              <w:t>3</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玻璃钢材质</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澄清罐</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φ3600</w:t>
            </w:r>
            <w:r>
              <w:rPr>
                <w:rFonts w:cs="Times New Roman"/>
                <w:kern w:val="0"/>
                <w:sz w:val="21"/>
                <w:szCs w:val="20"/>
              </w:rPr>
              <w:sym w:font="Symbol" w:char="00B4"/>
            </w:r>
            <w:r>
              <w:rPr>
                <w:rFonts w:cs="Times New Roman"/>
                <w:kern w:val="0"/>
                <w:sz w:val="21"/>
                <w:szCs w:val="20"/>
              </w:rPr>
              <w:t>5000，V=50 m</w:t>
            </w:r>
            <w:r>
              <w:rPr>
                <w:rFonts w:cs="Times New Roman"/>
                <w:kern w:val="0"/>
                <w:sz w:val="21"/>
                <w:szCs w:val="20"/>
                <w:vertAlign w:val="superscript"/>
              </w:rPr>
              <w:t>3</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玻璃钢材质</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5</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滤液罐</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φ3600</w:t>
            </w:r>
            <w:r>
              <w:rPr>
                <w:rFonts w:cs="Times New Roman"/>
                <w:kern w:val="0"/>
                <w:sz w:val="21"/>
                <w:szCs w:val="20"/>
              </w:rPr>
              <w:sym w:font="Symbol" w:char="00B4"/>
            </w:r>
            <w:r>
              <w:rPr>
                <w:rFonts w:cs="Times New Roman"/>
                <w:kern w:val="0"/>
                <w:sz w:val="21"/>
                <w:szCs w:val="20"/>
              </w:rPr>
              <w:t>4000，V=40 m</w:t>
            </w:r>
            <w:r>
              <w:rPr>
                <w:rFonts w:cs="Times New Roman"/>
                <w:kern w:val="0"/>
                <w:sz w:val="21"/>
                <w:szCs w:val="20"/>
                <w:vertAlign w:val="superscript"/>
              </w:rPr>
              <w:t>3</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玻璃钢材质</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6</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污泥压滤机</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XMZ120/1250-UK，过滤面积120㎡</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聚丙烯板框</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7</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酸液累进料泵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eastAsia="Times New Roman" w:cs="Times New Roman"/>
                <w:kern w:val="0"/>
                <w:sz w:val="21"/>
                <w:szCs w:val="20"/>
              </w:rPr>
              <w:t>QBY-F46-50</w:t>
            </w:r>
            <w:r>
              <w:rPr>
                <w:rFonts w:hAnsi="宋体" w:cs="Times New Roman"/>
                <w:spacing w:val="16"/>
                <w:kern w:val="0"/>
                <w:sz w:val="21"/>
                <w:szCs w:val="20"/>
              </w:rPr>
              <w:t>型气动隔</w:t>
            </w:r>
            <w:r>
              <w:rPr>
                <w:rFonts w:hAnsi="宋体" w:cs="Times New Roman"/>
                <w:kern w:val="0"/>
                <w:sz w:val="21"/>
                <w:szCs w:val="20"/>
              </w:rPr>
              <w:t>膜</w:t>
            </w:r>
            <w:r>
              <w:rPr>
                <w:rFonts w:hAnsi="宋体" w:cs="Times New Roman"/>
                <w:spacing w:val="3"/>
                <w:kern w:val="0"/>
                <w:sz w:val="21"/>
                <w:szCs w:val="20"/>
              </w:rPr>
              <w:t>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12m3/h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r>
              <w:rPr>
                <w:rFonts w:hAnsi="宋体" w:cs="Times New Roman"/>
                <w:kern w:val="0"/>
                <w:sz w:val="21"/>
                <w:szCs w:val="20"/>
              </w:rPr>
              <w:t>，</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8</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spacing w:val="14"/>
                <w:kern w:val="0"/>
                <w:sz w:val="21"/>
                <w:szCs w:val="20"/>
              </w:rPr>
              <w:t>碱液类</w:t>
            </w:r>
            <w:r>
              <w:rPr>
                <w:rFonts w:hAnsi="宋体" w:cs="Times New Roman"/>
                <w:spacing w:val="16"/>
                <w:kern w:val="0"/>
                <w:sz w:val="21"/>
                <w:szCs w:val="20"/>
              </w:rPr>
              <w:t>进料泵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eastAsia="Times New Roman" w:cs="Times New Roman"/>
                <w:kern w:val="0"/>
                <w:sz w:val="21"/>
                <w:szCs w:val="20"/>
              </w:rPr>
              <w:t>QBY-F46-50</w:t>
            </w:r>
            <w:r>
              <w:rPr>
                <w:rFonts w:hAnsi="宋体" w:cs="Times New Roman"/>
                <w:spacing w:val="16"/>
                <w:kern w:val="0"/>
                <w:sz w:val="21"/>
                <w:szCs w:val="20"/>
              </w:rPr>
              <w:t>型气动隔</w:t>
            </w:r>
            <w:r>
              <w:rPr>
                <w:rFonts w:hAnsi="宋体" w:cs="Times New Roman"/>
                <w:kern w:val="0"/>
                <w:sz w:val="21"/>
                <w:szCs w:val="20"/>
              </w:rPr>
              <w:t>膜</w:t>
            </w:r>
            <w:r>
              <w:rPr>
                <w:rFonts w:hAnsi="宋体" w:cs="Times New Roman"/>
                <w:spacing w:val="3"/>
                <w:kern w:val="0"/>
                <w:sz w:val="21"/>
                <w:szCs w:val="20"/>
              </w:rPr>
              <w:t>泵</w:t>
            </w:r>
            <w:r>
              <w:rPr>
                <w:rFonts w:eastAsia="Times New Roman" w:cs="Times New Roman"/>
                <w:kern w:val="0"/>
                <w:sz w:val="21"/>
                <w:szCs w:val="20"/>
              </w:rPr>
              <w:t>Q</w:t>
            </w:r>
            <w:r>
              <w:rPr>
                <w:rFonts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12m3/h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9</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3"/>
                <w:kern w:val="0"/>
                <w:sz w:val="21"/>
                <w:szCs w:val="20"/>
              </w:rPr>
              <w:t>油类进料泵</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spacing w:before="6" w:line="240" w:lineRule="atLeast"/>
              <w:ind w:left="105"/>
              <w:jc w:val="center"/>
              <w:rPr>
                <w:sz w:val="21"/>
                <w:szCs w:val="21"/>
              </w:rPr>
            </w:pPr>
            <w:r>
              <w:rPr>
                <w:rFonts w:eastAsia="Times New Roman"/>
                <w:sz w:val="21"/>
                <w:szCs w:val="21"/>
              </w:rPr>
              <w:t xml:space="preserve">QBY-F46-50 </w:t>
            </w:r>
            <w:r>
              <w:rPr>
                <w:rFonts w:hAnsi="宋体"/>
                <w:spacing w:val="3"/>
                <w:sz w:val="21"/>
                <w:szCs w:val="21"/>
              </w:rPr>
              <w:t>型气动隔膜泵，</w:t>
            </w:r>
            <w:r>
              <w:rPr>
                <w:rFonts w:eastAsia="Times New Roman"/>
                <w:sz w:val="21"/>
                <w:szCs w:val="21"/>
              </w:rPr>
              <w:t>Q</w:t>
            </w:r>
            <w:r>
              <w:rPr>
                <w:rFonts w:hAnsi="宋体"/>
                <w:sz w:val="21"/>
                <w:szCs w:val="21"/>
              </w:rPr>
              <w:t>：</w:t>
            </w:r>
            <w:r>
              <w:rPr>
                <w:rFonts w:eastAsia="Times New Roman"/>
                <w:sz w:val="21"/>
                <w:szCs w:val="21"/>
              </w:rPr>
              <w:t>0</w:t>
            </w:r>
            <w:r>
              <w:rPr>
                <w:rFonts w:hAnsi="宋体"/>
                <w:sz w:val="21"/>
                <w:szCs w:val="21"/>
              </w:rPr>
              <w:t>～</w:t>
            </w:r>
            <w:r>
              <w:rPr>
                <w:rFonts w:eastAsia="Times New Roman"/>
                <w:sz w:val="21"/>
                <w:szCs w:val="21"/>
              </w:rPr>
              <w:t>12m3/h,H:0</w:t>
            </w:r>
            <w:r>
              <w:rPr>
                <w:rFonts w:hAnsi="宋体"/>
                <w:sz w:val="21"/>
                <w:szCs w:val="21"/>
              </w:rPr>
              <w:t>～</w:t>
            </w:r>
            <w:r>
              <w:rPr>
                <w:rFonts w:eastAsia="Times New Roman"/>
                <w:sz w:val="21"/>
                <w:szCs w:val="21"/>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10</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3"/>
                <w:kern w:val="0"/>
                <w:sz w:val="21"/>
                <w:szCs w:val="20"/>
              </w:rPr>
              <w:t>石灰浆液泵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 xml:space="preserve">QBY-F46-50 </w:t>
            </w:r>
            <w:r>
              <w:rPr>
                <w:rFonts w:hAnsi="宋体" w:cs="Times New Roman"/>
                <w:spacing w:val="3"/>
                <w:kern w:val="0"/>
                <w:sz w:val="21"/>
                <w:szCs w:val="20"/>
              </w:rPr>
              <w:t>型气动隔膜泵，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12m3/h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11</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2"/>
                <w:kern w:val="0"/>
                <w:sz w:val="21"/>
                <w:szCs w:val="20"/>
              </w:rPr>
              <w:t>液碱泵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QBY-F46-25</w:t>
            </w:r>
            <w:r>
              <w:rPr>
                <w:rFonts w:hAnsi="宋体" w:cs="Times New Roman"/>
                <w:spacing w:val="2"/>
                <w:kern w:val="0"/>
                <w:sz w:val="21"/>
                <w:szCs w:val="20"/>
              </w:rPr>
              <w:t>型气动隔膜泵，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3m3/h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12</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eastAsia="Times New Roman" w:cs="Times New Roman"/>
                <w:spacing w:val="12"/>
                <w:kern w:val="0"/>
                <w:sz w:val="21"/>
                <w:szCs w:val="20"/>
              </w:rPr>
              <w:t>1#</w:t>
            </w:r>
            <w:r>
              <w:rPr>
                <w:rFonts w:hAnsi="宋体" w:cs="Times New Roman"/>
                <w:spacing w:val="12"/>
                <w:kern w:val="0"/>
                <w:sz w:val="21"/>
                <w:szCs w:val="20"/>
              </w:rPr>
              <w:t>污泥泵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QBY-F46-50</w:t>
            </w:r>
            <w:r>
              <w:rPr>
                <w:rFonts w:hAnsi="宋体" w:cs="Times New Roman"/>
                <w:kern w:val="0"/>
                <w:sz w:val="21"/>
                <w:szCs w:val="20"/>
              </w:rPr>
              <w:t>型气动隔膜泵，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12m3/h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13</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eastAsia="Times New Roman" w:cs="Times New Roman"/>
                <w:spacing w:val="12"/>
                <w:kern w:val="0"/>
                <w:sz w:val="21"/>
                <w:szCs w:val="20"/>
              </w:rPr>
              <w:t>2#</w:t>
            </w:r>
            <w:r>
              <w:rPr>
                <w:rFonts w:hAnsi="宋体" w:cs="Times New Roman"/>
                <w:spacing w:val="12"/>
                <w:kern w:val="0"/>
                <w:sz w:val="21"/>
                <w:szCs w:val="20"/>
              </w:rPr>
              <w:t>污泥泵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QBY-F46-50</w:t>
            </w:r>
            <w:r>
              <w:rPr>
                <w:rFonts w:hAnsi="宋体" w:cs="Times New Roman"/>
                <w:kern w:val="0"/>
                <w:sz w:val="21"/>
                <w:szCs w:val="20"/>
              </w:rPr>
              <w:t>型气动隔膜泵，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12m3/h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14</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eastAsia="Times New Roman" w:cs="Times New Roman"/>
                <w:spacing w:val="12"/>
                <w:kern w:val="0"/>
                <w:sz w:val="21"/>
                <w:szCs w:val="20"/>
              </w:rPr>
              <w:t>3#</w:t>
            </w:r>
            <w:r>
              <w:rPr>
                <w:rFonts w:hAnsi="宋体" w:cs="Times New Roman"/>
                <w:spacing w:val="12"/>
                <w:kern w:val="0"/>
                <w:sz w:val="21"/>
                <w:szCs w:val="20"/>
              </w:rPr>
              <w:t>污泥泵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QBY-F46-50</w:t>
            </w:r>
            <w:r>
              <w:rPr>
                <w:rFonts w:hAnsi="宋体" w:cs="Times New Roman"/>
                <w:kern w:val="0"/>
                <w:sz w:val="21"/>
                <w:szCs w:val="20"/>
              </w:rPr>
              <w:t>型气动隔膜泵，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12m3/h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15</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14"/>
                <w:kern w:val="0"/>
                <w:sz w:val="21"/>
                <w:szCs w:val="20"/>
              </w:rPr>
              <w:t>废水收</w:t>
            </w:r>
            <w:r>
              <w:rPr>
                <w:rFonts w:hAnsi="宋体" w:cs="Times New Roman"/>
                <w:spacing w:val="16"/>
                <w:kern w:val="0"/>
                <w:sz w:val="21"/>
                <w:szCs w:val="20"/>
              </w:rPr>
              <w:t>集池泵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QBY-F46-50</w:t>
            </w:r>
            <w:r>
              <w:rPr>
                <w:rFonts w:hAnsi="宋体" w:cs="Times New Roman"/>
                <w:spacing w:val="16"/>
                <w:kern w:val="0"/>
                <w:sz w:val="21"/>
                <w:szCs w:val="20"/>
              </w:rPr>
              <w:t>型气动隔</w:t>
            </w:r>
            <w:r>
              <w:rPr>
                <w:rFonts w:hAnsi="宋体" w:cs="Times New Roman"/>
                <w:kern w:val="0"/>
                <w:sz w:val="21"/>
                <w:szCs w:val="20"/>
              </w:rPr>
              <w:t>膜泵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12m3/h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16</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8"/>
                <w:kern w:val="0"/>
                <w:sz w:val="21"/>
                <w:szCs w:val="20"/>
              </w:rPr>
              <w:t>酸气吸收液泵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spacing w:val="2"/>
                <w:kern w:val="0"/>
                <w:sz w:val="21"/>
                <w:szCs w:val="20"/>
              </w:rPr>
              <w:t>65FSB-32(D)</w:t>
            </w:r>
            <w:r>
              <w:rPr>
                <w:rFonts w:hAnsi="宋体" w:cs="Times New Roman"/>
                <w:spacing w:val="2"/>
                <w:kern w:val="0"/>
                <w:sz w:val="21"/>
                <w:szCs w:val="20"/>
              </w:rPr>
              <w:t>氟塑料离心泵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25m3/h</w:t>
            </w:r>
            <w:r>
              <w:rPr>
                <w:rFonts w:hAnsi="宋体" w:cs="Times New Roman"/>
                <w:kern w:val="0"/>
                <w:sz w:val="21"/>
                <w:szCs w:val="20"/>
              </w:rPr>
              <w:t>，</w:t>
            </w:r>
            <w:r>
              <w:rPr>
                <w:rFonts w:eastAsia="Times New Roman" w:cs="Times New Roman"/>
                <w:kern w:val="0"/>
                <w:sz w:val="21"/>
                <w:szCs w:val="20"/>
              </w:rPr>
              <w:t>H:32m</w:t>
            </w:r>
            <w:r>
              <w:rPr>
                <w:rFonts w:hAnsi="宋体" w:cs="Times New Roman"/>
                <w:kern w:val="0"/>
                <w:sz w:val="21"/>
                <w:szCs w:val="20"/>
              </w:rPr>
              <w:t>，</w:t>
            </w:r>
            <w:r>
              <w:rPr>
                <w:rFonts w:eastAsia="Times New Roman" w:cs="Times New Roman"/>
                <w:kern w:val="0"/>
                <w:sz w:val="21"/>
                <w:szCs w:val="20"/>
              </w:rPr>
              <w:t>N=7.5kW</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氟塑料材质</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17</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8"/>
                <w:kern w:val="0"/>
                <w:sz w:val="21"/>
                <w:szCs w:val="20"/>
              </w:rPr>
              <w:t>碱气吸收液泵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spacing w:val="2"/>
                <w:kern w:val="0"/>
                <w:sz w:val="21"/>
                <w:szCs w:val="20"/>
              </w:rPr>
              <w:t>65FSB-32(D)</w:t>
            </w:r>
            <w:r>
              <w:rPr>
                <w:rFonts w:hAnsi="宋体" w:cs="Times New Roman"/>
                <w:spacing w:val="2"/>
                <w:kern w:val="0"/>
                <w:sz w:val="21"/>
                <w:szCs w:val="20"/>
              </w:rPr>
              <w:t>氟塑料离心泵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25m3/h</w:t>
            </w:r>
            <w:r>
              <w:rPr>
                <w:rFonts w:hAnsi="宋体" w:cs="Times New Roman"/>
                <w:kern w:val="0"/>
                <w:sz w:val="21"/>
                <w:szCs w:val="20"/>
              </w:rPr>
              <w:t>，</w:t>
            </w:r>
            <w:r>
              <w:rPr>
                <w:rFonts w:eastAsia="Times New Roman" w:cs="Times New Roman"/>
                <w:kern w:val="0"/>
                <w:sz w:val="21"/>
                <w:szCs w:val="20"/>
              </w:rPr>
              <w:t>H:32m</w:t>
            </w:r>
            <w:r>
              <w:rPr>
                <w:rFonts w:hAnsi="宋体" w:cs="Times New Roman"/>
                <w:kern w:val="0"/>
                <w:sz w:val="21"/>
                <w:szCs w:val="20"/>
              </w:rPr>
              <w:t>，</w:t>
            </w:r>
            <w:r>
              <w:rPr>
                <w:rFonts w:eastAsia="Times New Roman" w:cs="Times New Roman"/>
                <w:kern w:val="0"/>
                <w:sz w:val="21"/>
                <w:szCs w:val="20"/>
              </w:rPr>
              <w:t>N=7.5kW</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氟塑料材质</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18</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2"/>
                <w:kern w:val="0"/>
                <w:sz w:val="21"/>
                <w:szCs w:val="20"/>
              </w:rPr>
              <w:t>滤液泵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QBY-F46-50</w:t>
            </w:r>
            <w:r>
              <w:rPr>
                <w:rFonts w:hAnsi="宋体" w:cs="Times New Roman"/>
                <w:spacing w:val="2"/>
                <w:kern w:val="0"/>
                <w:sz w:val="21"/>
                <w:szCs w:val="20"/>
              </w:rPr>
              <w:t>型气动隔膜泵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12m3/h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19</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14"/>
                <w:kern w:val="0"/>
                <w:sz w:val="21"/>
                <w:szCs w:val="20"/>
              </w:rPr>
              <w:t>澄清液</w:t>
            </w:r>
            <w:r>
              <w:rPr>
                <w:rFonts w:hAnsi="宋体" w:cs="Times New Roman"/>
                <w:spacing w:val="11"/>
                <w:kern w:val="0"/>
                <w:sz w:val="21"/>
                <w:szCs w:val="20"/>
              </w:rPr>
              <w:t>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QBY-F46-50</w:t>
            </w:r>
            <w:r>
              <w:rPr>
                <w:rFonts w:hAnsi="宋体" w:cs="Times New Roman"/>
                <w:spacing w:val="17"/>
                <w:kern w:val="0"/>
                <w:sz w:val="21"/>
                <w:szCs w:val="20"/>
              </w:rPr>
              <w:t>型气动隔膜泵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12m3/h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20</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14"/>
                <w:kern w:val="0"/>
                <w:sz w:val="21"/>
                <w:szCs w:val="20"/>
              </w:rPr>
              <w:t>稀硫酸</w:t>
            </w:r>
            <w:r>
              <w:rPr>
                <w:rFonts w:hAnsi="宋体" w:cs="Times New Roman"/>
                <w:spacing w:val="11"/>
                <w:kern w:val="0"/>
                <w:sz w:val="21"/>
                <w:szCs w:val="20"/>
              </w:rPr>
              <w:t>泵</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QBY-F46-25</w:t>
            </w:r>
            <w:r>
              <w:rPr>
                <w:rFonts w:hAnsi="宋体" w:cs="Times New Roman"/>
                <w:spacing w:val="17"/>
                <w:kern w:val="0"/>
                <w:sz w:val="21"/>
                <w:szCs w:val="20"/>
              </w:rPr>
              <w:t>型气动隔膜</w:t>
            </w:r>
            <w:r>
              <w:rPr>
                <w:rFonts w:hAnsi="宋体" w:cs="Times New Roman"/>
                <w:spacing w:val="11"/>
                <w:kern w:val="0"/>
                <w:sz w:val="21"/>
                <w:szCs w:val="20"/>
              </w:rPr>
              <w:t>泵，</w:t>
            </w:r>
            <w:r>
              <w:rPr>
                <w:rFonts w:eastAsia="Times New Roman" w:cs="Times New Roman"/>
                <w:kern w:val="0"/>
                <w:sz w:val="21"/>
                <w:szCs w:val="20"/>
              </w:rPr>
              <w:t>Q</w:t>
            </w:r>
            <w:r>
              <w:rPr>
                <w:rFonts w:hAnsi="宋体" w:cs="Times New Roman"/>
                <w:kern w:val="0"/>
                <w:sz w:val="21"/>
                <w:szCs w:val="20"/>
              </w:rPr>
              <w:t>：</w:t>
            </w:r>
            <w:r>
              <w:rPr>
                <w:rFonts w:eastAsia="Times New Roman" w:cs="Times New Roman"/>
                <w:kern w:val="0"/>
                <w:sz w:val="21"/>
                <w:szCs w:val="20"/>
              </w:rPr>
              <w:t>0</w:t>
            </w:r>
            <w:r>
              <w:rPr>
                <w:rFonts w:hAnsi="宋体" w:cs="Times New Roman"/>
                <w:kern w:val="0"/>
                <w:sz w:val="21"/>
                <w:szCs w:val="20"/>
              </w:rPr>
              <w:t>～</w:t>
            </w:r>
            <w:r>
              <w:rPr>
                <w:rFonts w:eastAsia="Times New Roman" w:cs="Times New Roman"/>
                <w:kern w:val="0"/>
                <w:sz w:val="21"/>
                <w:szCs w:val="20"/>
              </w:rPr>
              <w:t>3m3/h</w:t>
            </w:r>
            <w:r>
              <w:rPr>
                <w:rFonts w:hAnsi="宋体" w:cs="Times New Roman"/>
                <w:kern w:val="0"/>
                <w:sz w:val="21"/>
                <w:szCs w:val="20"/>
              </w:rPr>
              <w:t>，</w:t>
            </w:r>
            <w:r>
              <w:rPr>
                <w:rFonts w:eastAsia="Times New Roman" w:cs="Times New Roman"/>
                <w:kern w:val="0"/>
                <w:sz w:val="21"/>
                <w:szCs w:val="20"/>
              </w:rPr>
              <w:t>H:0</w:t>
            </w:r>
            <w:r>
              <w:rPr>
                <w:rFonts w:hAnsi="宋体" w:cs="Times New Roman"/>
                <w:kern w:val="0"/>
                <w:sz w:val="21"/>
                <w:szCs w:val="20"/>
              </w:rPr>
              <w:t>～</w:t>
            </w:r>
            <w:r>
              <w:rPr>
                <w:rFonts w:eastAsia="Times New Roman" w:cs="Times New Roman"/>
                <w:kern w:val="0"/>
                <w:sz w:val="21"/>
                <w:szCs w:val="20"/>
              </w:rPr>
              <w:t>50m</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泵体材质</w:t>
            </w:r>
            <w:r>
              <w:rPr>
                <w:rFonts w:eastAsia="Times New Roman" w:cs="Times New Roman"/>
                <w:kern w:val="0"/>
                <w:sz w:val="21"/>
                <w:szCs w:val="20"/>
              </w:rPr>
              <w:t>PP</w:t>
            </w:r>
            <w:r>
              <w:rPr>
                <w:rFonts w:hAnsi="宋体" w:cs="Times New Roman"/>
                <w:kern w:val="0"/>
                <w:sz w:val="21"/>
                <w:szCs w:val="20"/>
              </w:rPr>
              <w:t>，隔膜材质</w:t>
            </w:r>
            <w:r>
              <w:rPr>
                <w:rFonts w:eastAsia="Times New Roman" w:cs="Times New Roman"/>
                <w:kern w:val="0"/>
                <w:sz w:val="21"/>
                <w:szCs w:val="20"/>
              </w:rPr>
              <w:t>F46</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21</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2"/>
                <w:kern w:val="0"/>
                <w:sz w:val="21"/>
                <w:szCs w:val="20"/>
              </w:rPr>
              <w:t>离心式通风机</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No5A</w:t>
            </w:r>
            <w:r>
              <w:rPr>
                <w:rFonts w:hAnsi="宋体" w:cs="Times New Roman"/>
                <w:kern w:val="0"/>
                <w:sz w:val="21"/>
                <w:szCs w:val="20"/>
              </w:rPr>
              <w:t>，右旋</w:t>
            </w:r>
            <w:r>
              <w:rPr>
                <w:rFonts w:eastAsia="Times New Roman" w:cs="Times New Roman"/>
                <w:kern w:val="0"/>
                <w:sz w:val="21"/>
                <w:szCs w:val="20"/>
              </w:rPr>
              <w:t>90°</w:t>
            </w:r>
            <w:r>
              <w:rPr>
                <w:rFonts w:hAnsi="宋体" w:cs="Times New Roman"/>
                <w:kern w:val="0"/>
                <w:sz w:val="21"/>
                <w:szCs w:val="20"/>
              </w:rPr>
              <w:t>，</w:t>
            </w:r>
            <w:r>
              <w:rPr>
                <w:rFonts w:eastAsia="Times New Roman" w:cs="Times New Roman"/>
                <w:kern w:val="0"/>
                <w:sz w:val="21"/>
                <w:szCs w:val="20"/>
              </w:rPr>
              <w:t>Pa=2019</w:t>
            </w:r>
            <w:r>
              <w:rPr>
                <w:rFonts w:hAnsi="宋体" w:cs="Times New Roman"/>
                <w:kern w:val="0"/>
                <w:sz w:val="21"/>
                <w:szCs w:val="20"/>
              </w:rPr>
              <w:t>～</w:t>
            </w:r>
            <w:r>
              <w:rPr>
                <w:rFonts w:eastAsia="Times New Roman" w:cs="Times New Roman"/>
                <w:kern w:val="0"/>
                <w:sz w:val="21"/>
                <w:szCs w:val="20"/>
              </w:rPr>
              <w:t>3187Pa</w:t>
            </w:r>
            <w:r>
              <w:rPr>
                <w:rFonts w:hAnsi="宋体" w:cs="Times New Roman"/>
                <w:kern w:val="0"/>
                <w:sz w:val="21"/>
                <w:szCs w:val="20"/>
              </w:rPr>
              <w:t>，</w:t>
            </w:r>
            <w:r>
              <w:rPr>
                <w:rFonts w:eastAsia="Times New Roman" w:cs="Times New Roman"/>
                <w:kern w:val="0"/>
                <w:sz w:val="21"/>
                <w:szCs w:val="20"/>
              </w:rPr>
              <w:t>Q=7728</w:t>
            </w:r>
            <w:r>
              <w:rPr>
                <w:rFonts w:hAnsi="宋体" w:cs="Times New Roman"/>
                <w:kern w:val="0"/>
                <w:sz w:val="21"/>
                <w:szCs w:val="20"/>
              </w:rPr>
              <w:t>～</w:t>
            </w:r>
            <w:r>
              <w:rPr>
                <w:rFonts w:eastAsia="Times New Roman" w:cs="Times New Roman"/>
                <w:kern w:val="0"/>
                <w:sz w:val="21"/>
                <w:szCs w:val="20"/>
              </w:rPr>
              <w:t>15455m3/h</w:t>
            </w:r>
            <w:r>
              <w:rPr>
                <w:rFonts w:hAnsi="宋体" w:cs="Times New Roman"/>
                <w:kern w:val="0"/>
                <w:sz w:val="21"/>
                <w:szCs w:val="20"/>
              </w:rPr>
              <w:t>，</w:t>
            </w:r>
            <w:r>
              <w:rPr>
                <w:rFonts w:eastAsia="Times New Roman" w:cs="Times New Roman"/>
                <w:kern w:val="0"/>
                <w:sz w:val="21"/>
                <w:szCs w:val="20"/>
              </w:rPr>
              <w:t>2900r/min</w:t>
            </w:r>
            <w:r>
              <w:rPr>
                <w:rFonts w:hAnsi="宋体" w:cs="Times New Roman"/>
                <w:kern w:val="0"/>
                <w:sz w:val="21"/>
                <w:szCs w:val="20"/>
              </w:rPr>
              <w:t>，</w:t>
            </w:r>
            <w:r>
              <w:rPr>
                <w:rFonts w:eastAsia="Times New Roman" w:cs="Times New Roman"/>
                <w:spacing w:val="-3"/>
                <w:kern w:val="0"/>
                <w:sz w:val="21"/>
                <w:szCs w:val="20"/>
              </w:rPr>
              <w:t>N=15kW,</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台</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spacing w:val="-3"/>
                <w:kern w:val="0"/>
                <w:sz w:val="21"/>
                <w:szCs w:val="20"/>
              </w:rPr>
              <w:t>材质玻璃钢</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22</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2"/>
                <w:kern w:val="0"/>
                <w:sz w:val="21"/>
                <w:szCs w:val="20"/>
              </w:rPr>
              <w:t>电动葫芦</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CDI-9DI</w:t>
            </w:r>
            <w:r>
              <w:rPr>
                <w:rFonts w:hAnsi="宋体" w:cs="Times New Roman"/>
                <w:kern w:val="0"/>
                <w:sz w:val="21"/>
                <w:szCs w:val="20"/>
              </w:rPr>
              <w:t>，起重量</w:t>
            </w:r>
            <w:r>
              <w:rPr>
                <w:rFonts w:eastAsia="Times New Roman" w:cs="Times New Roman"/>
                <w:kern w:val="0"/>
                <w:sz w:val="21"/>
                <w:szCs w:val="20"/>
              </w:rPr>
              <w:t>1t</w:t>
            </w:r>
            <w:r>
              <w:rPr>
                <w:rFonts w:hAnsi="宋体" w:cs="Times New Roman"/>
                <w:kern w:val="0"/>
                <w:sz w:val="21"/>
                <w:szCs w:val="20"/>
              </w:rPr>
              <w:t>，起重高度</w:t>
            </w:r>
            <w:r>
              <w:rPr>
                <w:rFonts w:eastAsia="Times New Roman" w:cs="Times New Roman"/>
                <w:spacing w:val="5"/>
                <w:kern w:val="0"/>
                <w:sz w:val="21"/>
                <w:szCs w:val="20"/>
              </w:rPr>
              <w:t>9m</w:t>
            </w:r>
            <w:r>
              <w:rPr>
                <w:rFonts w:hAnsi="宋体" w:cs="Times New Roman"/>
                <w:spacing w:val="5"/>
                <w:kern w:val="0"/>
                <w:sz w:val="21"/>
                <w:szCs w:val="20"/>
              </w:rPr>
              <w:t>，运行速度</w:t>
            </w:r>
            <w:r>
              <w:rPr>
                <w:rFonts w:eastAsia="Times New Roman" w:cs="Times New Roman"/>
                <w:spacing w:val="2"/>
                <w:kern w:val="0"/>
                <w:sz w:val="21"/>
                <w:szCs w:val="20"/>
              </w:rPr>
              <w:t>20m/min,</w:t>
            </w:r>
            <w:r>
              <w:rPr>
                <w:rFonts w:hAnsi="宋体" w:cs="Times New Roman"/>
                <w:spacing w:val="2"/>
                <w:kern w:val="0"/>
                <w:sz w:val="21"/>
                <w:szCs w:val="20"/>
              </w:rPr>
              <w:t>起升速度</w:t>
            </w:r>
            <w:r>
              <w:rPr>
                <w:rFonts w:eastAsia="Times New Roman" w:cs="Times New Roman"/>
                <w:kern w:val="0"/>
                <w:sz w:val="21"/>
                <w:szCs w:val="20"/>
              </w:rPr>
              <w:t>8m/min</w:t>
            </w:r>
            <w:r>
              <w:rPr>
                <w:rFonts w:hAnsi="宋体" w:cs="Times New Roman"/>
                <w:kern w:val="0"/>
                <w:sz w:val="21"/>
                <w:szCs w:val="20"/>
              </w:rPr>
              <w:t>，</w:t>
            </w:r>
            <w:r>
              <w:rPr>
                <w:rFonts w:eastAsia="Times New Roman" w:cs="Times New Roman"/>
                <w:kern w:val="0"/>
                <w:sz w:val="21"/>
                <w:szCs w:val="20"/>
              </w:rPr>
              <w:t>N=1.5kW</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材质碳钢</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23</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kern w:val="0"/>
                <w:sz w:val="21"/>
                <w:szCs w:val="20"/>
              </w:rPr>
              <w:t>电动葫芦</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CDI-9DI</w:t>
            </w:r>
            <w:r>
              <w:rPr>
                <w:rFonts w:hAnsi="宋体" w:cs="Times New Roman"/>
                <w:kern w:val="0"/>
                <w:sz w:val="21"/>
                <w:szCs w:val="20"/>
              </w:rPr>
              <w:t>，起重量</w:t>
            </w:r>
            <w:r>
              <w:rPr>
                <w:rFonts w:eastAsia="Times New Roman" w:cs="Times New Roman"/>
                <w:kern w:val="0"/>
                <w:sz w:val="21"/>
                <w:szCs w:val="20"/>
              </w:rPr>
              <w:t>1t</w:t>
            </w:r>
            <w:r>
              <w:rPr>
                <w:rFonts w:hAnsi="宋体" w:cs="Times New Roman"/>
                <w:kern w:val="0"/>
                <w:sz w:val="21"/>
                <w:szCs w:val="20"/>
              </w:rPr>
              <w:t>，起重高度</w:t>
            </w:r>
            <w:r>
              <w:rPr>
                <w:rFonts w:eastAsia="Times New Roman" w:cs="Times New Roman"/>
                <w:kern w:val="0"/>
                <w:sz w:val="21"/>
                <w:szCs w:val="20"/>
              </w:rPr>
              <w:t>4m</w:t>
            </w:r>
            <w:r>
              <w:rPr>
                <w:rFonts w:hAnsi="宋体" w:cs="Times New Roman"/>
                <w:kern w:val="0"/>
                <w:sz w:val="21"/>
                <w:szCs w:val="20"/>
              </w:rPr>
              <w:t>，运行速度</w:t>
            </w:r>
            <w:r>
              <w:rPr>
                <w:rFonts w:eastAsia="Times New Roman" w:cs="Times New Roman"/>
                <w:kern w:val="0"/>
                <w:sz w:val="21"/>
                <w:szCs w:val="20"/>
              </w:rPr>
              <w:t>20m/min</w:t>
            </w:r>
            <w:r>
              <w:rPr>
                <w:rFonts w:hAnsi="宋体" w:cs="Times New Roman"/>
                <w:kern w:val="0"/>
                <w:sz w:val="21"/>
                <w:szCs w:val="20"/>
              </w:rPr>
              <w:t>起升速度</w:t>
            </w:r>
            <w:r>
              <w:rPr>
                <w:rFonts w:eastAsia="Times New Roman" w:cs="Times New Roman"/>
                <w:kern w:val="0"/>
                <w:sz w:val="21"/>
                <w:szCs w:val="20"/>
              </w:rPr>
              <w:t>8m/minN=1.5kW</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材质碳钢</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24</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kern w:val="0"/>
                <w:sz w:val="21"/>
                <w:szCs w:val="20"/>
              </w:rPr>
              <w:t>酸气吸收塔</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tabs>
                <w:tab w:val="left" w:pos="537"/>
                <w:tab w:val="left" w:pos="968"/>
                <w:tab w:val="left" w:pos="1403"/>
                <w:tab w:val="left" w:pos="1834"/>
                <w:tab w:val="left" w:pos="2266"/>
                <w:tab w:val="left" w:pos="2784"/>
              </w:tabs>
              <w:spacing w:before="129" w:line="240" w:lineRule="atLeast"/>
              <w:ind w:left="105"/>
              <w:jc w:val="center"/>
              <w:rPr>
                <w:sz w:val="21"/>
                <w:szCs w:val="21"/>
              </w:rPr>
            </w:pPr>
            <w:r>
              <w:rPr>
                <w:rFonts w:eastAsia="Times New Roman"/>
                <w:sz w:val="21"/>
                <w:szCs w:val="21"/>
              </w:rPr>
              <w:t>Q=12000m3/h</w:t>
            </w:r>
            <w:r>
              <w:rPr>
                <w:rFonts w:ascii="Cambria Math" w:hAnsi="Cambria Math" w:eastAsia="Times New Roman"/>
                <w:spacing w:val="4"/>
                <w:sz w:val="21"/>
                <w:szCs w:val="21"/>
              </w:rPr>
              <w:t>∅</w:t>
            </w:r>
            <w:r>
              <w:rPr>
                <w:rFonts w:eastAsia="Times New Roman"/>
                <w:spacing w:val="4"/>
                <w:sz w:val="21"/>
                <w:szCs w:val="21"/>
              </w:rPr>
              <w:t>2000x5600</w:t>
            </w:r>
            <w:r>
              <w:rPr>
                <w:rFonts w:hAnsi="宋体"/>
                <w:spacing w:val="4"/>
                <w:sz w:val="21"/>
                <w:szCs w:val="21"/>
              </w:rPr>
              <w:t>，填料：聚丙烯鲍尔环</w:t>
            </w:r>
            <w:r>
              <w:rPr>
                <w:rFonts w:eastAsia="Times New Roman"/>
                <w:sz w:val="21"/>
                <w:szCs w:val="21"/>
              </w:rPr>
              <w:t>Φ2”</w:t>
            </w:r>
            <w:r>
              <w:rPr>
                <w:rFonts w:hAnsi="宋体"/>
                <w:sz w:val="21"/>
                <w:szCs w:val="21"/>
              </w:rPr>
              <w:t>自带液位计</w:t>
            </w:r>
            <w:r>
              <w:rPr>
                <w:rFonts w:eastAsia="Times New Roman"/>
                <w:sz w:val="21"/>
                <w:szCs w:val="21"/>
              </w:rPr>
              <w:t>(</w:t>
            </w:r>
            <w:r>
              <w:rPr>
                <w:rFonts w:hAnsi="宋体"/>
                <w:sz w:val="21"/>
                <w:szCs w:val="21"/>
              </w:rPr>
              <w:t>含远传功能</w:t>
            </w:r>
            <w:r>
              <w:rPr>
                <w:rFonts w:eastAsia="Times New Roman"/>
                <w:sz w:val="21"/>
                <w:szCs w:val="21"/>
              </w:rPr>
              <w:t>)</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材质</w:t>
            </w:r>
            <w:r>
              <w:rPr>
                <w:rFonts w:eastAsia="Times New Roman" w:cs="Times New Roman"/>
                <w:kern w:val="0"/>
                <w:sz w:val="21"/>
                <w:szCs w:val="20"/>
              </w:rPr>
              <w:t>PP</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25</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kern w:val="0"/>
                <w:sz w:val="21"/>
                <w:szCs w:val="20"/>
              </w:rPr>
              <w:t>碱气吸收塔</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tabs>
                <w:tab w:val="left" w:pos="2443"/>
                <w:tab w:val="left" w:pos="3055"/>
              </w:tabs>
              <w:spacing w:before="129" w:line="240" w:lineRule="atLeast"/>
              <w:jc w:val="center"/>
              <w:rPr>
                <w:sz w:val="21"/>
                <w:szCs w:val="21"/>
              </w:rPr>
            </w:pPr>
            <w:r>
              <w:rPr>
                <w:rFonts w:eastAsia="Times New Roman"/>
                <w:spacing w:val="-1"/>
                <w:sz w:val="21"/>
                <w:szCs w:val="21"/>
              </w:rPr>
              <w:t>Q</w:t>
            </w:r>
            <w:r>
              <w:rPr>
                <w:rFonts w:eastAsiaTheme="minorEastAsia"/>
                <w:spacing w:val="-1"/>
                <w:sz w:val="21"/>
                <w:szCs w:val="21"/>
              </w:rPr>
              <w:t>=</w:t>
            </w:r>
            <w:r>
              <w:rPr>
                <w:rFonts w:eastAsia="Times New Roman"/>
                <w:spacing w:val="-1"/>
                <w:sz w:val="21"/>
                <w:szCs w:val="21"/>
              </w:rPr>
              <w:t>12000m3/h</w:t>
            </w:r>
            <w:r>
              <w:rPr>
                <w:rFonts w:hAnsi="宋体"/>
                <w:spacing w:val="-1"/>
                <w:sz w:val="21"/>
                <w:szCs w:val="21"/>
              </w:rPr>
              <w:t>，</w:t>
            </w:r>
            <w:r>
              <w:rPr>
                <w:rFonts w:ascii="Cambria Math" w:hAnsi="Cambria Math" w:eastAsia="Times New Roman"/>
                <w:spacing w:val="4"/>
                <w:sz w:val="21"/>
                <w:szCs w:val="21"/>
              </w:rPr>
              <w:t>∅</w:t>
            </w:r>
            <w:r>
              <w:rPr>
                <w:rFonts w:eastAsia="Times New Roman"/>
                <w:spacing w:val="4"/>
                <w:sz w:val="21"/>
                <w:szCs w:val="21"/>
              </w:rPr>
              <w:t>2000x5600</w:t>
            </w:r>
            <w:r>
              <w:rPr>
                <w:rFonts w:hAnsi="宋体"/>
                <w:spacing w:val="4"/>
                <w:sz w:val="21"/>
                <w:szCs w:val="21"/>
              </w:rPr>
              <w:t>，填料：聚丙烯鲍尔环</w:t>
            </w:r>
            <w:r>
              <w:rPr>
                <w:rFonts w:eastAsia="Times New Roman"/>
                <w:sz w:val="21"/>
                <w:szCs w:val="21"/>
              </w:rPr>
              <w:t>Φ2”</w:t>
            </w:r>
            <w:r>
              <w:rPr>
                <w:rFonts w:hAnsi="宋体"/>
                <w:sz w:val="21"/>
                <w:szCs w:val="21"/>
              </w:rPr>
              <w:t>，自带液位计</w:t>
            </w:r>
            <w:r>
              <w:rPr>
                <w:rFonts w:eastAsia="Times New Roman"/>
                <w:sz w:val="21"/>
                <w:szCs w:val="21"/>
              </w:rPr>
              <w:t>(</w:t>
            </w:r>
            <w:r>
              <w:rPr>
                <w:rFonts w:hAnsi="宋体"/>
                <w:sz w:val="21"/>
                <w:szCs w:val="21"/>
              </w:rPr>
              <w:t>含远传功能</w:t>
            </w:r>
            <w:r>
              <w:rPr>
                <w:rFonts w:eastAsia="Times New Roman"/>
                <w:sz w:val="21"/>
                <w:szCs w:val="21"/>
              </w:rPr>
              <w:t>)</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材质</w:t>
            </w:r>
            <w:r>
              <w:rPr>
                <w:rFonts w:eastAsia="Times New Roman" w:cs="Times New Roman"/>
                <w:kern w:val="0"/>
                <w:sz w:val="21"/>
                <w:szCs w:val="20"/>
              </w:rPr>
              <w:t>PP</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26</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kern w:val="0"/>
                <w:sz w:val="21"/>
                <w:szCs w:val="20"/>
              </w:rPr>
              <w:t>稀硫酸储罐</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spacing w:line="240" w:lineRule="atLeast"/>
              <w:ind w:left="105"/>
              <w:jc w:val="center"/>
              <w:rPr>
                <w:sz w:val="21"/>
                <w:szCs w:val="21"/>
              </w:rPr>
            </w:pPr>
            <w:r>
              <w:rPr>
                <w:rFonts w:hAnsi="宋体"/>
                <w:spacing w:val="18"/>
                <w:sz w:val="21"/>
                <w:szCs w:val="21"/>
              </w:rPr>
              <w:t>立式，</w:t>
            </w:r>
            <w:r>
              <w:rPr>
                <w:rFonts w:ascii="Cambria Math" w:hAnsi="Cambria Math" w:eastAsia="Times New Roman"/>
                <w:sz w:val="21"/>
                <w:szCs w:val="21"/>
              </w:rPr>
              <w:t>∅</w:t>
            </w:r>
            <w:r>
              <w:rPr>
                <w:rFonts w:eastAsia="Times New Roman"/>
                <w:sz w:val="21"/>
                <w:szCs w:val="21"/>
              </w:rPr>
              <w:t>1600x2500</w:t>
            </w:r>
            <w:r>
              <w:rPr>
                <w:rFonts w:hAnsi="宋体"/>
                <w:sz w:val="21"/>
                <w:szCs w:val="21"/>
              </w:rPr>
              <w:t>，</w:t>
            </w:r>
            <w:r>
              <w:rPr>
                <w:rFonts w:eastAsia="Times New Roman"/>
                <w:sz w:val="21"/>
                <w:szCs w:val="21"/>
              </w:rPr>
              <w:t>V</w:t>
            </w:r>
            <w:r>
              <w:rPr>
                <w:rFonts w:hAnsi="宋体"/>
                <w:sz w:val="21"/>
                <w:szCs w:val="21"/>
              </w:rPr>
              <w:t>＝</w:t>
            </w:r>
          </w:p>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5m3</w:t>
            </w:r>
            <w:r>
              <w:rPr>
                <w:rFonts w:hAnsi="宋体" w:cs="Times New Roman"/>
                <w:kern w:val="0"/>
                <w:sz w:val="21"/>
                <w:szCs w:val="20"/>
              </w:rPr>
              <w:t>，</w:t>
            </w:r>
            <w:r>
              <w:rPr>
                <w:rFonts w:hAnsi="宋体" w:cs="Times New Roman"/>
                <w:spacing w:val="17"/>
                <w:kern w:val="0"/>
                <w:sz w:val="21"/>
                <w:szCs w:val="20"/>
              </w:rPr>
              <w:t>配液位计</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材质</w:t>
            </w:r>
            <w:r>
              <w:rPr>
                <w:rFonts w:eastAsia="Times New Roman" w:cs="Times New Roman"/>
                <w:kern w:val="0"/>
                <w:sz w:val="21"/>
                <w:szCs w:val="20"/>
              </w:rPr>
              <w:t>PP</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27</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spacing w:val="11"/>
                <w:kern w:val="0"/>
                <w:sz w:val="21"/>
                <w:szCs w:val="20"/>
              </w:rPr>
              <w:t>干石灰储罐</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spacing w:line="240" w:lineRule="atLeast"/>
              <w:ind w:left="105"/>
              <w:jc w:val="center"/>
              <w:rPr>
                <w:sz w:val="21"/>
                <w:szCs w:val="21"/>
              </w:rPr>
            </w:pPr>
            <w:r>
              <w:rPr>
                <w:rFonts w:eastAsia="Times New Roman"/>
                <w:sz w:val="21"/>
                <w:szCs w:val="21"/>
              </w:rPr>
              <w:t>ф2500x3000</w:t>
            </w:r>
            <w:r>
              <w:rPr>
                <w:rFonts w:hAnsi="宋体"/>
                <w:sz w:val="21"/>
                <w:szCs w:val="21"/>
              </w:rPr>
              <w:t>，</w:t>
            </w:r>
            <w:r>
              <w:rPr>
                <w:rFonts w:eastAsia="Times New Roman"/>
                <w:spacing w:val="3"/>
                <w:sz w:val="21"/>
                <w:szCs w:val="21"/>
              </w:rPr>
              <w:t>V</w:t>
            </w:r>
            <w:r>
              <w:rPr>
                <w:rFonts w:hAnsi="宋体"/>
                <w:spacing w:val="3"/>
                <w:sz w:val="21"/>
                <w:szCs w:val="21"/>
              </w:rPr>
              <w:t>＝</w:t>
            </w:r>
            <w:r>
              <w:rPr>
                <w:rFonts w:eastAsia="Times New Roman"/>
                <w:spacing w:val="3"/>
                <w:sz w:val="21"/>
                <w:szCs w:val="21"/>
              </w:rPr>
              <w:t>15m3</w:t>
            </w:r>
            <w:r>
              <w:rPr>
                <w:rFonts w:hAnsi="宋体"/>
                <w:spacing w:val="3"/>
                <w:sz w:val="21"/>
                <w:szCs w:val="21"/>
              </w:rPr>
              <w:t>，带</w:t>
            </w:r>
            <w:r>
              <w:rPr>
                <w:rFonts w:hAnsi="宋体"/>
                <w:sz w:val="21"/>
                <w:szCs w:val="21"/>
              </w:rPr>
              <w:t>搅拌及螺旋输送装置，输送量大于</w:t>
            </w:r>
            <w:r>
              <w:rPr>
                <w:rFonts w:eastAsia="Times New Roman"/>
                <w:sz w:val="21"/>
                <w:szCs w:val="21"/>
              </w:rPr>
              <w:t>500kg/h</w:t>
            </w:r>
            <w:r>
              <w:rPr>
                <w:rFonts w:hAnsi="宋体"/>
                <w:sz w:val="21"/>
                <w:szCs w:val="21"/>
              </w:rPr>
              <w:t>，</w:t>
            </w:r>
            <w:r>
              <w:rPr>
                <w:rFonts w:eastAsia="Times New Roman"/>
                <w:sz w:val="21"/>
                <w:szCs w:val="21"/>
              </w:rPr>
              <w:t>N=1.5kW</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spacing w:val="27"/>
                <w:kern w:val="0"/>
                <w:sz w:val="21"/>
                <w:szCs w:val="20"/>
              </w:rPr>
              <w:t>碳钢防腐，厚</w:t>
            </w:r>
            <w:r>
              <w:rPr>
                <w:rFonts w:hAnsi="宋体" w:cs="Times New Roman"/>
                <w:spacing w:val="20"/>
                <w:kern w:val="0"/>
                <w:sz w:val="21"/>
                <w:szCs w:val="20"/>
              </w:rPr>
              <w:t>度不低</w:t>
            </w:r>
            <w:r>
              <w:rPr>
                <w:rFonts w:hAnsi="宋体" w:cs="Times New Roman"/>
                <w:kern w:val="0"/>
                <w:sz w:val="21"/>
                <w:szCs w:val="20"/>
              </w:rPr>
              <w:t>于</w:t>
            </w:r>
            <w:r>
              <w:rPr>
                <w:rFonts w:eastAsia="Times New Roman" w:cs="Times New Roman"/>
                <w:kern w:val="0"/>
                <w:sz w:val="21"/>
                <w:szCs w:val="20"/>
              </w:rPr>
              <w:t>8mm</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28</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kern w:val="0"/>
                <w:sz w:val="21"/>
                <w:szCs w:val="20"/>
              </w:rPr>
              <w:t>石灰打浆罐</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eastAsia="Times New Roman" w:cs="Times New Roman"/>
                <w:kern w:val="0"/>
                <w:sz w:val="21"/>
                <w:szCs w:val="20"/>
              </w:rPr>
              <w:t>ф2500x3500</w:t>
            </w:r>
            <w:r>
              <w:rPr>
                <w:rFonts w:hAnsi="宋体" w:cs="Times New Roman"/>
                <w:kern w:val="0"/>
                <w:sz w:val="21"/>
                <w:szCs w:val="20"/>
              </w:rPr>
              <w:t>，</w:t>
            </w:r>
            <w:r>
              <w:rPr>
                <w:rFonts w:eastAsia="Times New Roman" w:cs="Times New Roman"/>
                <w:kern w:val="0"/>
                <w:sz w:val="21"/>
                <w:szCs w:val="20"/>
              </w:rPr>
              <w:t>V</w:t>
            </w:r>
            <w:r>
              <w:rPr>
                <w:rFonts w:hAnsi="宋体" w:cs="Times New Roman"/>
                <w:kern w:val="0"/>
                <w:sz w:val="21"/>
                <w:szCs w:val="20"/>
              </w:rPr>
              <w:t>＝</w:t>
            </w:r>
            <w:r>
              <w:rPr>
                <w:rFonts w:eastAsia="Times New Roman" w:cs="Times New Roman"/>
                <w:kern w:val="0"/>
                <w:sz w:val="21"/>
                <w:szCs w:val="20"/>
              </w:rPr>
              <w:t>16m3</w:t>
            </w:r>
            <w:r>
              <w:rPr>
                <w:rFonts w:hAnsi="宋体" w:cs="Times New Roman"/>
                <w:kern w:val="0"/>
                <w:sz w:val="21"/>
                <w:szCs w:val="20"/>
              </w:rPr>
              <w:t>，配搅</w:t>
            </w:r>
            <w:r>
              <w:rPr>
                <w:rFonts w:hAnsi="宋体" w:cs="Times New Roman"/>
                <w:spacing w:val="5"/>
                <w:kern w:val="0"/>
                <w:sz w:val="21"/>
                <w:szCs w:val="20"/>
              </w:rPr>
              <w:t>拌机：</w:t>
            </w:r>
            <w:r>
              <w:rPr>
                <w:rFonts w:eastAsia="Times New Roman" w:cs="Times New Roman"/>
                <w:spacing w:val="5"/>
                <w:kern w:val="0"/>
                <w:sz w:val="21"/>
                <w:szCs w:val="20"/>
              </w:rPr>
              <w:t>65</w:t>
            </w:r>
            <w:r>
              <w:rPr>
                <w:rFonts w:eastAsia="Times New Roman" w:cs="Times New Roman"/>
                <w:spacing w:val="6"/>
                <w:kern w:val="0"/>
                <w:sz w:val="21"/>
                <w:szCs w:val="20"/>
              </w:rPr>
              <w:t>rpm,</w:t>
            </w:r>
            <w:r>
              <w:rPr>
                <w:rFonts w:hAnsi="宋体" w:cs="Times New Roman"/>
                <w:spacing w:val="6"/>
                <w:kern w:val="0"/>
                <w:sz w:val="21"/>
                <w:szCs w:val="20"/>
              </w:rPr>
              <w:t>双层桨式，</w:t>
            </w:r>
            <w:r>
              <w:rPr>
                <w:rFonts w:eastAsia="Times New Roman" w:cs="Times New Roman"/>
                <w:spacing w:val="3"/>
                <w:kern w:val="0"/>
                <w:sz w:val="21"/>
                <w:szCs w:val="20"/>
              </w:rPr>
              <w:t>BTRJ10.0</w:t>
            </w:r>
            <w:r>
              <w:rPr>
                <w:rFonts w:hAnsi="宋体" w:cs="Times New Roman"/>
                <w:spacing w:val="3"/>
                <w:kern w:val="0"/>
                <w:sz w:val="21"/>
                <w:szCs w:val="20"/>
              </w:rPr>
              <w:t>，材质</w:t>
            </w:r>
            <w:r>
              <w:rPr>
                <w:rFonts w:eastAsia="Times New Roman" w:cs="Times New Roman"/>
                <w:kern w:val="0"/>
                <w:sz w:val="21"/>
                <w:szCs w:val="20"/>
              </w:rPr>
              <w:t>304</w:t>
            </w:r>
            <w:r>
              <w:rPr>
                <w:rFonts w:hAnsi="宋体" w:cs="Times New Roman"/>
                <w:kern w:val="0"/>
                <w:sz w:val="21"/>
                <w:szCs w:val="20"/>
              </w:rPr>
              <w:t>轴长</w:t>
            </w:r>
            <w:r>
              <w:rPr>
                <w:rFonts w:eastAsia="Times New Roman" w:cs="Times New Roman"/>
                <w:kern w:val="0"/>
                <w:sz w:val="21"/>
                <w:szCs w:val="20"/>
              </w:rPr>
              <w:t>2400mm</w:t>
            </w:r>
            <w:r>
              <w:rPr>
                <w:rFonts w:hAnsi="宋体" w:cs="Times New Roman"/>
                <w:kern w:val="0"/>
                <w:sz w:val="21"/>
                <w:szCs w:val="20"/>
              </w:rPr>
              <w:t>，配液位计，</w:t>
            </w:r>
            <w:r>
              <w:rPr>
                <w:rFonts w:eastAsia="Times New Roman" w:cs="Times New Roman"/>
                <w:kern w:val="0"/>
                <w:sz w:val="21"/>
                <w:szCs w:val="20"/>
              </w:rPr>
              <w:t>N=5.5kW</w:t>
            </w:r>
            <w:r>
              <w:rPr>
                <w:rFonts w:hAnsi="宋体" w:cs="Times New Roman"/>
                <w:kern w:val="0"/>
                <w:sz w:val="21"/>
                <w:szCs w:val="20"/>
              </w:rPr>
              <w:t>罐体</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材质碳钢防腐，厚度不低于</w:t>
            </w:r>
            <w:r>
              <w:rPr>
                <w:rFonts w:eastAsia="Times New Roman" w:cs="Times New Roman"/>
                <w:kern w:val="0"/>
                <w:sz w:val="21"/>
                <w:szCs w:val="20"/>
              </w:rPr>
              <w:t>8mm</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29</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kern w:val="0"/>
                <w:sz w:val="21"/>
                <w:szCs w:val="20"/>
              </w:rPr>
              <w:t>液碱储罐</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eastAsia="Times New Roman" w:cs="Times New Roman"/>
                <w:kern w:val="0"/>
                <w:sz w:val="21"/>
                <w:szCs w:val="20"/>
              </w:rPr>
            </w:pPr>
            <w:r>
              <w:rPr>
                <w:rFonts w:hAnsi="宋体" w:cs="Times New Roman"/>
                <w:kern w:val="0"/>
                <w:sz w:val="21"/>
                <w:szCs w:val="20"/>
              </w:rPr>
              <w:t>立式，</w:t>
            </w:r>
            <w:r>
              <w:rPr>
                <w:rFonts w:ascii="Cambria Math" w:hAnsi="Cambria Math" w:eastAsia="Times New Roman" w:cs="Times New Roman"/>
                <w:kern w:val="0"/>
                <w:sz w:val="21"/>
                <w:szCs w:val="20"/>
              </w:rPr>
              <w:t>∅</w:t>
            </w:r>
            <w:r>
              <w:rPr>
                <w:rFonts w:eastAsia="Times New Roman" w:cs="Times New Roman"/>
                <w:kern w:val="0"/>
                <w:sz w:val="21"/>
                <w:szCs w:val="20"/>
              </w:rPr>
              <w:t>1600x2500</w:t>
            </w:r>
            <w:r>
              <w:rPr>
                <w:rFonts w:hAnsi="宋体" w:cs="Times New Roman"/>
                <w:kern w:val="0"/>
                <w:sz w:val="21"/>
                <w:szCs w:val="20"/>
              </w:rPr>
              <w:t>，</w:t>
            </w:r>
            <w:r>
              <w:rPr>
                <w:rFonts w:eastAsia="Times New Roman" w:cs="Times New Roman"/>
                <w:kern w:val="0"/>
                <w:sz w:val="21"/>
                <w:szCs w:val="20"/>
              </w:rPr>
              <w:t>V</w:t>
            </w:r>
            <w:r>
              <w:rPr>
                <w:rFonts w:hAnsi="宋体" w:cs="Times New Roman"/>
                <w:kern w:val="0"/>
                <w:sz w:val="21"/>
                <w:szCs w:val="20"/>
              </w:rPr>
              <w:t>＝</w:t>
            </w:r>
            <w:r>
              <w:rPr>
                <w:rFonts w:eastAsia="Times New Roman" w:cs="Times New Roman"/>
                <w:kern w:val="0"/>
                <w:sz w:val="21"/>
                <w:szCs w:val="20"/>
              </w:rPr>
              <w:t>5m3</w:t>
            </w:r>
            <w:r>
              <w:rPr>
                <w:rFonts w:hAnsi="宋体" w:cs="Times New Roman"/>
                <w:kern w:val="0"/>
                <w:sz w:val="21"/>
                <w:szCs w:val="20"/>
              </w:rPr>
              <w:t>，配液位计</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材质</w:t>
            </w:r>
            <w:r>
              <w:rPr>
                <w:rFonts w:eastAsia="Times New Roman" w:cs="Times New Roman"/>
                <w:kern w:val="0"/>
                <w:sz w:val="21"/>
                <w:szCs w:val="20"/>
              </w:rPr>
              <w:t>PP</w:t>
            </w:r>
            <w:r>
              <w:rPr>
                <w:rFonts w:hAnsi="宋体" w:cs="Times New Roman"/>
                <w:kern w:val="0"/>
                <w:sz w:val="21"/>
                <w:szCs w:val="20"/>
              </w:rPr>
              <w:t>，厚度不低于</w:t>
            </w:r>
            <w:r>
              <w:rPr>
                <w:rFonts w:eastAsia="Times New Roman" w:cs="Times New Roman"/>
                <w:kern w:val="0"/>
                <w:sz w:val="21"/>
                <w:szCs w:val="20"/>
              </w:rPr>
              <w:t>10mm</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30</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kern w:val="0"/>
                <w:sz w:val="21"/>
                <w:szCs w:val="20"/>
              </w:rPr>
              <w:t>碱计量箱</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spacing w:line="240" w:lineRule="atLeast"/>
              <w:ind w:left="105"/>
              <w:jc w:val="center"/>
              <w:rPr>
                <w:rFonts w:eastAsia="Times New Roman"/>
                <w:sz w:val="21"/>
                <w:szCs w:val="21"/>
              </w:rPr>
            </w:pPr>
            <w:r>
              <w:rPr>
                <w:rFonts w:ascii="Cambria Math" w:hAnsi="Cambria Math" w:eastAsia="Times New Roman"/>
                <w:sz w:val="21"/>
                <w:szCs w:val="21"/>
              </w:rPr>
              <w:t>∅</w:t>
            </w:r>
            <w:r>
              <w:rPr>
                <w:rFonts w:eastAsia="Times New Roman"/>
                <w:sz w:val="21"/>
                <w:szCs w:val="21"/>
              </w:rPr>
              <w:t>1000x1600</w:t>
            </w:r>
            <w:r>
              <w:rPr>
                <w:rFonts w:hAnsi="宋体"/>
                <w:sz w:val="21"/>
                <w:szCs w:val="21"/>
              </w:rPr>
              <w:t>，</w:t>
            </w:r>
            <w:r>
              <w:rPr>
                <w:rFonts w:eastAsia="Times New Roman"/>
                <w:sz w:val="21"/>
                <w:szCs w:val="21"/>
              </w:rPr>
              <w:t>V</w:t>
            </w:r>
            <w:r>
              <w:rPr>
                <w:rFonts w:hAnsi="宋体"/>
                <w:sz w:val="21"/>
                <w:szCs w:val="21"/>
              </w:rPr>
              <w:t>＝</w:t>
            </w:r>
            <w:r>
              <w:rPr>
                <w:rFonts w:eastAsia="Times New Roman"/>
                <w:sz w:val="21"/>
                <w:szCs w:val="21"/>
              </w:rPr>
              <w:t>1m3</w:t>
            </w:r>
          </w:p>
          <w:p>
            <w:pPr>
              <w:spacing w:line="240" w:lineRule="atLeast"/>
              <w:ind w:firstLine="0" w:firstLineChars="0"/>
              <w:rPr>
                <w:rFonts w:eastAsia="Times New Roman" w:cs="Times New Roman"/>
                <w:kern w:val="0"/>
                <w:sz w:val="21"/>
                <w:szCs w:val="20"/>
              </w:rPr>
            </w:pP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pStyle w:val="191"/>
              <w:spacing w:line="240" w:lineRule="atLeast"/>
              <w:ind w:left="105"/>
              <w:jc w:val="center"/>
              <w:rPr>
                <w:sz w:val="21"/>
                <w:szCs w:val="21"/>
              </w:rPr>
            </w:pPr>
            <w:r>
              <w:rPr>
                <w:rFonts w:hAnsi="宋体"/>
                <w:sz w:val="21"/>
                <w:szCs w:val="21"/>
              </w:rPr>
              <w:t>材质玻璃钢，厚度不低于</w:t>
            </w:r>
            <w:r>
              <w:rPr>
                <w:rFonts w:eastAsia="Times New Roman"/>
                <w:sz w:val="21"/>
                <w:szCs w:val="21"/>
              </w:rPr>
              <w:t>12mm</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31</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kern w:val="0"/>
                <w:sz w:val="21"/>
                <w:szCs w:val="20"/>
              </w:rPr>
              <w:t>酸计量箱</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spacing w:line="240" w:lineRule="atLeast"/>
              <w:ind w:left="105"/>
              <w:jc w:val="center"/>
              <w:rPr>
                <w:rFonts w:eastAsia="Times New Roman"/>
                <w:sz w:val="21"/>
                <w:szCs w:val="21"/>
              </w:rPr>
            </w:pPr>
            <w:r>
              <w:rPr>
                <w:rFonts w:ascii="Cambria Math" w:hAnsi="Cambria Math" w:eastAsia="Times New Roman"/>
                <w:sz w:val="21"/>
                <w:szCs w:val="21"/>
              </w:rPr>
              <w:t>∅</w:t>
            </w:r>
            <w:r>
              <w:rPr>
                <w:rFonts w:eastAsia="Times New Roman"/>
                <w:sz w:val="21"/>
                <w:szCs w:val="21"/>
              </w:rPr>
              <w:t>1000x1600</w:t>
            </w:r>
            <w:r>
              <w:rPr>
                <w:rFonts w:hAnsi="宋体"/>
                <w:sz w:val="21"/>
                <w:szCs w:val="21"/>
              </w:rPr>
              <w:t>，</w:t>
            </w:r>
            <w:r>
              <w:rPr>
                <w:rFonts w:eastAsia="Times New Roman"/>
                <w:sz w:val="21"/>
                <w:szCs w:val="21"/>
              </w:rPr>
              <w:t>V</w:t>
            </w:r>
            <w:r>
              <w:rPr>
                <w:rFonts w:hAnsi="宋体"/>
                <w:sz w:val="21"/>
                <w:szCs w:val="21"/>
              </w:rPr>
              <w:t>＝</w:t>
            </w:r>
            <w:r>
              <w:rPr>
                <w:rFonts w:eastAsia="Times New Roman"/>
                <w:sz w:val="21"/>
                <w:szCs w:val="21"/>
              </w:rPr>
              <w:t>1m3</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个</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pStyle w:val="191"/>
              <w:spacing w:line="240" w:lineRule="atLeast"/>
              <w:ind w:left="105"/>
              <w:jc w:val="center"/>
              <w:rPr>
                <w:sz w:val="21"/>
                <w:szCs w:val="21"/>
              </w:rPr>
            </w:pPr>
            <w:r>
              <w:rPr>
                <w:rFonts w:hAnsi="宋体"/>
                <w:sz w:val="21"/>
                <w:szCs w:val="21"/>
              </w:rPr>
              <w:t>材质玻璃钢，厚度不低于</w:t>
            </w:r>
            <w:r>
              <w:rPr>
                <w:rFonts w:eastAsia="Times New Roman"/>
                <w:sz w:val="21"/>
                <w:szCs w:val="21"/>
              </w:rPr>
              <w:t>12mm</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32</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hAnsi="宋体" w:cs="Times New Roman"/>
                <w:kern w:val="0"/>
                <w:sz w:val="21"/>
                <w:szCs w:val="20"/>
              </w:rPr>
              <w:t>加药装置</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spacing w:line="240" w:lineRule="atLeast"/>
              <w:ind w:left="105"/>
              <w:jc w:val="center"/>
              <w:rPr>
                <w:sz w:val="21"/>
                <w:szCs w:val="21"/>
              </w:rPr>
            </w:pPr>
            <w:r>
              <w:rPr>
                <w:rFonts w:hAnsi="宋体"/>
                <w:sz w:val="21"/>
                <w:szCs w:val="21"/>
              </w:rPr>
              <w:t>溶药槽（</w:t>
            </w:r>
            <w:r>
              <w:rPr>
                <w:rFonts w:eastAsia="Times New Roman"/>
                <w:sz w:val="21"/>
                <w:szCs w:val="21"/>
              </w:rPr>
              <w:t>1</w:t>
            </w:r>
            <w:r>
              <w:rPr>
                <w:rFonts w:hAnsi="宋体"/>
                <w:sz w:val="21"/>
                <w:szCs w:val="21"/>
              </w:rPr>
              <w:t>个）</w:t>
            </w:r>
            <w:r>
              <w:rPr>
                <w:rFonts w:ascii="Cambria Math" w:hAnsi="Cambria Math" w:eastAsia="Times New Roman"/>
                <w:sz w:val="21"/>
                <w:szCs w:val="21"/>
              </w:rPr>
              <w:t>∅</w:t>
            </w:r>
            <w:r>
              <w:rPr>
                <w:rFonts w:eastAsia="Times New Roman"/>
                <w:sz w:val="21"/>
                <w:szCs w:val="21"/>
              </w:rPr>
              <w:t>800x1000</w:t>
            </w:r>
            <w:r>
              <w:rPr>
                <w:rFonts w:hAnsi="宋体"/>
                <w:sz w:val="21"/>
                <w:szCs w:val="21"/>
              </w:rPr>
              <w:t>，</w:t>
            </w:r>
          </w:p>
          <w:p>
            <w:pPr>
              <w:pStyle w:val="191"/>
              <w:spacing w:line="240" w:lineRule="atLeast"/>
              <w:ind w:left="105"/>
              <w:jc w:val="center"/>
              <w:rPr>
                <w:sz w:val="21"/>
                <w:szCs w:val="21"/>
              </w:rPr>
            </w:pPr>
            <w:r>
              <w:rPr>
                <w:rFonts w:hAnsi="宋体"/>
                <w:sz w:val="21"/>
                <w:szCs w:val="21"/>
              </w:rPr>
              <w:t>机械搅拌，斜桨</w:t>
            </w:r>
            <w:r>
              <w:rPr>
                <w:rFonts w:hAnsi="宋体"/>
                <w:spacing w:val="8"/>
                <w:sz w:val="21"/>
                <w:szCs w:val="21"/>
              </w:rPr>
              <w:t>式</w:t>
            </w:r>
            <w:r>
              <w:rPr>
                <w:rFonts w:eastAsia="Times New Roman"/>
                <w:spacing w:val="8"/>
                <w:sz w:val="21"/>
                <w:szCs w:val="21"/>
              </w:rPr>
              <w:t>1.1kw</w:t>
            </w:r>
            <w:r>
              <w:rPr>
                <w:rFonts w:hAnsi="宋体"/>
                <w:spacing w:val="8"/>
                <w:sz w:val="21"/>
                <w:szCs w:val="21"/>
              </w:rPr>
              <w:t>；药槽</w:t>
            </w:r>
            <w:r>
              <w:rPr>
                <w:rFonts w:hAnsi="宋体"/>
                <w:sz w:val="21"/>
                <w:szCs w:val="21"/>
              </w:rPr>
              <w:t>（</w:t>
            </w:r>
            <w:r>
              <w:rPr>
                <w:rFonts w:eastAsia="Times New Roman"/>
                <w:sz w:val="21"/>
                <w:szCs w:val="21"/>
              </w:rPr>
              <w:t xml:space="preserve">1 </w:t>
            </w:r>
            <w:r>
              <w:rPr>
                <w:rFonts w:hAnsi="宋体"/>
                <w:spacing w:val="18"/>
                <w:sz w:val="21"/>
                <w:szCs w:val="21"/>
              </w:rPr>
              <w:t>个）</w:t>
            </w:r>
          </w:p>
          <w:p>
            <w:pPr>
              <w:pStyle w:val="191"/>
              <w:spacing w:line="240" w:lineRule="atLeast"/>
              <w:ind w:left="105"/>
              <w:jc w:val="center"/>
              <w:rPr>
                <w:sz w:val="21"/>
                <w:szCs w:val="21"/>
              </w:rPr>
            </w:pPr>
            <w:r>
              <w:rPr>
                <w:rFonts w:ascii="Cambria Math" w:hAnsi="Cambria Math" w:eastAsia="Times New Roman"/>
                <w:sz w:val="21"/>
                <w:szCs w:val="21"/>
              </w:rPr>
              <w:t>∅</w:t>
            </w:r>
            <w:r>
              <w:rPr>
                <w:rFonts w:eastAsia="Times New Roman"/>
                <w:sz w:val="21"/>
                <w:szCs w:val="21"/>
              </w:rPr>
              <w:t>1000x1200</w:t>
            </w:r>
            <w:r>
              <w:rPr>
                <w:rFonts w:hAnsi="宋体"/>
                <w:sz w:val="21"/>
                <w:szCs w:val="21"/>
              </w:rPr>
              <w:t>，</w:t>
            </w:r>
          </w:p>
          <w:p>
            <w:pPr>
              <w:pStyle w:val="191"/>
              <w:spacing w:line="240" w:lineRule="atLeast"/>
              <w:ind w:left="105"/>
              <w:jc w:val="center"/>
              <w:rPr>
                <w:rFonts w:eastAsia="Times New Roman"/>
                <w:sz w:val="21"/>
                <w:szCs w:val="21"/>
              </w:rPr>
            </w:pPr>
            <w:r>
              <w:rPr>
                <w:rFonts w:hAnsi="宋体"/>
                <w:sz w:val="21"/>
                <w:szCs w:val="21"/>
              </w:rPr>
              <w:t>计量泵两台，</w:t>
            </w:r>
            <w:r>
              <w:rPr>
                <w:rFonts w:eastAsia="Times New Roman"/>
                <w:sz w:val="21"/>
                <w:szCs w:val="21"/>
              </w:rPr>
              <w:t>0-100L/h</w:t>
            </w:r>
            <w:r>
              <w:rPr>
                <w:rFonts w:hAnsi="宋体"/>
                <w:sz w:val="21"/>
                <w:szCs w:val="21"/>
              </w:rPr>
              <w:t>，</w:t>
            </w:r>
            <w:r>
              <w:rPr>
                <w:rFonts w:eastAsia="Times New Roman"/>
                <w:sz w:val="21"/>
                <w:szCs w:val="21"/>
              </w:rPr>
              <w:t>0-50m</w:t>
            </w:r>
            <w:r>
              <w:rPr>
                <w:rFonts w:hAnsi="宋体"/>
                <w:sz w:val="21"/>
                <w:szCs w:val="21"/>
              </w:rPr>
              <w:t>；</w:t>
            </w:r>
            <w:r>
              <w:rPr>
                <w:rFonts w:eastAsia="Times New Roman"/>
                <w:sz w:val="21"/>
                <w:szCs w:val="21"/>
              </w:rPr>
              <w:t>60W</w:t>
            </w:r>
            <w:r>
              <w:rPr>
                <w:rFonts w:hAnsi="宋体"/>
                <w:sz w:val="21"/>
                <w:szCs w:val="21"/>
              </w:rPr>
              <w:t>，配控制箱</w:t>
            </w:r>
            <w:r>
              <w:rPr>
                <w:rFonts w:eastAsia="Times New Roman"/>
                <w:sz w:val="21"/>
                <w:szCs w:val="21"/>
              </w:rPr>
              <w:t>260mm*320mm*180mm304</w:t>
            </w:r>
            <w:r>
              <w:rPr>
                <w:rFonts w:hAnsi="宋体"/>
                <w:sz w:val="21"/>
                <w:szCs w:val="21"/>
              </w:rPr>
              <w:t>材质</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spacing w:val="7"/>
                <w:kern w:val="0"/>
                <w:sz w:val="21"/>
                <w:szCs w:val="20"/>
              </w:rPr>
              <w:t>材质</w:t>
            </w:r>
            <w:r>
              <w:rPr>
                <w:rFonts w:eastAsia="Times New Roman" w:cs="Times New Roman"/>
                <w:kern w:val="0"/>
                <w:sz w:val="21"/>
                <w:szCs w:val="20"/>
              </w:rPr>
              <w:t>PP</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33</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eastAsia="Times New Roman" w:cs="Times New Roman"/>
                <w:spacing w:val="-7"/>
                <w:kern w:val="0"/>
                <w:sz w:val="21"/>
                <w:szCs w:val="20"/>
              </w:rPr>
              <w:t xml:space="preserve">PAC   </w:t>
            </w:r>
            <w:r>
              <w:rPr>
                <w:rFonts w:hAnsi="宋体" w:cs="Times New Roman"/>
                <w:kern w:val="0"/>
                <w:sz w:val="21"/>
                <w:szCs w:val="20"/>
              </w:rPr>
              <w:t>加药装置</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spacing w:line="240" w:lineRule="atLeast"/>
              <w:ind w:left="105"/>
              <w:jc w:val="center"/>
              <w:rPr>
                <w:sz w:val="21"/>
                <w:szCs w:val="21"/>
              </w:rPr>
            </w:pPr>
            <w:r>
              <w:rPr>
                <w:rFonts w:hAnsi="宋体"/>
                <w:sz w:val="21"/>
                <w:szCs w:val="21"/>
              </w:rPr>
              <w:t>溶药槽（</w:t>
            </w:r>
            <w:r>
              <w:rPr>
                <w:rFonts w:eastAsia="Times New Roman"/>
                <w:sz w:val="21"/>
                <w:szCs w:val="21"/>
              </w:rPr>
              <w:t>1</w:t>
            </w:r>
            <w:r>
              <w:rPr>
                <w:rFonts w:hAnsi="宋体"/>
                <w:spacing w:val="47"/>
                <w:sz w:val="21"/>
                <w:szCs w:val="21"/>
              </w:rPr>
              <w:t>个）</w:t>
            </w:r>
          </w:p>
          <w:p>
            <w:pPr>
              <w:pStyle w:val="191"/>
              <w:spacing w:line="240" w:lineRule="atLeast"/>
              <w:ind w:left="105"/>
              <w:jc w:val="center"/>
              <w:rPr>
                <w:sz w:val="21"/>
                <w:szCs w:val="21"/>
              </w:rPr>
            </w:pPr>
            <w:r>
              <w:rPr>
                <w:rFonts w:ascii="Cambria Math" w:hAnsi="Cambria Math" w:eastAsia="Times New Roman"/>
                <w:sz w:val="21"/>
                <w:szCs w:val="21"/>
              </w:rPr>
              <w:t>∅</w:t>
            </w:r>
            <w:r>
              <w:rPr>
                <w:rFonts w:eastAsia="Times New Roman"/>
                <w:sz w:val="21"/>
                <w:szCs w:val="21"/>
              </w:rPr>
              <w:t>800x1000</w:t>
            </w:r>
            <w:r>
              <w:rPr>
                <w:rFonts w:hAnsi="宋体"/>
                <w:sz w:val="21"/>
                <w:szCs w:val="21"/>
              </w:rPr>
              <w:t>，机械搅拌斜桨式</w:t>
            </w:r>
            <w:r>
              <w:rPr>
                <w:rFonts w:eastAsia="Times New Roman"/>
                <w:sz w:val="21"/>
                <w:szCs w:val="21"/>
              </w:rPr>
              <w:t>1.1kw</w:t>
            </w:r>
            <w:r>
              <w:rPr>
                <w:rFonts w:hAnsi="宋体"/>
                <w:sz w:val="21"/>
                <w:szCs w:val="21"/>
              </w:rPr>
              <w:t>；储药槽</w:t>
            </w:r>
          </w:p>
          <w:p>
            <w:pPr>
              <w:pStyle w:val="191"/>
              <w:spacing w:line="240" w:lineRule="atLeast"/>
              <w:ind w:left="105"/>
              <w:jc w:val="center"/>
              <w:rPr>
                <w:sz w:val="21"/>
                <w:szCs w:val="21"/>
              </w:rPr>
            </w:pPr>
            <w:r>
              <w:rPr>
                <w:rFonts w:hAnsi="宋体"/>
                <w:sz w:val="21"/>
                <w:szCs w:val="21"/>
              </w:rPr>
              <w:t>（</w:t>
            </w:r>
            <w:r>
              <w:rPr>
                <w:rFonts w:eastAsia="Times New Roman"/>
                <w:sz w:val="21"/>
                <w:szCs w:val="21"/>
              </w:rPr>
              <w:t>1</w:t>
            </w:r>
            <w:r>
              <w:rPr>
                <w:rFonts w:hAnsi="宋体"/>
                <w:sz w:val="21"/>
                <w:szCs w:val="21"/>
              </w:rPr>
              <w:t>个）</w:t>
            </w:r>
            <w:r>
              <w:rPr>
                <w:rFonts w:ascii="Cambria Math" w:hAnsi="Cambria Math" w:eastAsia="Times New Roman"/>
                <w:sz w:val="21"/>
                <w:szCs w:val="21"/>
              </w:rPr>
              <w:t>∅</w:t>
            </w:r>
            <w:r>
              <w:rPr>
                <w:rFonts w:eastAsia="Times New Roman"/>
                <w:sz w:val="21"/>
                <w:szCs w:val="21"/>
              </w:rPr>
              <w:t>1000x1200</w:t>
            </w:r>
            <w:r>
              <w:rPr>
                <w:rFonts w:hAnsi="宋体"/>
                <w:sz w:val="21"/>
                <w:szCs w:val="21"/>
              </w:rPr>
              <w:t>，</w:t>
            </w:r>
          </w:p>
          <w:p>
            <w:pPr>
              <w:spacing w:line="240" w:lineRule="atLeast"/>
              <w:ind w:firstLine="0" w:firstLineChars="0"/>
              <w:rPr>
                <w:rFonts w:eastAsia="Times New Roman" w:cs="Times New Roman"/>
                <w:kern w:val="0"/>
                <w:sz w:val="21"/>
                <w:szCs w:val="20"/>
              </w:rPr>
            </w:pPr>
            <w:r>
              <w:rPr>
                <w:rFonts w:hAnsi="宋体" w:cs="Times New Roman"/>
                <w:kern w:val="0"/>
                <w:sz w:val="21"/>
                <w:szCs w:val="20"/>
              </w:rPr>
              <w:t>计量泵两台，</w:t>
            </w:r>
            <w:r>
              <w:rPr>
                <w:rFonts w:eastAsia="Times New Roman" w:cs="Times New Roman"/>
                <w:kern w:val="0"/>
                <w:sz w:val="21"/>
                <w:szCs w:val="20"/>
              </w:rPr>
              <w:t>0-50L/h</w:t>
            </w:r>
            <w:r>
              <w:rPr>
                <w:rFonts w:hAnsi="宋体" w:cs="Times New Roman"/>
                <w:kern w:val="0"/>
                <w:sz w:val="21"/>
                <w:szCs w:val="20"/>
              </w:rPr>
              <w:t>，</w:t>
            </w:r>
            <w:r>
              <w:rPr>
                <w:rFonts w:eastAsia="Times New Roman" w:cs="Times New Roman"/>
                <w:kern w:val="0"/>
                <w:sz w:val="21"/>
                <w:szCs w:val="20"/>
              </w:rPr>
              <w:t>0-50m</w:t>
            </w:r>
            <w:r>
              <w:rPr>
                <w:rFonts w:hAnsi="宋体" w:cs="Times New Roman"/>
                <w:kern w:val="0"/>
                <w:sz w:val="21"/>
                <w:szCs w:val="20"/>
              </w:rPr>
              <w:t>，</w:t>
            </w:r>
            <w:r>
              <w:rPr>
                <w:rFonts w:eastAsia="Times New Roman" w:cs="Times New Roman"/>
                <w:kern w:val="0"/>
                <w:sz w:val="21"/>
                <w:szCs w:val="20"/>
              </w:rPr>
              <w:t>60W</w:t>
            </w:r>
            <w:r>
              <w:rPr>
                <w:rFonts w:hAnsi="宋体" w:cs="Times New Roman"/>
                <w:kern w:val="0"/>
                <w:sz w:val="21"/>
                <w:szCs w:val="20"/>
              </w:rPr>
              <w:t>；，配控制箱</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材质</w:t>
            </w:r>
            <w:r>
              <w:rPr>
                <w:rFonts w:eastAsia="Times New Roman" w:cs="Times New Roman"/>
                <w:kern w:val="0"/>
                <w:sz w:val="21"/>
                <w:szCs w:val="20"/>
              </w:rPr>
              <w:t>PP</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34</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spacing w:val="14"/>
                <w:kern w:val="0"/>
                <w:sz w:val="21"/>
                <w:szCs w:val="20"/>
              </w:rPr>
            </w:pPr>
            <w:r>
              <w:rPr>
                <w:rFonts w:eastAsia="Times New Roman" w:cs="Times New Roman"/>
                <w:spacing w:val="-7"/>
                <w:kern w:val="0"/>
                <w:sz w:val="21"/>
                <w:szCs w:val="20"/>
              </w:rPr>
              <w:t xml:space="preserve">PAM </w:t>
            </w:r>
            <w:r>
              <w:rPr>
                <w:rFonts w:hAnsi="宋体" w:cs="Times New Roman"/>
                <w:spacing w:val="-7"/>
                <w:kern w:val="0"/>
                <w:sz w:val="21"/>
                <w:szCs w:val="20"/>
              </w:rPr>
              <w:t>加药装</w:t>
            </w:r>
            <w:r>
              <w:rPr>
                <w:rFonts w:hAnsi="宋体" w:cs="Times New Roman"/>
                <w:spacing w:val="72"/>
                <w:kern w:val="0"/>
                <w:sz w:val="21"/>
                <w:szCs w:val="20"/>
              </w:rPr>
              <w:t>置</w:t>
            </w:r>
          </w:p>
        </w:tc>
        <w:tc>
          <w:tcPr>
            <w:tcW w:w="2687" w:type="dxa"/>
            <w:tcBorders>
              <w:top w:val="dotted" w:color="auto" w:sz="8" w:space="0"/>
              <w:left w:val="dotted" w:color="auto" w:sz="8" w:space="0"/>
              <w:bottom w:val="dotted" w:color="auto" w:sz="8" w:space="0"/>
              <w:right w:val="dotted" w:color="auto" w:sz="8" w:space="0"/>
            </w:tcBorders>
            <w:vAlign w:val="center"/>
          </w:tcPr>
          <w:p>
            <w:pPr>
              <w:pStyle w:val="191"/>
              <w:spacing w:line="240" w:lineRule="atLeast"/>
              <w:ind w:left="105"/>
              <w:jc w:val="center"/>
              <w:rPr>
                <w:sz w:val="21"/>
                <w:szCs w:val="21"/>
              </w:rPr>
            </w:pPr>
            <w:r>
              <w:rPr>
                <w:rFonts w:hAnsi="宋体"/>
                <w:spacing w:val="60"/>
                <w:sz w:val="21"/>
                <w:szCs w:val="21"/>
              </w:rPr>
              <w:t>溶药槽</w:t>
            </w:r>
            <w:r>
              <w:rPr>
                <w:rFonts w:hAnsi="宋体"/>
                <w:sz w:val="21"/>
                <w:szCs w:val="21"/>
              </w:rPr>
              <w:t>（</w:t>
            </w:r>
            <w:r>
              <w:rPr>
                <w:rFonts w:eastAsia="Times New Roman"/>
                <w:sz w:val="21"/>
                <w:szCs w:val="21"/>
              </w:rPr>
              <w:t xml:space="preserve">1 </w:t>
            </w:r>
            <w:r>
              <w:rPr>
                <w:rFonts w:hAnsi="宋体"/>
                <w:spacing w:val="45"/>
                <w:sz w:val="21"/>
                <w:szCs w:val="21"/>
              </w:rPr>
              <w:t>个）</w:t>
            </w:r>
          </w:p>
          <w:p>
            <w:pPr>
              <w:pStyle w:val="191"/>
              <w:spacing w:line="240" w:lineRule="atLeast"/>
              <w:ind w:left="105"/>
              <w:jc w:val="center"/>
              <w:rPr>
                <w:sz w:val="21"/>
                <w:szCs w:val="21"/>
              </w:rPr>
            </w:pPr>
            <w:r>
              <w:rPr>
                <w:rFonts w:ascii="Cambria Math" w:hAnsi="Cambria Math" w:eastAsia="Times New Roman"/>
                <w:sz w:val="21"/>
                <w:szCs w:val="21"/>
              </w:rPr>
              <w:t>∅</w:t>
            </w:r>
            <w:r>
              <w:rPr>
                <w:rFonts w:eastAsia="Times New Roman"/>
                <w:sz w:val="21"/>
                <w:szCs w:val="21"/>
              </w:rPr>
              <w:t>800x1000</w:t>
            </w:r>
            <w:r>
              <w:rPr>
                <w:rFonts w:hAnsi="宋体"/>
                <w:sz w:val="21"/>
                <w:szCs w:val="21"/>
              </w:rPr>
              <w:t>，</w:t>
            </w:r>
          </w:p>
          <w:p>
            <w:pPr>
              <w:pStyle w:val="191"/>
              <w:spacing w:line="240" w:lineRule="atLeast"/>
              <w:ind w:left="105"/>
              <w:jc w:val="center"/>
              <w:rPr>
                <w:sz w:val="21"/>
                <w:szCs w:val="21"/>
              </w:rPr>
            </w:pPr>
            <w:r>
              <w:rPr>
                <w:rFonts w:hAnsi="宋体"/>
                <w:sz w:val="21"/>
                <w:szCs w:val="21"/>
              </w:rPr>
              <w:t>机械搅拌斜桨式</w:t>
            </w:r>
            <w:r>
              <w:rPr>
                <w:rFonts w:eastAsia="Times New Roman"/>
                <w:sz w:val="21"/>
                <w:szCs w:val="21"/>
              </w:rPr>
              <w:t>1.1kw</w:t>
            </w:r>
            <w:r>
              <w:rPr>
                <w:rFonts w:hAnsi="宋体"/>
                <w:sz w:val="21"/>
                <w:szCs w:val="21"/>
              </w:rPr>
              <w:t>；</w:t>
            </w:r>
            <w:r>
              <w:rPr>
                <w:rFonts w:hAnsi="宋体"/>
                <w:spacing w:val="20"/>
                <w:sz w:val="21"/>
                <w:szCs w:val="21"/>
              </w:rPr>
              <w:t>储药槽</w:t>
            </w:r>
            <w:r>
              <w:rPr>
                <w:rFonts w:hAnsi="宋体"/>
                <w:sz w:val="21"/>
                <w:szCs w:val="21"/>
              </w:rPr>
              <w:t>（</w:t>
            </w:r>
            <w:r>
              <w:rPr>
                <w:rFonts w:eastAsia="Times New Roman"/>
                <w:sz w:val="21"/>
                <w:szCs w:val="21"/>
              </w:rPr>
              <w:t xml:space="preserve">1 </w:t>
            </w:r>
            <w:r>
              <w:rPr>
                <w:rFonts w:hAnsi="宋体"/>
                <w:spacing w:val="15"/>
                <w:sz w:val="21"/>
                <w:szCs w:val="21"/>
              </w:rPr>
              <w:t>个）</w:t>
            </w:r>
          </w:p>
          <w:p>
            <w:pPr>
              <w:pStyle w:val="191"/>
              <w:spacing w:before="16" w:line="240" w:lineRule="atLeast"/>
              <w:ind w:left="105" w:right="98"/>
              <w:jc w:val="center"/>
              <w:rPr>
                <w:sz w:val="21"/>
                <w:szCs w:val="21"/>
              </w:rPr>
            </w:pPr>
            <w:r>
              <w:rPr>
                <w:rFonts w:ascii="Cambria Math" w:hAnsi="Cambria Math" w:eastAsia="Times New Roman"/>
                <w:sz w:val="21"/>
                <w:szCs w:val="21"/>
              </w:rPr>
              <w:t>∅</w:t>
            </w:r>
            <w:r>
              <w:rPr>
                <w:rFonts w:eastAsia="Times New Roman"/>
                <w:sz w:val="21"/>
                <w:szCs w:val="21"/>
              </w:rPr>
              <w:t>1000x1200</w:t>
            </w:r>
            <w:r>
              <w:rPr>
                <w:rFonts w:hAnsi="宋体"/>
                <w:sz w:val="21"/>
                <w:szCs w:val="21"/>
              </w:rPr>
              <w:t>，计量泵两台，</w:t>
            </w:r>
            <w:r>
              <w:rPr>
                <w:rFonts w:eastAsia="Times New Roman"/>
                <w:sz w:val="21"/>
                <w:szCs w:val="21"/>
              </w:rPr>
              <w:t>0-50L/h</w:t>
            </w:r>
            <w:r>
              <w:rPr>
                <w:rFonts w:hAnsi="宋体"/>
                <w:sz w:val="21"/>
                <w:szCs w:val="21"/>
              </w:rPr>
              <w:t>，</w:t>
            </w:r>
            <w:r>
              <w:rPr>
                <w:rFonts w:eastAsia="Times New Roman"/>
                <w:sz w:val="21"/>
                <w:szCs w:val="21"/>
              </w:rPr>
              <w:t>0- 50m</w:t>
            </w:r>
            <w:r>
              <w:rPr>
                <w:rFonts w:hAnsi="宋体"/>
                <w:sz w:val="21"/>
                <w:szCs w:val="21"/>
              </w:rPr>
              <w:t>，</w:t>
            </w:r>
            <w:r>
              <w:rPr>
                <w:rFonts w:eastAsia="Times New Roman"/>
                <w:sz w:val="21"/>
                <w:szCs w:val="21"/>
              </w:rPr>
              <w:t>60W</w:t>
            </w:r>
            <w:r>
              <w:rPr>
                <w:rFonts w:hAnsi="宋体"/>
                <w:sz w:val="21"/>
                <w:szCs w:val="21"/>
              </w:rPr>
              <w:t>；</w:t>
            </w:r>
          </w:p>
          <w:p>
            <w:pPr>
              <w:spacing w:line="240" w:lineRule="atLeast"/>
              <w:ind w:firstLine="0" w:firstLineChars="0"/>
              <w:rPr>
                <w:rFonts w:eastAsia="Times New Roman" w:cs="Times New Roman"/>
                <w:kern w:val="0"/>
                <w:sz w:val="21"/>
                <w:szCs w:val="20"/>
              </w:rPr>
            </w:pP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Ansi="宋体" w:cs="Times New Roman"/>
                <w:kern w:val="0"/>
                <w:sz w:val="21"/>
                <w:szCs w:val="20"/>
              </w:rPr>
              <w:t>材质</w:t>
            </w:r>
            <w:r>
              <w:rPr>
                <w:rFonts w:eastAsia="Times New Roman" w:cs="Times New Roman"/>
                <w:kern w:val="0"/>
                <w:sz w:val="21"/>
                <w:szCs w:val="20"/>
              </w:rPr>
              <w:t>PP</w:t>
            </w: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35</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在线pH计</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0-14</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7</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36</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在线温度计</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37</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液位计</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套</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20</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38</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仪表箱</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批</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39</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自控柜</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批</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40</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配电柜、配电箱等</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批</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41</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管道、管件等</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电控阀门等</w:t>
            </w: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批</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42</w:t>
            </w:r>
          </w:p>
        </w:tc>
        <w:tc>
          <w:tcPr>
            <w:tcW w:w="170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防腐保温</w:t>
            </w:r>
          </w:p>
        </w:tc>
        <w:tc>
          <w:tcPr>
            <w:tcW w:w="268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7"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批</w:t>
            </w:r>
          </w:p>
        </w:tc>
        <w:tc>
          <w:tcPr>
            <w:tcW w:w="71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p>
        </w:tc>
        <w:tc>
          <w:tcPr>
            <w:tcW w:w="65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PrEx>
        <w:trPr>
          <w:cantSplit/>
          <w:trHeight w:val="284" w:hRule="atLeast"/>
        </w:trPr>
        <w:tc>
          <w:tcPr>
            <w:tcW w:w="563" w:type="dxa"/>
            <w:tcBorders>
              <w:top w:val="dotted" w:color="auto" w:sz="8" w:space="0"/>
              <w:left w:val="nil"/>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43</w:t>
            </w:r>
          </w:p>
        </w:tc>
        <w:tc>
          <w:tcPr>
            <w:tcW w:w="1704"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钢结构</w:t>
            </w:r>
          </w:p>
        </w:tc>
        <w:tc>
          <w:tcPr>
            <w:tcW w:w="2687"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平台爬梯、管道支架</w:t>
            </w:r>
          </w:p>
        </w:tc>
        <w:tc>
          <w:tcPr>
            <w:tcW w:w="657"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批</w:t>
            </w:r>
          </w:p>
        </w:tc>
        <w:tc>
          <w:tcPr>
            <w:tcW w:w="712"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w:t>
            </w:r>
          </w:p>
        </w:tc>
        <w:tc>
          <w:tcPr>
            <w:tcW w:w="2096"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p>
        </w:tc>
        <w:tc>
          <w:tcPr>
            <w:tcW w:w="651" w:type="dxa"/>
            <w:tcBorders>
              <w:top w:val="dotted" w:color="auto" w:sz="8" w:space="0"/>
              <w:left w:val="dotted" w:color="auto" w:sz="8" w:space="0"/>
              <w:bottom w:val="single" w:color="auto" w:sz="12" w:space="0"/>
              <w:right w:val="nil"/>
            </w:tcBorders>
            <w:vAlign w:val="center"/>
          </w:tcPr>
          <w:p>
            <w:pPr>
              <w:spacing w:line="240" w:lineRule="atLeast"/>
              <w:ind w:firstLine="0" w:firstLineChars="0"/>
              <w:rPr>
                <w:rFonts w:cs="Times New Roman"/>
                <w:kern w:val="0"/>
                <w:sz w:val="21"/>
                <w:szCs w:val="20"/>
              </w:rPr>
            </w:pPr>
          </w:p>
        </w:tc>
      </w:tr>
    </w:tbl>
    <w:p>
      <w:pPr>
        <w:ind w:firstLine="480"/>
      </w:pPr>
    </w:p>
    <w:p>
      <w:pPr>
        <w:pStyle w:val="5"/>
      </w:pPr>
      <w:bookmarkStart w:id="233" w:name="_Toc13760145"/>
      <w:r>
        <w:t>4.</w:t>
      </w:r>
      <w:r>
        <w:rPr>
          <w:rFonts w:hint="eastAsia"/>
        </w:rPr>
        <w:t>5</w:t>
      </w:r>
      <w:r>
        <w:t>.</w:t>
      </w:r>
      <w:r>
        <w:rPr>
          <w:rFonts w:hint="eastAsia"/>
        </w:rPr>
        <w:t>3产污情况</w:t>
      </w:r>
      <w:bookmarkEnd w:id="233"/>
    </w:p>
    <w:p>
      <w:pPr>
        <w:ind w:firstLine="480"/>
      </w:pPr>
      <w:r>
        <w:t>(1)</w:t>
      </w:r>
      <w:r>
        <w:rPr>
          <w:rFonts w:hint="eastAsia"/>
        </w:rPr>
        <w:t>废气</w:t>
      </w:r>
    </w:p>
    <w:p>
      <w:pPr>
        <w:ind w:firstLine="480"/>
      </w:pPr>
      <w:r>
        <w:rPr>
          <w:rFonts w:hint="eastAsia"/>
        </w:rPr>
        <w:t>物化车间产生的废气主要为废酸、碱处理工段中和反应釜排气。由于反应釜中加入大量废酸，而且中和反应是放热反应，所以在此状态下中和反应釜中会产生酸雾，故中和反应釜中出来的含有酸雾的废气</w:t>
      </w:r>
      <w:r>
        <w:t>G2</w:t>
      </w:r>
      <w:r>
        <w:rPr>
          <w:rFonts w:hint="eastAsia"/>
        </w:rPr>
        <w:t>进入二级酸雾吸收塔由氢氧化钠溶液进行喷淋后，通过高</w:t>
      </w:r>
      <w:r>
        <w:t>20m</w:t>
      </w:r>
      <w:r>
        <w:rPr>
          <w:rFonts w:hint="eastAsia"/>
        </w:rPr>
        <w:t>的烟囱进行排放，酸雾吸收塔的吸收效率按</w:t>
      </w:r>
      <w:r>
        <w:t>95%</w:t>
      </w:r>
      <w:r>
        <w:rPr>
          <w:rFonts w:hint="eastAsia"/>
        </w:rPr>
        <w:t>计。</w:t>
      </w:r>
    </w:p>
    <w:p>
      <w:pPr>
        <w:pStyle w:val="161"/>
        <w:ind w:firstLine="480"/>
        <w:outlineLvl w:val="0"/>
      </w:pPr>
      <w:bookmarkStart w:id="234" w:name="_Toc13760146"/>
      <w:bookmarkStart w:id="235" w:name="_Toc13582100"/>
      <w:r>
        <w:t>(2)</w:t>
      </w:r>
      <w:r>
        <w:rPr>
          <w:rFonts w:hint="eastAsia"/>
        </w:rPr>
        <w:t>废水</w:t>
      </w:r>
      <w:bookmarkEnd w:id="234"/>
      <w:bookmarkEnd w:id="235"/>
    </w:p>
    <w:p>
      <w:pPr>
        <w:ind w:firstLine="480"/>
      </w:pPr>
      <w:r>
        <w:rPr>
          <w:rFonts w:hint="eastAsia"/>
        </w:rPr>
        <w:t>废酸、碱处理工段酸雾吸收塔产生的中和废水</w:t>
      </w:r>
      <w:r>
        <w:t>W3</w:t>
      </w:r>
      <w:bookmarkStart w:id="236" w:name="OLE_LINK20"/>
      <w:bookmarkStart w:id="237" w:name="OLE_LINK21"/>
      <w:r>
        <w:rPr>
          <w:rFonts w:hint="eastAsia"/>
        </w:rPr>
        <w:t>送至</w:t>
      </w:r>
      <w:bookmarkEnd w:id="236"/>
      <w:bookmarkEnd w:id="237"/>
      <w:r>
        <w:rPr>
          <w:rFonts w:hint="eastAsia"/>
        </w:rPr>
        <w:t>厂区污水处理站处理，澄清池废水</w:t>
      </w:r>
      <w:r>
        <w:t>W4</w:t>
      </w:r>
      <w:r>
        <w:rPr>
          <w:rFonts w:hint="eastAsia"/>
        </w:rPr>
        <w:t>和废乳化液处理工段沉淀池产生的废水W5经本车间内污水处理模块处理后送至厂区污水处理站的强制蒸发系统进行处理。</w:t>
      </w:r>
    </w:p>
    <w:p>
      <w:pPr>
        <w:pStyle w:val="161"/>
        <w:ind w:firstLine="480"/>
        <w:outlineLvl w:val="0"/>
      </w:pPr>
      <w:bookmarkStart w:id="238" w:name="_Toc13760147"/>
      <w:bookmarkStart w:id="239" w:name="_Toc13582101"/>
      <w:r>
        <w:t>(3)</w:t>
      </w:r>
      <w:r>
        <w:rPr>
          <w:rFonts w:hint="eastAsia"/>
        </w:rPr>
        <w:t>固废</w:t>
      </w:r>
      <w:bookmarkEnd w:id="238"/>
      <w:bookmarkEnd w:id="239"/>
    </w:p>
    <w:p>
      <w:pPr>
        <w:ind w:firstLine="480"/>
      </w:pPr>
      <w:r>
        <w:rPr>
          <w:rFonts w:hint="eastAsia"/>
        </w:rPr>
        <w:t>废酸、碱处理工段澄清池废渣</w:t>
      </w:r>
      <w:r>
        <w:t>S2</w:t>
      </w:r>
      <w:r>
        <w:rPr>
          <w:rFonts w:hint="eastAsia"/>
        </w:rPr>
        <w:t>主要成分为硫酸钙，含重沉淀物等，送至固化系统进行处理。</w:t>
      </w:r>
    </w:p>
    <w:p>
      <w:pPr>
        <w:ind w:firstLine="480"/>
      </w:pPr>
      <w:r>
        <w:rPr>
          <w:rFonts w:hint="eastAsia"/>
        </w:rPr>
        <w:t>废乳化液处理工段隔油池废油</w:t>
      </w:r>
      <w:r>
        <w:t>S3</w:t>
      </w:r>
      <w:r>
        <w:rPr>
          <w:rFonts w:hint="eastAsia"/>
        </w:rPr>
        <w:t>主要成分为废油，收集后送至焚烧车间进行处理；沉淀池废渣</w:t>
      </w:r>
      <w:r>
        <w:t>S4</w:t>
      </w:r>
      <w:r>
        <w:rPr>
          <w:rFonts w:hint="eastAsia"/>
        </w:rPr>
        <w:t>主要为含重沉淀物等，送至固化系统进行处理。</w:t>
      </w:r>
    </w:p>
    <w:p>
      <w:pPr>
        <w:ind w:firstLine="480"/>
      </w:pPr>
      <w:r>
        <w:rPr>
          <w:rFonts w:hint="eastAsia"/>
        </w:rPr>
        <w:t>物化车间“三废”污染源情况见表</w:t>
      </w:r>
      <w:r>
        <w:t>4.</w:t>
      </w:r>
      <w:r>
        <w:rPr>
          <w:rFonts w:hint="eastAsia"/>
        </w:rPr>
        <w:t>5—3。</w:t>
      </w:r>
    </w:p>
    <w:p>
      <w:pPr>
        <w:ind w:firstLine="480"/>
      </w:pPr>
      <w:r>
        <w:rPr>
          <w:rFonts w:hint="eastAsia"/>
        </w:rPr>
        <w:t>表</w:t>
      </w:r>
      <w:r>
        <w:t>4.</w:t>
      </w:r>
      <w:r>
        <w:rPr>
          <w:rFonts w:hint="eastAsia"/>
        </w:rPr>
        <w:t>5—3                物化“三废”污染源情况</w:t>
      </w:r>
    </w:p>
    <w:tbl>
      <w:tblPr>
        <w:tblStyle w:val="88"/>
        <w:tblW w:w="5000" w:type="pct"/>
        <w:tblInd w:w="0" w:type="dxa"/>
        <w:tblLayout w:type="fixed"/>
        <w:tblCellMar>
          <w:top w:w="0" w:type="dxa"/>
          <w:left w:w="108" w:type="dxa"/>
          <w:bottom w:w="0" w:type="dxa"/>
          <w:right w:w="108" w:type="dxa"/>
        </w:tblCellMar>
      </w:tblPr>
      <w:tblGrid>
        <w:gridCol w:w="657"/>
        <w:gridCol w:w="679"/>
        <w:gridCol w:w="1898"/>
        <w:gridCol w:w="1256"/>
        <w:gridCol w:w="2496"/>
        <w:gridCol w:w="997"/>
        <w:gridCol w:w="1871"/>
      </w:tblGrid>
      <w:tr>
        <w:tblPrEx>
          <w:tblCellMar>
            <w:top w:w="0" w:type="dxa"/>
            <w:left w:w="108" w:type="dxa"/>
            <w:bottom w:w="0" w:type="dxa"/>
            <w:right w:w="108" w:type="dxa"/>
          </w:tblCellMar>
        </w:tblPrEx>
        <w:tc>
          <w:tcPr>
            <w:tcW w:w="618" w:type="dxa"/>
            <w:tcBorders>
              <w:top w:val="single" w:color="000000" w:sz="12"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类别</w:t>
            </w:r>
          </w:p>
        </w:tc>
        <w:tc>
          <w:tcPr>
            <w:tcW w:w="640"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代号</w:t>
            </w:r>
          </w:p>
        </w:tc>
        <w:tc>
          <w:tcPr>
            <w:tcW w:w="1789"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污染物名称</w:t>
            </w:r>
          </w:p>
        </w:tc>
        <w:tc>
          <w:tcPr>
            <w:tcW w:w="1184"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产生量</w:t>
            </w:r>
          </w:p>
        </w:tc>
        <w:tc>
          <w:tcPr>
            <w:tcW w:w="2352"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主要成分</w:t>
            </w:r>
          </w:p>
        </w:tc>
        <w:tc>
          <w:tcPr>
            <w:tcW w:w="940"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排放</w:t>
            </w:r>
          </w:p>
          <w:p>
            <w:pPr>
              <w:snapToGrid w:val="0"/>
              <w:spacing w:line="240" w:lineRule="atLeast"/>
              <w:ind w:firstLine="0" w:firstLineChars="0"/>
              <w:jc w:val="center"/>
              <w:rPr>
                <w:sz w:val="21"/>
              </w:rPr>
            </w:pPr>
            <w:r>
              <w:rPr>
                <w:rFonts w:hint="eastAsia" w:hAnsi="宋体"/>
                <w:sz w:val="21"/>
              </w:rPr>
              <w:t>规律</w:t>
            </w:r>
          </w:p>
        </w:tc>
        <w:tc>
          <w:tcPr>
            <w:tcW w:w="1763" w:type="dxa"/>
            <w:tcBorders>
              <w:top w:val="single" w:color="000000" w:sz="12" w:space="0"/>
              <w:left w:val="dotted" w:color="auto" w:sz="4" w:space="0"/>
              <w:bottom w:val="single" w:color="000000" w:sz="12" w:space="0"/>
            </w:tcBorders>
            <w:vAlign w:val="center"/>
          </w:tcPr>
          <w:p>
            <w:pPr>
              <w:snapToGrid w:val="0"/>
              <w:spacing w:line="240" w:lineRule="atLeast"/>
              <w:ind w:firstLine="0" w:firstLineChars="0"/>
              <w:jc w:val="center"/>
              <w:rPr>
                <w:sz w:val="21"/>
              </w:rPr>
            </w:pPr>
            <w:r>
              <w:rPr>
                <w:rFonts w:hint="eastAsia" w:hAnsi="宋体"/>
                <w:sz w:val="21"/>
              </w:rPr>
              <w:t>处理措施</w:t>
            </w:r>
          </w:p>
          <w:p>
            <w:pPr>
              <w:snapToGrid w:val="0"/>
              <w:spacing w:line="240" w:lineRule="atLeast"/>
              <w:ind w:firstLine="0" w:firstLineChars="0"/>
              <w:jc w:val="center"/>
              <w:rPr>
                <w:sz w:val="21"/>
              </w:rPr>
            </w:pPr>
            <w:r>
              <w:rPr>
                <w:rFonts w:hint="eastAsia" w:hAnsi="宋体"/>
                <w:sz w:val="21"/>
              </w:rPr>
              <w:t>及去向</w:t>
            </w:r>
          </w:p>
        </w:tc>
      </w:tr>
      <w:tr>
        <w:tblPrEx>
          <w:tblCellMar>
            <w:top w:w="0" w:type="dxa"/>
            <w:left w:w="108" w:type="dxa"/>
            <w:bottom w:w="0" w:type="dxa"/>
            <w:right w:w="108" w:type="dxa"/>
          </w:tblCellMar>
        </w:tblPrEx>
        <w:trPr>
          <w:trHeight w:val="753" w:hRule="atLeast"/>
        </w:trPr>
        <w:tc>
          <w:tcPr>
            <w:tcW w:w="618" w:type="dxa"/>
            <w:tcBorders>
              <w:top w:val="single" w:color="000000" w:sz="12" w:space="0"/>
              <w:left w:val="nil"/>
              <w:bottom w:val="dotted" w:color="auto" w:sz="4" w:space="0"/>
              <w:right w:val="dotted" w:color="auto" w:sz="4" w:space="0"/>
            </w:tcBorders>
            <w:vAlign w:val="center"/>
          </w:tcPr>
          <w:p>
            <w:pPr>
              <w:snapToGrid w:val="0"/>
              <w:spacing w:line="240" w:lineRule="atLeast"/>
              <w:ind w:firstLine="0" w:firstLineChars="0"/>
              <w:jc w:val="center"/>
              <w:rPr>
                <w:sz w:val="21"/>
                <w:lang w:val="pt-BR"/>
              </w:rPr>
            </w:pPr>
            <w:r>
              <w:rPr>
                <w:rFonts w:hint="eastAsia"/>
                <w:sz w:val="21"/>
                <w:lang w:val="pt-BR"/>
              </w:rPr>
              <w:t>废气</w:t>
            </w:r>
          </w:p>
        </w:tc>
        <w:tc>
          <w:tcPr>
            <w:tcW w:w="640"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G2</w:t>
            </w:r>
          </w:p>
        </w:tc>
        <w:tc>
          <w:tcPr>
            <w:tcW w:w="1789"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中和反应池排气</w:t>
            </w:r>
          </w:p>
        </w:tc>
        <w:tc>
          <w:tcPr>
            <w:tcW w:w="1184"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130</w:t>
            </w:r>
            <w:r>
              <w:rPr>
                <w:sz w:val="21"/>
              </w:rPr>
              <w:t>00</w:t>
            </w:r>
          </w:p>
          <w:p>
            <w:pPr>
              <w:snapToGrid w:val="0"/>
              <w:spacing w:line="240" w:lineRule="atLeast"/>
              <w:ind w:firstLine="0" w:firstLineChars="0"/>
              <w:jc w:val="center"/>
              <w:rPr>
                <w:sz w:val="21"/>
              </w:rPr>
            </w:pPr>
            <w:r>
              <w:rPr>
                <w:sz w:val="21"/>
              </w:rPr>
              <w:t>Nm</w:t>
            </w:r>
            <w:r>
              <w:rPr>
                <w:sz w:val="21"/>
                <w:vertAlign w:val="superscript"/>
              </w:rPr>
              <w:t>3</w:t>
            </w:r>
            <w:r>
              <w:rPr>
                <w:sz w:val="21"/>
              </w:rPr>
              <w:t>/h</w:t>
            </w:r>
          </w:p>
        </w:tc>
        <w:tc>
          <w:tcPr>
            <w:tcW w:w="2352"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硫酸雾：</w:t>
            </w:r>
            <w:r>
              <w:rPr>
                <w:sz w:val="21"/>
              </w:rPr>
              <w:t>850mg/Nm</w:t>
            </w:r>
            <w:r>
              <w:rPr>
                <w:sz w:val="21"/>
                <w:vertAlign w:val="superscript"/>
              </w:rPr>
              <w:t>3</w:t>
            </w:r>
          </w:p>
          <w:p>
            <w:pPr>
              <w:snapToGrid w:val="0"/>
              <w:spacing w:line="240" w:lineRule="atLeast"/>
              <w:ind w:firstLine="0" w:firstLineChars="0"/>
              <w:jc w:val="center"/>
              <w:rPr>
                <w:sz w:val="21"/>
              </w:rPr>
            </w:pPr>
            <w:r>
              <w:rPr>
                <w:sz w:val="21"/>
              </w:rPr>
              <w:t>HCl</w:t>
            </w:r>
            <w:r>
              <w:rPr>
                <w:rFonts w:hint="eastAsia"/>
                <w:sz w:val="21"/>
              </w:rPr>
              <w:t>：</w:t>
            </w:r>
            <w:r>
              <w:rPr>
                <w:sz w:val="21"/>
              </w:rPr>
              <w:t>100mg/Nm</w:t>
            </w:r>
            <w:r>
              <w:rPr>
                <w:sz w:val="21"/>
                <w:vertAlign w:val="superscript"/>
              </w:rPr>
              <w:t>3</w:t>
            </w:r>
          </w:p>
          <w:p>
            <w:pPr>
              <w:snapToGrid w:val="0"/>
              <w:spacing w:line="240" w:lineRule="atLeast"/>
              <w:ind w:firstLine="0" w:firstLineChars="0"/>
              <w:jc w:val="center"/>
              <w:rPr>
                <w:sz w:val="21"/>
              </w:rPr>
            </w:pPr>
            <w:r>
              <w:rPr>
                <w:sz w:val="21"/>
              </w:rPr>
              <w:t>HF</w:t>
            </w:r>
            <w:r>
              <w:rPr>
                <w:rFonts w:hint="eastAsia"/>
                <w:sz w:val="21"/>
              </w:rPr>
              <w:t>：</w:t>
            </w:r>
            <w:r>
              <w:rPr>
                <w:sz w:val="21"/>
              </w:rPr>
              <w:t>100mg/Nm</w:t>
            </w:r>
            <w:r>
              <w:rPr>
                <w:sz w:val="21"/>
                <w:vertAlign w:val="superscript"/>
              </w:rPr>
              <w:t>3</w:t>
            </w:r>
          </w:p>
        </w:tc>
        <w:tc>
          <w:tcPr>
            <w:tcW w:w="940"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sz w:val="21"/>
              </w:rPr>
              <w:t>连续</w:t>
            </w:r>
          </w:p>
        </w:tc>
        <w:tc>
          <w:tcPr>
            <w:tcW w:w="1763" w:type="dxa"/>
            <w:tcBorders>
              <w:top w:val="single" w:color="000000"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碱喷淋后排放</w:t>
            </w:r>
          </w:p>
          <w:p>
            <w:pPr>
              <w:snapToGrid w:val="0"/>
              <w:spacing w:line="240" w:lineRule="atLeast"/>
              <w:ind w:firstLine="0" w:firstLineChars="0"/>
              <w:jc w:val="center"/>
              <w:rPr>
                <w:sz w:val="21"/>
                <w:lang w:val="pt-BR"/>
              </w:rPr>
            </w:pPr>
            <w:r>
              <w:rPr>
                <w:sz w:val="21"/>
                <w:lang w:val="pt-BR"/>
              </w:rPr>
              <w:t>H=20m</w:t>
            </w:r>
          </w:p>
          <w:p>
            <w:pPr>
              <w:snapToGrid w:val="0"/>
              <w:spacing w:line="240" w:lineRule="atLeast"/>
              <w:ind w:firstLine="0" w:firstLineChars="0"/>
              <w:jc w:val="center"/>
              <w:rPr>
                <w:sz w:val="21"/>
                <w:lang w:val="pt-BR"/>
              </w:rPr>
            </w:pPr>
            <w:r>
              <w:rPr>
                <w:sz w:val="21"/>
                <w:lang w:val="pt-BR"/>
              </w:rPr>
              <w:t>D=800mm</w:t>
            </w:r>
          </w:p>
          <w:p>
            <w:pPr>
              <w:snapToGrid w:val="0"/>
              <w:spacing w:line="240" w:lineRule="atLeast"/>
              <w:ind w:firstLine="0" w:firstLineChars="0"/>
              <w:jc w:val="center"/>
              <w:rPr>
                <w:sz w:val="21"/>
              </w:rPr>
            </w:pPr>
            <w:r>
              <w:rPr>
                <w:sz w:val="21"/>
                <w:lang w:val="pt-BR"/>
              </w:rPr>
              <w:t>T=20</w:t>
            </w:r>
            <w:r>
              <w:rPr>
                <w:rFonts w:hint="eastAsia" w:ascii="宋体" w:hAnsi="宋体"/>
                <w:sz w:val="21"/>
                <w:lang w:val="pt-BR"/>
              </w:rPr>
              <w:t>℃</w:t>
            </w:r>
          </w:p>
        </w:tc>
      </w:tr>
      <w:tr>
        <w:tblPrEx>
          <w:tblCellMar>
            <w:top w:w="0" w:type="dxa"/>
            <w:left w:w="108" w:type="dxa"/>
            <w:bottom w:w="0" w:type="dxa"/>
            <w:right w:w="108" w:type="dxa"/>
          </w:tblCellMar>
        </w:tblPrEx>
        <w:trPr>
          <w:trHeight w:val="753" w:hRule="atLeast"/>
        </w:trPr>
        <w:tc>
          <w:tcPr>
            <w:tcW w:w="618" w:type="dxa"/>
            <w:vMerge w:val="restart"/>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废水</w:t>
            </w:r>
          </w:p>
        </w:tc>
        <w:tc>
          <w:tcPr>
            <w:tcW w:w="6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W3</w:t>
            </w:r>
          </w:p>
        </w:tc>
        <w:tc>
          <w:tcPr>
            <w:tcW w:w="1789"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酸雾吸收塔排水</w:t>
            </w:r>
          </w:p>
        </w:tc>
        <w:tc>
          <w:tcPr>
            <w:tcW w:w="118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1.89</w:t>
            </w:r>
            <w:r>
              <w:rPr>
                <w:sz w:val="21"/>
              </w:rPr>
              <w:t>t/d</w:t>
            </w:r>
          </w:p>
        </w:tc>
        <w:tc>
          <w:tcPr>
            <w:tcW w:w="235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盐类：</w:t>
            </w:r>
            <w:r>
              <w:rPr>
                <w:sz w:val="21"/>
              </w:rPr>
              <w:t>28000</w:t>
            </w:r>
            <w:r>
              <w:rPr>
                <w:rFonts w:hAnsi="宋体"/>
                <w:sz w:val="21"/>
              </w:rPr>
              <w:t>mg/L</w:t>
            </w:r>
          </w:p>
        </w:tc>
        <w:tc>
          <w:tcPr>
            <w:tcW w:w="9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送至焚烧车间</w:t>
            </w:r>
          </w:p>
          <w:p>
            <w:pPr>
              <w:snapToGrid w:val="0"/>
              <w:spacing w:line="240" w:lineRule="atLeast"/>
              <w:ind w:firstLine="0" w:firstLineChars="0"/>
              <w:jc w:val="center"/>
              <w:rPr>
                <w:sz w:val="21"/>
              </w:rPr>
            </w:pPr>
            <w:r>
              <w:rPr>
                <w:rFonts w:hint="eastAsia"/>
                <w:sz w:val="21"/>
              </w:rPr>
              <w:t>水封出渣机</w:t>
            </w:r>
          </w:p>
        </w:tc>
      </w:tr>
      <w:tr>
        <w:tblPrEx>
          <w:tblCellMar>
            <w:top w:w="0" w:type="dxa"/>
            <w:left w:w="108" w:type="dxa"/>
            <w:bottom w:w="0" w:type="dxa"/>
            <w:right w:w="108" w:type="dxa"/>
          </w:tblCellMar>
        </w:tblPrEx>
        <w:trPr>
          <w:trHeight w:val="753" w:hRule="atLeast"/>
        </w:trPr>
        <w:tc>
          <w:tcPr>
            <w:tcW w:w="61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W4</w:t>
            </w:r>
          </w:p>
        </w:tc>
        <w:tc>
          <w:tcPr>
            <w:tcW w:w="1789"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澄清池排水</w:t>
            </w:r>
          </w:p>
        </w:tc>
        <w:tc>
          <w:tcPr>
            <w:tcW w:w="118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41.948</w:t>
            </w:r>
            <w:r>
              <w:rPr>
                <w:sz w:val="21"/>
              </w:rPr>
              <w:t>t/d</w:t>
            </w:r>
          </w:p>
        </w:tc>
        <w:tc>
          <w:tcPr>
            <w:tcW w:w="235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sz w:val="21"/>
              </w:rPr>
              <w:t>COD</w:t>
            </w:r>
            <w:r>
              <w:rPr>
                <w:rFonts w:hint="eastAsia"/>
                <w:sz w:val="21"/>
              </w:rPr>
              <w:t>：</w:t>
            </w:r>
            <w:r>
              <w:rPr>
                <w:sz w:val="21"/>
              </w:rPr>
              <w:t>3000</w:t>
            </w:r>
            <w:r>
              <w:rPr>
                <w:rFonts w:hAnsi="宋体"/>
                <w:sz w:val="21"/>
              </w:rPr>
              <w:t>mg/L</w:t>
            </w:r>
          </w:p>
          <w:p>
            <w:pPr>
              <w:snapToGrid w:val="0"/>
              <w:spacing w:line="240" w:lineRule="atLeast"/>
              <w:ind w:firstLine="0" w:firstLineChars="0"/>
              <w:jc w:val="center"/>
              <w:rPr>
                <w:sz w:val="21"/>
              </w:rPr>
            </w:pPr>
            <w:r>
              <w:rPr>
                <w:sz w:val="21"/>
              </w:rPr>
              <w:t>BOD</w:t>
            </w:r>
            <w:r>
              <w:rPr>
                <w:rFonts w:hint="eastAsia"/>
                <w:sz w:val="21"/>
              </w:rPr>
              <w:t>：</w:t>
            </w:r>
            <w:r>
              <w:rPr>
                <w:sz w:val="21"/>
              </w:rPr>
              <w:t>300</w:t>
            </w:r>
            <w:r>
              <w:rPr>
                <w:rFonts w:hAnsi="宋体"/>
                <w:sz w:val="21"/>
              </w:rPr>
              <w:t>mg/L</w:t>
            </w:r>
          </w:p>
          <w:p>
            <w:pPr>
              <w:snapToGrid w:val="0"/>
              <w:spacing w:line="240" w:lineRule="atLeast"/>
              <w:ind w:firstLine="0" w:firstLineChars="0"/>
              <w:jc w:val="center"/>
              <w:rPr>
                <w:rFonts w:hAnsi="宋体"/>
                <w:sz w:val="21"/>
              </w:rPr>
            </w:pPr>
            <w:r>
              <w:rPr>
                <w:sz w:val="21"/>
              </w:rPr>
              <w:t>SS</w:t>
            </w:r>
            <w:r>
              <w:rPr>
                <w:rFonts w:hint="eastAsia"/>
                <w:sz w:val="21"/>
              </w:rPr>
              <w:t>：</w:t>
            </w:r>
            <w:r>
              <w:rPr>
                <w:sz w:val="21"/>
              </w:rPr>
              <w:t>400</w:t>
            </w:r>
            <w:r>
              <w:rPr>
                <w:rFonts w:hAnsi="宋体"/>
                <w:sz w:val="21"/>
              </w:rPr>
              <w:t>mg/L</w:t>
            </w:r>
          </w:p>
          <w:p>
            <w:pPr>
              <w:snapToGrid w:val="0"/>
              <w:spacing w:line="240" w:lineRule="atLeast"/>
              <w:ind w:firstLine="0" w:firstLineChars="0"/>
              <w:jc w:val="center"/>
              <w:rPr>
                <w:rFonts w:hAnsi="宋体"/>
                <w:sz w:val="21"/>
              </w:rPr>
            </w:pPr>
            <w:r>
              <w:rPr>
                <w:rFonts w:hint="eastAsia"/>
                <w:sz w:val="21"/>
              </w:rPr>
              <w:t>氨氮：</w:t>
            </w:r>
            <w:r>
              <w:rPr>
                <w:sz w:val="21"/>
              </w:rPr>
              <w:t>60</w:t>
            </w:r>
            <w:r>
              <w:rPr>
                <w:rFonts w:hAnsi="宋体"/>
                <w:sz w:val="21"/>
              </w:rPr>
              <w:t>mg/L</w:t>
            </w:r>
          </w:p>
          <w:p>
            <w:pPr>
              <w:snapToGrid w:val="0"/>
              <w:spacing w:line="240" w:lineRule="atLeast"/>
              <w:ind w:firstLine="0" w:firstLineChars="0"/>
              <w:jc w:val="center"/>
              <w:rPr>
                <w:rFonts w:hAnsi="宋体"/>
                <w:sz w:val="21"/>
              </w:rPr>
            </w:pPr>
            <w:r>
              <w:rPr>
                <w:rFonts w:hint="eastAsia" w:hAnsi="宋体"/>
                <w:sz w:val="21"/>
              </w:rPr>
              <w:t>石油类：</w:t>
            </w:r>
            <w:r>
              <w:rPr>
                <w:rFonts w:hAnsi="宋体"/>
                <w:sz w:val="21"/>
              </w:rPr>
              <w:t>100mg/L</w:t>
            </w:r>
          </w:p>
          <w:p>
            <w:pPr>
              <w:snapToGrid w:val="0"/>
              <w:spacing w:line="240" w:lineRule="atLeast"/>
              <w:ind w:firstLine="0" w:firstLineChars="0"/>
              <w:jc w:val="center"/>
              <w:rPr>
                <w:sz w:val="21"/>
              </w:rPr>
            </w:pPr>
            <w:r>
              <w:rPr>
                <w:rFonts w:hAnsi="宋体"/>
                <w:sz w:val="21"/>
              </w:rPr>
              <w:t>TP</w:t>
            </w:r>
            <w:r>
              <w:rPr>
                <w:rFonts w:hint="eastAsia" w:hAnsi="宋体"/>
                <w:sz w:val="21"/>
              </w:rPr>
              <w:t>：</w:t>
            </w:r>
            <w:r>
              <w:rPr>
                <w:rFonts w:hAnsi="宋体"/>
                <w:sz w:val="21"/>
              </w:rPr>
              <w:t>5mg/L</w:t>
            </w:r>
          </w:p>
          <w:p>
            <w:pPr>
              <w:snapToGrid w:val="0"/>
              <w:spacing w:line="240" w:lineRule="atLeast"/>
              <w:ind w:firstLine="0" w:firstLineChars="0"/>
              <w:jc w:val="center"/>
              <w:rPr>
                <w:sz w:val="21"/>
              </w:rPr>
            </w:pPr>
            <w:r>
              <w:rPr>
                <w:rFonts w:hint="eastAsia"/>
                <w:sz w:val="21"/>
              </w:rPr>
              <w:t>镍：</w:t>
            </w:r>
            <w:r>
              <w:rPr>
                <w:sz w:val="21"/>
              </w:rPr>
              <w:t>1.5</w:t>
            </w:r>
            <w:r>
              <w:rPr>
                <w:rFonts w:hAnsi="宋体"/>
                <w:sz w:val="21"/>
              </w:rPr>
              <w:t>mg/L</w:t>
            </w:r>
          </w:p>
          <w:p>
            <w:pPr>
              <w:snapToGrid w:val="0"/>
              <w:spacing w:line="240" w:lineRule="atLeast"/>
              <w:ind w:firstLine="0" w:firstLineChars="0"/>
              <w:jc w:val="center"/>
              <w:rPr>
                <w:sz w:val="21"/>
              </w:rPr>
            </w:pPr>
            <w:r>
              <w:rPr>
                <w:rFonts w:hint="eastAsia"/>
                <w:sz w:val="21"/>
              </w:rPr>
              <w:t>铜：</w:t>
            </w:r>
            <w:r>
              <w:rPr>
                <w:sz w:val="21"/>
              </w:rPr>
              <w:t>6.0</w:t>
            </w:r>
            <w:r>
              <w:rPr>
                <w:rFonts w:hAnsi="宋体"/>
                <w:sz w:val="21"/>
              </w:rPr>
              <w:t>mg/L</w:t>
            </w:r>
          </w:p>
          <w:p>
            <w:pPr>
              <w:snapToGrid w:val="0"/>
              <w:spacing w:line="240" w:lineRule="atLeast"/>
              <w:ind w:firstLine="0" w:firstLineChars="0"/>
              <w:jc w:val="center"/>
              <w:rPr>
                <w:rFonts w:hAnsi="宋体"/>
                <w:sz w:val="21"/>
              </w:rPr>
            </w:pPr>
            <w:r>
              <w:rPr>
                <w:rFonts w:hint="eastAsia"/>
                <w:sz w:val="21"/>
              </w:rPr>
              <w:t>汞：</w:t>
            </w:r>
            <w:r>
              <w:rPr>
                <w:sz w:val="21"/>
              </w:rPr>
              <w:t>0.1</w:t>
            </w:r>
            <w:r>
              <w:rPr>
                <w:rFonts w:hAnsi="宋体"/>
                <w:sz w:val="21"/>
              </w:rPr>
              <w:t>mg/L</w:t>
            </w:r>
          </w:p>
          <w:p>
            <w:pPr>
              <w:snapToGrid w:val="0"/>
              <w:spacing w:line="240" w:lineRule="atLeast"/>
              <w:ind w:firstLine="0" w:firstLineChars="0"/>
              <w:jc w:val="center"/>
              <w:rPr>
                <w:sz w:val="21"/>
              </w:rPr>
            </w:pPr>
            <w:r>
              <w:rPr>
                <w:rFonts w:hint="eastAsia"/>
                <w:sz w:val="21"/>
              </w:rPr>
              <w:t>铅：</w:t>
            </w:r>
            <w:r>
              <w:rPr>
                <w:sz w:val="21"/>
              </w:rPr>
              <w:t>1.0</w:t>
            </w:r>
            <w:r>
              <w:rPr>
                <w:rFonts w:hAnsi="宋体"/>
                <w:sz w:val="21"/>
              </w:rPr>
              <w:t>mg/L</w:t>
            </w:r>
          </w:p>
          <w:p>
            <w:pPr>
              <w:snapToGrid w:val="0"/>
              <w:spacing w:line="240" w:lineRule="atLeast"/>
              <w:ind w:firstLine="0" w:firstLineChars="0"/>
              <w:jc w:val="center"/>
              <w:rPr>
                <w:sz w:val="21"/>
              </w:rPr>
            </w:pPr>
            <w:r>
              <w:rPr>
                <w:rFonts w:hint="eastAsia"/>
                <w:sz w:val="21"/>
              </w:rPr>
              <w:t>六价铬：</w:t>
            </w:r>
            <w:r>
              <w:rPr>
                <w:sz w:val="21"/>
              </w:rPr>
              <w:t>0.5</w:t>
            </w:r>
            <w:r>
              <w:rPr>
                <w:rFonts w:hAnsi="宋体"/>
                <w:sz w:val="21"/>
              </w:rPr>
              <w:t>mg/L</w:t>
            </w:r>
          </w:p>
          <w:p>
            <w:pPr>
              <w:snapToGrid w:val="0"/>
              <w:spacing w:line="240" w:lineRule="atLeast"/>
              <w:ind w:firstLine="0" w:firstLineChars="0"/>
              <w:jc w:val="center"/>
              <w:rPr>
                <w:rFonts w:hAnsi="宋体"/>
                <w:sz w:val="21"/>
              </w:rPr>
            </w:pPr>
            <w:r>
              <w:rPr>
                <w:rFonts w:hint="eastAsia"/>
                <w:sz w:val="21"/>
              </w:rPr>
              <w:t>砷：</w:t>
            </w:r>
            <w:r>
              <w:rPr>
                <w:sz w:val="21"/>
              </w:rPr>
              <w:t>0.5</w:t>
            </w:r>
            <w:r>
              <w:rPr>
                <w:rFonts w:hAnsi="宋体"/>
                <w:sz w:val="21"/>
              </w:rPr>
              <w:t>mg/L</w:t>
            </w:r>
          </w:p>
          <w:p>
            <w:pPr>
              <w:snapToGrid w:val="0"/>
              <w:spacing w:line="240" w:lineRule="atLeast"/>
              <w:ind w:firstLine="0" w:firstLineChars="0"/>
              <w:jc w:val="center"/>
              <w:rPr>
                <w:sz w:val="21"/>
              </w:rPr>
            </w:pPr>
            <w:r>
              <w:rPr>
                <w:rFonts w:hint="eastAsia"/>
                <w:sz w:val="21"/>
              </w:rPr>
              <w:t>镉：</w:t>
            </w:r>
            <w:r>
              <w:rPr>
                <w:sz w:val="21"/>
              </w:rPr>
              <w:t>0.4mg/L</w:t>
            </w:r>
          </w:p>
          <w:p>
            <w:pPr>
              <w:snapToGrid w:val="0"/>
              <w:spacing w:line="240" w:lineRule="atLeast"/>
              <w:ind w:firstLine="0" w:firstLineChars="0"/>
              <w:jc w:val="center"/>
              <w:rPr>
                <w:sz w:val="21"/>
              </w:rPr>
            </w:pPr>
            <w:r>
              <w:rPr>
                <w:rFonts w:hint="eastAsia"/>
                <w:sz w:val="21"/>
              </w:rPr>
              <w:t>锌：</w:t>
            </w:r>
            <w:r>
              <w:rPr>
                <w:sz w:val="21"/>
              </w:rPr>
              <w:t>0.5mg/L</w:t>
            </w:r>
          </w:p>
          <w:p>
            <w:pPr>
              <w:snapToGrid w:val="0"/>
              <w:spacing w:line="240" w:lineRule="atLeast"/>
              <w:ind w:firstLine="0" w:firstLineChars="0"/>
              <w:jc w:val="center"/>
              <w:rPr>
                <w:sz w:val="21"/>
              </w:rPr>
            </w:pPr>
            <w:r>
              <w:rPr>
                <w:rFonts w:hint="eastAsia"/>
                <w:sz w:val="21"/>
              </w:rPr>
              <w:t>盐类：</w:t>
            </w:r>
            <w:r>
              <w:rPr>
                <w:sz w:val="21"/>
              </w:rPr>
              <w:t>8000mg/L</w:t>
            </w:r>
          </w:p>
        </w:tc>
        <w:tc>
          <w:tcPr>
            <w:tcW w:w="9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送至物化车间污水处理模块进行处理</w:t>
            </w:r>
          </w:p>
        </w:tc>
      </w:tr>
      <w:tr>
        <w:tblPrEx>
          <w:tblCellMar>
            <w:top w:w="0" w:type="dxa"/>
            <w:left w:w="108" w:type="dxa"/>
            <w:bottom w:w="0" w:type="dxa"/>
            <w:right w:w="108" w:type="dxa"/>
          </w:tblCellMar>
        </w:tblPrEx>
        <w:trPr>
          <w:trHeight w:val="753" w:hRule="atLeast"/>
        </w:trPr>
        <w:tc>
          <w:tcPr>
            <w:tcW w:w="61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W5</w:t>
            </w:r>
          </w:p>
        </w:tc>
        <w:tc>
          <w:tcPr>
            <w:tcW w:w="1789"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沉淀池废水</w:t>
            </w:r>
          </w:p>
        </w:tc>
        <w:tc>
          <w:tcPr>
            <w:tcW w:w="118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9.702</w:t>
            </w:r>
            <w:r>
              <w:rPr>
                <w:sz w:val="21"/>
              </w:rPr>
              <w:t>t/d</w:t>
            </w:r>
          </w:p>
        </w:tc>
        <w:tc>
          <w:tcPr>
            <w:tcW w:w="235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sz w:val="21"/>
              </w:rPr>
              <w:t>COD</w:t>
            </w:r>
            <w:r>
              <w:rPr>
                <w:rFonts w:hint="eastAsia"/>
                <w:sz w:val="21"/>
              </w:rPr>
              <w:t>：</w:t>
            </w:r>
            <w:r>
              <w:rPr>
                <w:sz w:val="21"/>
              </w:rPr>
              <w:t>3000</w:t>
            </w:r>
            <w:r>
              <w:rPr>
                <w:rFonts w:hAnsi="宋体"/>
                <w:sz w:val="21"/>
              </w:rPr>
              <w:t>mg/L</w:t>
            </w:r>
          </w:p>
          <w:p>
            <w:pPr>
              <w:snapToGrid w:val="0"/>
              <w:spacing w:line="240" w:lineRule="atLeast"/>
              <w:ind w:firstLine="0" w:firstLineChars="0"/>
              <w:jc w:val="center"/>
              <w:rPr>
                <w:rFonts w:hAnsi="宋体"/>
                <w:sz w:val="21"/>
              </w:rPr>
            </w:pPr>
            <w:r>
              <w:rPr>
                <w:rFonts w:hint="eastAsia" w:hAnsi="宋体"/>
                <w:sz w:val="21"/>
              </w:rPr>
              <w:t>石油类：</w:t>
            </w:r>
            <w:r>
              <w:rPr>
                <w:rFonts w:hAnsi="宋体"/>
                <w:sz w:val="21"/>
              </w:rPr>
              <w:t>200mg/L</w:t>
            </w:r>
          </w:p>
          <w:p>
            <w:pPr>
              <w:snapToGrid w:val="0"/>
              <w:spacing w:line="240" w:lineRule="atLeast"/>
              <w:ind w:firstLine="0" w:firstLineChars="0"/>
              <w:jc w:val="center"/>
              <w:rPr>
                <w:sz w:val="21"/>
              </w:rPr>
            </w:pPr>
            <w:r>
              <w:rPr>
                <w:rFonts w:hint="eastAsia"/>
                <w:sz w:val="21"/>
              </w:rPr>
              <w:t>镍：</w:t>
            </w:r>
            <w:r>
              <w:rPr>
                <w:sz w:val="21"/>
              </w:rPr>
              <w:t>1.5</w:t>
            </w:r>
            <w:r>
              <w:rPr>
                <w:rFonts w:hAnsi="宋体"/>
                <w:sz w:val="21"/>
              </w:rPr>
              <w:t>mg/L</w:t>
            </w:r>
          </w:p>
          <w:p>
            <w:pPr>
              <w:snapToGrid w:val="0"/>
              <w:spacing w:line="240" w:lineRule="atLeast"/>
              <w:ind w:firstLine="0" w:firstLineChars="0"/>
              <w:jc w:val="center"/>
              <w:rPr>
                <w:sz w:val="21"/>
              </w:rPr>
            </w:pPr>
            <w:r>
              <w:rPr>
                <w:rFonts w:hint="eastAsia"/>
                <w:sz w:val="21"/>
              </w:rPr>
              <w:t>铜：</w:t>
            </w:r>
            <w:r>
              <w:rPr>
                <w:sz w:val="21"/>
              </w:rPr>
              <w:t>6.0</w:t>
            </w:r>
            <w:r>
              <w:rPr>
                <w:rFonts w:hAnsi="宋体"/>
                <w:sz w:val="21"/>
              </w:rPr>
              <w:t>mg/L</w:t>
            </w:r>
          </w:p>
          <w:p>
            <w:pPr>
              <w:snapToGrid w:val="0"/>
              <w:spacing w:line="240" w:lineRule="atLeast"/>
              <w:ind w:firstLine="0" w:firstLineChars="0"/>
              <w:jc w:val="center"/>
              <w:rPr>
                <w:rFonts w:hAnsi="宋体"/>
                <w:sz w:val="21"/>
              </w:rPr>
            </w:pPr>
            <w:r>
              <w:rPr>
                <w:rFonts w:hint="eastAsia"/>
                <w:sz w:val="21"/>
              </w:rPr>
              <w:t>汞：</w:t>
            </w:r>
            <w:r>
              <w:rPr>
                <w:sz w:val="21"/>
              </w:rPr>
              <w:t>0.1</w:t>
            </w:r>
            <w:r>
              <w:rPr>
                <w:rFonts w:hAnsi="宋体"/>
                <w:sz w:val="21"/>
              </w:rPr>
              <w:t>mg/L</w:t>
            </w:r>
          </w:p>
          <w:p>
            <w:pPr>
              <w:snapToGrid w:val="0"/>
              <w:spacing w:line="240" w:lineRule="atLeast"/>
              <w:ind w:firstLine="0" w:firstLineChars="0"/>
              <w:jc w:val="center"/>
              <w:rPr>
                <w:sz w:val="21"/>
              </w:rPr>
            </w:pPr>
            <w:r>
              <w:rPr>
                <w:rFonts w:hint="eastAsia"/>
                <w:sz w:val="21"/>
              </w:rPr>
              <w:t>铅：</w:t>
            </w:r>
            <w:r>
              <w:rPr>
                <w:sz w:val="21"/>
              </w:rPr>
              <w:t>1.0</w:t>
            </w:r>
            <w:r>
              <w:rPr>
                <w:rFonts w:hAnsi="宋体"/>
                <w:sz w:val="21"/>
              </w:rPr>
              <w:t>mg/L</w:t>
            </w:r>
          </w:p>
          <w:p>
            <w:pPr>
              <w:snapToGrid w:val="0"/>
              <w:spacing w:line="240" w:lineRule="atLeast"/>
              <w:ind w:firstLine="0" w:firstLineChars="0"/>
              <w:jc w:val="center"/>
              <w:rPr>
                <w:sz w:val="21"/>
              </w:rPr>
            </w:pPr>
            <w:r>
              <w:rPr>
                <w:rFonts w:hint="eastAsia"/>
                <w:sz w:val="21"/>
              </w:rPr>
              <w:t>六价铬：</w:t>
            </w:r>
            <w:r>
              <w:rPr>
                <w:sz w:val="21"/>
              </w:rPr>
              <w:t>0.5</w:t>
            </w:r>
            <w:r>
              <w:rPr>
                <w:rFonts w:hAnsi="宋体"/>
                <w:sz w:val="21"/>
              </w:rPr>
              <w:t>mg/L</w:t>
            </w:r>
          </w:p>
          <w:p>
            <w:pPr>
              <w:snapToGrid w:val="0"/>
              <w:spacing w:line="240" w:lineRule="atLeast"/>
              <w:ind w:firstLine="0" w:firstLineChars="0"/>
              <w:jc w:val="center"/>
              <w:rPr>
                <w:rFonts w:hAnsi="宋体"/>
                <w:sz w:val="21"/>
              </w:rPr>
            </w:pPr>
            <w:r>
              <w:rPr>
                <w:rFonts w:hint="eastAsia"/>
                <w:sz w:val="21"/>
              </w:rPr>
              <w:t>砷：</w:t>
            </w:r>
            <w:r>
              <w:rPr>
                <w:sz w:val="21"/>
              </w:rPr>
              <w:t>0.5</w:t>
            </w:r>
            <w:r>
              <w:rPr>
                <w:rFonts w:hAnsi="宋体"/>
                <w:sz w:val="21"/>
              </w:rPr>
              <w:t>mg/L</w:t>
            </w:r>
          </w:p>
          <w:p>
            <w:pPr>
              <w:snapToGrid w:val="0"/>
              <w:spacing w:line="240" w:lineRule="atLeast"/>
              <w:ind w:firstLine="0" w:firstLineChars="0"/>
              <w:jc w:val="center"/>
              <w:rPr>
                <w:sz w:val="21"/>
              </w:rPr>
            </w:pPr>
            <w:r>
              <w:rPr>
                <w:rFonts w:hint="eastAsia"/>
                <w:sz w:val="21"/>
              </w:rPr>
              <w:t>镉：</w:t>
            </w:r>
            <w:r>
              <w:rPr>
                <w:sz w:val="21"/>
              </w:rPr>
              <w:t>0.4mg/L</w:t>
            </w:r>
          </w:p>
          <w:p>
            <w:pPr>
              <w:snapToGrid w:val="0"/>
              <w:spacing w:line="240" w:lineRule="atLeast"/>
              <w:ind w:firstLine="0" w:firstLineChars="0"/>
              <w:jc w:val="center"/>
              <w:rPr>
                <w:sz w:val="21"/>
              </w:rPr>
            </w:pPr>
            <w:r>
              <w:rPr>
                <w:rFonts w:hint="eastAsia"/>
                <w:sz w:val="21"/>
              </w:rPr>
              <w:t>锌：</w:t>
            </w:r>
            <w:r>
              <w:rPr>
                <w:sz w:val="21"/>
              </w:rPr>
              <w:t>0.5mg/L</w:t>
            </w:r>
          </w:p>
        </w:tc>
        <w:tc>
          <w:tcPr>
            <w:tcW w:w="9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送至物化车间污水处理模块进行处理</w:t>
            </w:r>
          </w:p>
        </w:tc>
      </w:tr>
      <w:tr>
        <w:tblPrEx>
          <w:tblCellMar>
            <w:top w:w="0" w:type="dxa"/>
            <w:left w:w="108" w:type="dxa"/>
            <w:bottom w:w="0" w:type="dxa"/>
            <w:right w:w="108" w:type="dxa"/>
          </w:tblCellMar>
        </w:tblPrEx>
        <w:trPr>
          <w:trHeight w:val="464" w:hRule="atLeast"/>
        </w:trPr>
        <w:tc>
          <w:tcPr>
            <w:tcW w:w="618" w:type="dxa"/>
            <w:vMerge w:val="restart"/>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固废</w:t>
            </w:r>
          </w:p>
        </w:tc>
        <w:tc>
          <w:tcPr>
            <w:tcW w:w="6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S2</w:t>
            </w:r>
          </w:p>
        </w:tc>
        <w:tc>
          <w:tcPr>
            <w:tcW w:w="1789"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澄清池废渣</w:t>
            </w:r>
          </w:p>
        </w:tc>
        <w:tc>
          <w:tcPr>
            <w:tcW w:w="118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11757.57</w:t>
            </w:r>
            <w:r>
              <w:rPr>
                <w:sz w:val="21"/>
              </w:rPr>
              <w:t>t/a</w:t>
            </w:r>
          </w:p>
        </w:tc>
        <w:tc>
          <w:tcPr>
            <w:tcW w:w="235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pacing w:val="-8"/>
                <w:sz w:val="21"/>
                <w:lang w:val="pt-BR"/>
              </w:rPr>
            </w:pPr>
            <w:r>
              <w:rPr>
                <w:rFonts w:hint="eastAsia"/>
                <w:spacing w:val="-8"/>
                <w:sz w:val="21"/>
                <w:lang w:val="pt-BR"/>
              </w:rPr>
              <w:t>硫酸钙等</w:t>
            </w:r>
          </w:p>
        </w:tc>
        <w:tc>
          <w:tcPr>
            <w:tcW w:w="9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lang w:val="pt-BR"/>
              </w:rPr>
            </w:pPr>
            <w:r>
              <w:rPr>
                <w:rFonts w:hint="eastAsia" w:hAnsi="宋体"/>
                <w:sz w:val="21"/>
              </w:rPr>
              <w:t>连续</w:t>
            </w:r>
          </w:p>
        </w:tc>
        <w:tc>
          <w:tcPr>
            <w:tcW w:w="176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lang w:val="pt-BR"/>
              </w:rPr>
            </w:pPr>
            <w:r>
              <w:rPr>
                <w:rFonts w:hint="eastAsia"/>
                <w:sz w:val="21"/>
              </w:rPr>
              <w:t>送至固化系统</w:t>
            </w:r>
          </w:p>
        </w:tc>
      </w:tr>
      <w:tr>
        <w:tblPrEx>
          <w:tblCellMar>
            <w:top w:w="0" w:type="dxa"/>
            <w:left w:w="108" w:type="dxa"/>
            <w:bottom w:w="0" w:type="dxa"/>
            <w:right w:w="108" w:type="dxa"/>
          </w:tblCellMar>
        </w:tblPrEx>
        <w:trPr>
          <w:trHeight w:val="464" w:hRule="atLeast"/>
        </w:trPr>
        <w:tc>
          <w:tcPr>
            <w:tcW w:w="618"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rFonts w:hAnsi="宋体"/>
                <w:sz w:val="21"/>
              </w:rPr>
            </w:pPr>
          </w:p>
        </w:tc>
        <w:tc>
          <w:tcPr>
            <w:tcW w:w="6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S3</w:t>
            </w:r>
          </w:p>
        </w:tc>
        <w:tc>
          <w:tcPr>
            <w:tcW w:w="1789"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隔油池废油</w:t>
            </w:r>
          </w:p>
        </w:tc>
        <w:tc>
          <w:tcPr>
            <w:tcW w:w="118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101.97</w:t>
            </w:r>
            <w:r>
              <w:rPr>
                <w:sz w:val="21"/>
              </w:rPr>
              <w:t>t/a</w:t>
            </w:r>
          </w:p>
        </w:tc>
        <w:tc>
          <w:tcPr>
            <w:tcW w:w="235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pacing w:val="-8"/>
                <w:sz w:val="21"/>
                <w:lang w:val="pt-BR"/>
              </w:rPr>
            </w:pPr>
            <w:r>
              <w:rPr>
                <w:rFonts w:hint="eastAsia"/>
                <w:spacing w:val="-8"/>
                <w:sz w:val="21"/>
                <w:lang w:val="pt-BR"/>
              </w:rPr>
              <w:t>废油等</w:t>
            </w:r>
          </w:p>
        </w:tc>
        <w:tc>
          <w:tcPr>
            <w:tcW w:w="9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送至焚烧车间</w:t>
            </w:r>
          </w:p>
        </w:tc>
      </w:tr>
      <w:tr>
        <w:tblPrEx>
          <w:tblCellMar>
            <w:top w:w="0" w:type="dxa"/>
            <w:left w:w="108" w:type="dxa"/>
            <w:bottom w:w="0" w:type="dxa"/>
            <w:right w:w="108" w:type="dxa"/>
          </w:tblCellMar>
        </w:tblPrEx>
        <w:trPr>
          <w:trHeight w:val="464" w:hRule="atLeast"/>
        </w:trPr>
        <w:tc>
          <w:tcPr>
            <w:tcW w:w="618"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rFonts w:hAnsi="宋体"/>
                <w:sz w:val="21"/>
              </w:rPr>
            </w:pPr>
          </w:p>
        </w:tc>
        <w:tc>
          <w:tcPr>
            <w:tcW w:w="64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S4</w:t>
            </w:r>
          </w:p>
        </w:tc>
        <w:tc>
          <w:tcPr>
            <w:tcW w:w="1789"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沉淀池废渣</w:t>
            </w:r>
          </w:p>
        </w:tc>
        <w:tc>
          <w:tcPr>
            <w:tcW w:w="1184"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99.00</w:t>
            </w:r>
            <w:r>
              <w:rPr>
                <w:sz w:val="21"/>
              </w:rPr>
              <w:t>t/a</w:t>
            </w:r>
          </w:p>
        </w:tc>
        <w:tc>
          <w:tcPr>
            <w:tcW w:w="2352"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pacing w:val="-8"/>
                <w:sz w:val="21"/>
                <w:lang w:val="pt-BR"/>
              </w:rPr>
            </w:pPr>
            <w:r>
              <w:rPr>
                <w:rFonts w:hint="eastAsia"/>
                <w:spacing w:val="-8"/>
                <w:sz w:val="21"/>
                <w:lang w:val="pt-BR"/>
              </w:rPr>
              <w:t>含重沉淀物等</w:t>
            </w:r>
          </w:p>
        </w:tc>
        <w:tc>
          <w:tcPr>
            <w:tcW w:w="94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rFonts w:hint="eastAsia"/>
                <w:sz w:val="21"/>
              </w:rPr>
              <w:t>送至固化系统</w:t>
            </w:r>
          </w:p>
        </w:tc>
      </w:tr>
    </w:tbl>
    <w:p>
      <w:pPr>
        <w:ind w:firstLine="480"/>
        <w:rPr>
          <w:rFonts w:asciiTheme="minorEastAsia" w:hAnsiTheme="minorEastAsia" w:eastAsiaTheme="minorEastAsia"/>
          <w:szCs w:val="24"/>
        </w:rPr>
      </w:pPr>
    </w:p>
    <w:p>
      <w:pPr>
        <w:pStyle w:val="4"/>
        <w:rPr>
          <w:lang w:val="zh-CN"/>
        </w:rPr>
      </w:pPr>
      <w:bookmarkStart w:id="240" w:name="_Toc13760148"/>
      <w:r>
        <w:rPr>
          <w:rFonts w:hint="eastAsia"/>
        </w:rPr>
        <w:t>4.6改扩建</w:t>
      </w:r>
      <w:r>
        <w:rPr>
          <w:rFonts w:hint="eastAsia"/>
          <w:lang w:val="zh-CN"/>
        </w:rPr>
        <w:t>后焚烧烟气处理流程及污染分析</w:t>
      </w:r>
      <w:bookmarkEnd w:id="240"/>
    </w:p>
    <w:p>
      <w:pPr>
        <w:ind w:firstLine="480"/>
      </w:pPr>
      <w:r>
        <w:rPr>
          <w:rFonts w:hint="eastAsia" w:hAnsi="宋体"/>
        </w:rPr>
        <w:t>根据业主提供的方案，本次改扩建</w:t>
      </w:r>
      <w:r>
        <w:rPr>
          <w:rFonts w:hint="eastAsia"/>
        </w:rPr>
        <w:t>建设2套处理能力为50</w:t>
      </w:r>
      <w:r>
        <w:t>t/d</w:t>
      </w:r>
      <w:r>
        <w:rPr>
          <w:rFonts w:hint="eastAsia"/>
        </w:rPr>
        <w:t>的回转窑型焚烧炉及其配套设施，焚烧系统年运行天数为</w:t>
      </w:r>
      <w:r>
        <w:t>330d</w:t>
      </w:r>
      <w:r>
        <w:rPr>
          <w:rFonts w:hint="eastAsia"/>
        </w:rPr>
        <w:t>，年危废处理能力为3300</w:t>
      </w:r>
      <w:r>
        <w:t>0t/a</w:t>
      </w:r>
      <w:r>
        <w:rPr>
          <w:rFonts w:hint="eastAsia"/>
        </w:rPr>
        <w:t>。分期建设。</w:t>
      </w:r>
    </w:p>
    <w:p>
      <w:pPr>
        <w:ind w:firstLine="480"/>
        <w:rPr>
          <w:lang w:val="zh-CN"/>
        </w:rPr>
      </w:pPr>
      <w:r>
        <w:rPr>
          <w:rFonts w:hint="eastAsia" w:hAnsi="宋体"/>
        </w:rPr>
        <w:t>本次改扩建焚烧废气处理工艺与之前环评有调整，</w:t>
      </w:r>
      <w:r>
        <w:rPr>
          <w:rFonts w:hint="eastAsia"/>
        </w:rPr>
        <w:t>主要工艺采用“上料系统</w:t>
      </w:r>
      <w:r>
        <w:t>+</w:t>
      </w:r>
      <w:r>
        <w:rPr>
          <w:rFonts w:hint="eastAsia"/>
        </w:rPr>
        <w:t>回转窑</w:t>
      </w:r>
      <w:r>
        <w:t>+</w:t>
      </w:r>
      <w:r>
        <w:rPr>
          <w:rFonts w:hint="eastAsia"/>
        </w:rPr>
        <w:t>二燃室焚烧系统</w:t>
      </w:r>
      <w:r>
        <w:t>+SNCR</w:t>
      </w:r>
      <w:r>
        <w:rPr>
          <w:rFonts w:hint="eastAsia"/>
        </w:rPr>
        <w:t>脱硝系统</w:t>
      </w:r>
      <w:r>
        <w:t>+</w:t>
      </w:r>
      <w:r>
        <w:rPr>
          <w:rFonts w:hint="eastAsia"/>
        </w:rPr>
        <w:t>余热锅炉</w:t>
      </w:r>
      <w:r>
        <w:t>+</w:t>
      </w:r>
      <w:r>
        <w:rPr>
          <w:rFonts w:hint="eastAsia"/>
        </w:rPr>
        <w:t>急冷脱酸塔</w:t>
      </w:r>
      <w:r>
        <w:t>+</w:t>
      </w:r>
      <w:r>
        <w:rPr>
          <w:rFonts w:hint="eastAsia"/>
        </w:rPr>
        <w:t>干式反应器</w:t>
      </w:r>
      <w:r>
        <w:t>+</w:t>
      </w:r>
      <w:r>
        <w:rPr>
          <w:rFonts w:hint="eastAsia"/>
        </w:rPr>
        <w:t>袋式除尘器</w:t>
      </w:r>
      <w:r>
        <w:t>+</w:t>
      </w:r>
      <w:r>
        <w:rPr>
          <w:rFonts w:hint="eastAsia"/>
        </w:rPr>
        <w:t>喷淋洗涤塔+湿电除尘</w:t>
      </w:r>
      <w:r>
        <w:t>+</w:t>
      </w:r>
      <w:r>
        <w:rPr>
          <w:rFonts w:hint="eastAsia"/>
        </w:rPr>
        <w:t>烟囱”，规模扩大。原来的旋风除尘改为湿电除尘，能有效去除烟气中的粉尘和水雾，改善烟气排放的效果。</w:t>
      </w:r>
      <w:r>
        <w:rPr>
          <w:rFonts w:hint="eastAsia" w:asciiTheme="minorEastAsia" w:hAnsiTheme="minorEastAsia" w:eastAsiaTheme="minorEastAsia"/>
          <w:szCs w:val="24"/>
        </w:rPr>
        <w:t>本次针对改扩建内容产排污进行分析评价。</w:t>
      </w:r>
    </w:p>
    <w:p>
      <w:pPr>
        <w:pStyle w:val="5"/>
      </w:pPr>
      <w:bookmarkStart w:id="241" w:name="_Toc13760149"/>
      <w:r>
        <w:rPr>
          <w:rFonts w:hint="eastAsia"/>
        </w:rPr>
        <w:t>4.6.1主要设备</w:t>
      </w:r>
      <w:bookmarkEnd w:id="241"/>
    </w:p>
    <w:p>
      <w:pPr>
        <w:ind w:firstLine="480"/>
      </w:pPr>
      <w:r>
        <w:rPr>
          <w:rFonts w:hint="eastAsia"/>
        </w:rPr>
        <w:t>改扩建后焚烧系统主要技术参数见表</w:t>
      </w:r>
      <w:r>
        <w:t>4.</w:t>
      </w:r>
      <w:r>
        <w:rPr>
          <w:rFonts w:hint="eastAsia"/>
        </w:rPr>
        <w:t>6—1。</w:t>
      </w:r>
    </w:p>
    <w:p>
      <w:pPr>
        <w:ind w:firstLine="480"/>
      </w:pPr>
      <w:r>
        <w:rPr>
          <w:rFonts w:hint="eastAsia"/>
        </w:rPr>
        <w:t>表</w:t>
      </w:r>
      <w:r>
        <w:t>4.</w:t>
      </w:r>
      <w:r>
        <w:rPr>
          <w:rFonts w:hint="eastAsia"/>
        </w:rPr>
        <w:t>6—1               焚烧系统主要设备技术参数</w:t>
      </w:r>
    </w:p>
    <w:tbl>
      <w:tblPr>
        <w:tblStyle w:val="88"/>
        <w:tblW w:w="5000" w:type="pct"/>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58"/>
        <w:gridCol w:w="3886"/>
        <w:gridCol w:w="981"/>
        <w:gridCol w:w="3829"/>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113" w:type="dxa"/>
            <w:tcBorders>
              <w:top w:val="single" w:color="000000" w:sz="12" w:space="0"/>
              <w:bottom w:val="single" w:color="000000" w:sz="12" w:space="0"/>
            </w:tcBorders>
            <w:vAlign w:val="center"/>
          </w:tcPr>
          <w:p>
            <w:pPr>
              <w:autoSpaceDE w:val="0"/>
              <w:autoSpaceDN w:val="0"/>
              <w:adjustRightInd w:val="0"/>
              <w:snapToGrid w:val="0"/>
              <w:spacing w:line="240" w:lineRule="exact"/>
              <w:ind w:firstLine="0" w:firstLineChars="0"/>
              <w:jc w:val="center"/>
              <w:rPr>
                <w:sz w:val="21"/>
              </w:rPr>
            </w:pPr>
            <w:r>
              <w:rPr>
                <w:rFonts w:hint="eastAsia"/>
                <w:sz w:val="21"/>
              </w:rPr>
              <w:t>焚烧设备</w:t>
            </w:r>
          </w:p>
        </w:tc>
        <w:tc>
          <w:tcPr>
            <w:tcW w:w="3735" w:type="dxa"/>
            <w:tcBorders>
              <w:top w:val="single" w:color="000000" w:sz="12" w:space="0"/>
              <w:bottom w:val="single" w:color="000000" w:sz="12" w:space="0"/>
            </w:tcBorders>
            <w:vAlign w:val="center"/>
          </w:tcPr>
          <w:p>
            <w:pPr>
              <w:autoSpaceDE w:val="0"/>
              <w:autoSpaceDN w:val="0"/>
              <w:adjustRightInd w:val="0"/>
              <w:snapToGrid w:val="0"/>
              <w:spacing w:line="240" w:lineRule="exact"/>
              <w:ind w:firstLine="0" w:firstLineChars="0"/>
              <w:jc w:val="center"/>
              <w:rPr>
                <w:sz w:val="21"/>
              </w:rPr>
            </w:pPr>
            <w:r>
              <w:rPr>
                <w:rFonts w:hint="eastAsia"/>
                <w:sz w:val="21"/>
              </w:rPr>
              <w:t>技术参数</w:t>
            </w:r>
          </w:p>
        </w:tc>
        <w:tc>
          <w:tcPr>
            <w:tcW w:w="943" w:type="dxa"/>
            <w:tcBorders>
              <w:top w:val="single" w:color="000000" w:sz="12" w:space="0"/>
              <w:bottom w:val="single" w:color="000000" w:sz="12" w:space="0"/>
            </w:tcBorders>
            <w:vAlign w:val="center"/>
          </w:tcPr>
          <w:p>
            <w:pPr>
              <w:autoSpaceDE w:val="0"/>
              <w:autoSpaceDN w:val="0"/>
              <w:adjustRightInd w:val="0"/>
              <w:snapToGrid w:val="0"/>
              <w:spacing w:line="240" w:lineRule="exact"/>
              <w:ind w:firstLine="0" w:firstLineChars="0"/>
              <w:jc w:val="center"/>
              <w:rPr>
                <w:sz w:val="21"/>
              </w:rPr>
            </w:pPr>
            <w:r>
              <w:rPr>
                <w:rFonts w:hint="eastAsia"/>
                <w:sz w:val="21"/>
              </w:rPr>
              <w:t>焚烧设备</w:t>
            </w:r>
          </w:p>
        </w:tc>
        <w:tc>
          <w:tcPr>
            <w:tcW w:w="3681" w:type="dxa"/>
            <w:tcBorders>
              <w:top w:val="single" w:color="000000" w:sz="12" w:space="0"/>
              <w:bottom w:val="single" w:color="000000" w:sz="12" w:space="0"/>
            </w:tcBorders>
            <w:vAlign w:val="center"/>
          </w:tcPr>
          <w:p>
            <w:pPr>
              <w:autoSpaceDE w:val="0"/>
              <w:autoSpaceDN w:val="0"/>
              <w:adjustRightInd w:val="0"/>
              <w:snapToGrid w:val="0"/>
              <w:spacing w:line="240" w:lineRule="exact"/>
              <w:ind w:firstLine="0" w:firstLineChars="0"/>
              <w:jc w:val="center"/>
              <w:rPr>
                <w:sz w:val="21"/>
              </w:rPr>
            </w:pPr>
            <w:r>
              <w:rPr>
                <w:rFonts w:hint="eastAsia"/>
                <w:sz w:val="21"/>
              </w:rPr>
              <w:t>技术参数</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113" w:type="dxa"/>
            <w:tcBorders>
              <w:top w:val="single" w:color="000000" w:sz="12" w:space="0"/>
            </w:tcBorders>
          </w:tcPr>
          <w:p>
            <w:pPr>
              <w:autoSpaceDE w:val="0"/>
              <w:autoSpaceDN w:val="0"/>
              <w:adjustRightInd w:val="0"/>
              <w:snapToGrid w:val="0"/>
              <w:spacing w:line="240" w:lineRule="exact"/>
              <w:ind w:firstLine="0" w:firstLineChars="0"/>
              <w:rPr>
                <w:sz w:val="21"/>
              </w:rPr>
            </w:pPr>
            <w:r>
              <w:rPr>
                <w:sz w:val="21"/>
              </w:rPr>
              <w:t>1.</w:t>
            </w:r>
            <w:r>
              <w:rPr>
                <w:rFonts w:hint="eastAsia"/>
                <w:sz w:val="21"/>
              </w:rPr>
              <w:t>一燃室</w:t>
            </w:r>
          </w:p>
        </w:tc>
        <w:tc>
          <w:tcPr>
            <w:tcW w:w="3735" w:type="dxa"/>
            <w:tcBorders>
              <w:top w:val="single" w:color="000000" w:sz="12" w:space="0"/>
            </w:tcBorders>
          </w:tcPr>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处理能力：</w:t>
            </w:r>
            <w:r>
              <w:rPr>
                <w:sz w:val="21"/>
              </w:rPr>
              <w:t>50t/d</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筒体尺寸：</w:t>
            </w:r>
            <w:r>
              <w:rPr>
                <w:sz w:val="21"/>
              </w:rPr>
              <w:t>Ф3500×13000mm</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回转窑内部耐火材料厚度：</w:t>
            </w:r>
            <w:r>
              <w:rPr>
                <w:sz w:val="21"/>
              </w:rPr>
              <w:t>200mm</w:t>
            </w:r>
            <w:r>
              <w:rPr>
                <w:rFonts w:hint="eastAsia"/>
                <w:sz w:val="21"/>
              </w:rPr>
              <w:t>白刚玉浇注料</w:t>
            </w:r>
            <w:r>
              <w:rPr>
                <w:sz w:val="21"/>
              </w:rPr>
              <w:t>+100mm</w:t>
            </w:r>
            <w:r>
              <w:rPr>
                <w:rFonts w:hint="eastAsia"/>
                <w:sz w:val="21"/>
              </w:rPr>
              <w:t>高强度轻质料，耐温</w:t>
            </w:r>
            <w:r>
              <w:rPr>
                <w:sz w:val="21"/>
              </w:rPr>
              <w:t>1790</w:t>
            </w:r>
            <w:r>
              <w:rPr>
                <w:rFonts w:hint="eastAsia"/>
                <w:sz w:val="21"/>
              </w:rPr>
              <w:t>℃</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有效容积：</w:t>
            </w:r>
            <w:r>
              <w:rPr>
                <w:sz w:val="21"/>
              </w:rPr>
              <w:t>25m</w:t>
            </w:r>
            <w:r>
              <w:rPr>
                <w:sz w:val="21"/>
                <w:vertAlign w:val="superscript"/>
              </w:rPr>
              <w:t>3</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回转窑外壳材质：</w:t>
            </w:r>
            <w:r>
              <w:rPr>
                <w:sz w:val="21"/>
              </w:rPr>
              <w:t>Q235</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筒体外壳材质厚度：</w:t>
            </w:r>
            <w:r>
              <w:rPr>
                <w:sz w:val="21"/>
              </w:rPr>
              <w:t>14mm</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窑头窑尾外壳材质厚度：</w:t>
            </w:r>
            <w:r>
              <w:rPr>
                <w:sz w:val="21"/>
              </w:rPr>
              <w:t>10mm</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转速：</w:t>
            </w:r>
            <w:r>
              <w:rPr>
                <w:sz w:val="21"/>
              </w:rPr>
              <w:t>0.1~1r/min</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物料停留时间：</w:t>
            </w:r>
            <w:r>
              <w:rPr>
                <w:sz w:val="21"/>
              </w:rPr>
              <w:t>60min</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斜度：</w:t>
            </w:r>
            <w:r>
              <w:rPr>
                <w:sz w:val="21"/>
              </w:rPr>
              <w:t>2°</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操作温度：</w:t>
            </w:r>
            <w:r>
              <w:rPr>
                <w:sz w:val="21"/>
              </w:rPr>
              <w:t>850</w:t>
            </w:r>
            <w:r>
              <w:rPr>
                <w:rFonts w:hint="eastAsia" w:cs="宋体"/>
                <w:sz w:val="21"/>
              </w:rPr>
              <w:t>℃</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操作压力：</w:t>
            </w:r>
            <w:r>
              <w:rPr>
                <w:sz w:val="21"/>
              </w:rPr>
              <w:t>-1~-5mmH</w:t>
            </w:r>
            <w:r>
              <w:rPr>
                <w:sz w:val="21"/>
                <w:vertAlign w:val="subscript"/>
              </w:rPr>
              <w:t>2</w:t>
            </w:r>
            <w:r>
              <w:rPr>
                <w:sz w:val="21"/>
              </w:rPr>
              <w:t>O</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补氧系统：离心式、风压</w:t>
            </w:r>
            <w:r>
              <w:rPr>
                <w:sz w:val="21"/>
              </w:rPr>
              <w:t>4800Pa</w:t>
            </w:r>
          </w:p>
          <w:p>
            <w:pPr>
              <w:numPr>
                <w:ilvl w:val="0"/>
                <w:numId w:val="6"/>
              </w:numPr>
              <w:autoSpaceDE w:val="0"/>
              <w:autoSpaceDN w:val="0"/>
              <w:adjustRightInd w:val="0"/>
              <w:snapToGrid w:val="0"/>
              <w:spacing w:line="240" w:lineRule="exact"/>
              <w:ind w:left="0" w:firstLine="0" w:firstLineChars="0"/>
              <w:jc w:val="left"/>
              <w:rPr>
                <w:sz w:val="21"/>
              </w:rPr>
            </w:pPr>
            <w:r>
              <w:rPr>
                <w:rFonts w:hint="eastAsia"/>
                <w:sz w:val="21"/>
              </w:rPr>
              <w:t>焚烧系统热功率：</w:t>
            </w:r>
            <w:r>
              <w:rPr>
                <w:sz w:val="21"/>
              </w:rPr>
              <w:t>200/600-1000Mcal/h</w:t>
            </w:r>
          </w:p>
        </w:tc>
        <w:tc>
          <w:tcPr>
            <w:tcW w:w="943" w:type="dxa"/>
            <w:tcBorders>
              <w:top w:val="single" w:color="000000" w:sz="12" w:space="0"/>
            </w:tcBorders>
          </w:tcPr>
          <w:p>
            <w:pPr>
              <w:autoSpaceDE w:val="0"/>
              <w:autoSpaceDN w:val="0"/>
              <w:adjustRightInd w:val="0"/>
              <w:snapToGrid w:val="0"/>
              <w:spacing w:line="240" w:lineRule="exact"/>
              <w:ind w:firstLine="0" w:firstLineChars="0"/>
              <w:rPr>
                <w:sz w:val="21"/>
              </w:rPr>
            </w:pPr>
            <w:r>
              <w:rPr>
                <w:sz w:val="21"/>
              </w:rPr>
              <w:t>2.</w:t>
            </w:r>
            <w:r>
              <w:rPr>
                <w:rFonts w:hint="eastAsia"/>
                <w:sz w:val="21"/>
              </w:rPr>
              <w:t>二燃室</w:t>
            </w:r>
          </w:p>
        </w:tc>
        <w:tc>
          <w:tcPr>
            <w:tcW w:w="3681" w:type="dxa"/>
            <w:tcBorders>
              <w:top w:val="single" w:color="000000" w:sz="12" w:space="0"/>
            </w:tcBorders>
          </w:tcPr>
          <w:p>
            <w:pPr>
              <w:numPr>
                <w:ilvl w:val="0"/>
                <w:numId w:val="7"/>
              </w:numPr>
              <w:autoSpaceDE w:val="0"/>
              <w:autoSpaceDN w:val="0"/>
              <w:adjustRightInd w:val="0"/>
              <w:snapToGrid w:val="0"/>
              <w:spacing w:line="240" w:lineRule="exact"/>
              <w:ind w:left="0" w:firstLine="0" w:firstLineChars="0"/>
              <w:jc w:val="left"/>
              <w:rPr>
                <w:sz w:val="21"/>
              </w:rPr>
            </w:pPr>
            <w:r>
              <w:rPr>
                <w:rFonts w:hint="eastAsia"/>
                <w:sz w:val="21"/>
              </w:rPr>
              <w:t>外形尺寸：</w:t>
            </w:r>
            <w:r>
              <w:rPr>
                <w:sz w:val="21"/>
              </w:rPr>
              <w:t>Ф5200×15000mm</w:t>
            </w:r>
          </w:p>
          <w:p>
            <w:pPr>
              <w:numPr>
                <w:ilvl w:val="0"/>
                <w:numId w:val="7"/>
              </w:numPr>
              <w:autoSpaceDE w:val="0"/>
              <w:autoSpaceDN w:val="0"/>
              <w:adjustRightInd w:val="0"/>
              <w:snapToGrid w:val="0"/>
              <w:spacing w:line="240" w:lineRule="exact"/>
              <w:ind w:left="0" w:firstLine="0" w:firstLineChars="0"/>
              <w:jc w:val="left"/>
              <w:rPr>
                <w:sz w:val="21"/>
              </w:rPr>
            </w:pPr>
            <w:r>
              <w:rPr>
                <w:rFonts w:hint="eastAsia"/>
                <w:sz w:val="21"/>
              </w:rPr>
              <w:t>二燃室内部耐火材料厚度：</w:t>
            </w:r>
            <w:r>
              <w:rPr>
                <w:sz w:val="21"/>
              </w:rPr>
              <w:t>200mm</w:t>
            </w:r>
            <w:r>
              <w:rPr>
                <w:rFonts w:hint="eastAsia"/>
                <w:sz w:val="21"/>
              </w:rPr>
              <w:t>刚玉莫来石浇注料，</w:t>
            </w:r>
            <w:r>
              <w:rPr>
                <w:sz w:val="21"/>
              </w:rPr>
              <w:t>230mm</w:t>
            </w:r>
            <w:r>
              <w:rPr>
                <w:rFonts w:hint="eastAsia"/>
                <w:sz w:val="21"/>
              </w:rPr>
              <w:t>保温层采用轻质浇注料，隔热保温层采用陶瓷纤维板，厚度</w:t>
            </w:r>
            <w:r>
              <w:rPr>
                <w:sz w:val="21"/>
              </w:rPr>
              <w:t>70mm</w:t>
            </w:r>
          </w:p>
          <w:p>
            <w:pPr>
              <w:numPr>
                <w:ilvl w:val="0"/>
                <w:numId w:val="7"/>
              </w:numPr>
              <w:autoSpaceDE w:val="0"/>
              <w:autoSpaceDN w:val="0"/>
              <w:adjustRightInd w:val="0"/>
              <w:snapToGrid w:val="0"/>
              <w:spacing w:line="240" w:lineRule="exact"/>
              <w:ind w:left="0" w:firstLine="0" w:firstLineChars="0"/>
              <w:jc w:val="left"/>
              <w:rPr>
                <w:sz w:val="21"/>
              </w:rPr>
            </w:pPr>
            <w:r>
              <w:rPr>
                <w:rFonts w:hint="eastAsia"/>
                <w:sz w:val="21"/>
              </w:rPr>
              <w:t>材质：</w:t>
            </w:r>
            <w:r>
              <w:rPr>
                <w:sz w:val="21"/>
              </w:rPr>
              <w:t>Q235B</w:t>
            </w:r>
          </w:p>
          <w:p>
            <w:pPr>
              <w:numPr>
                <w:ilvl w:val="0"/>
                <w:numId w:val="7"/>
              </w:numPr>
              <w:autoSpaceDE w:val="0"/>
              <w:autoSpaceDN w:val="0"/>
              <w:adjustRightInd w:val="0"/>
              <w:snapToGrid w:val="0"/>
              <w:spacing w:line="240" w:lineRule="exact"/>
              <w:ind w:left="0" w:firstLine="0" w:firstLineChars="0"/>
              <w:jc w:val="left"/>
              <w:rPr>
                <w:sz w:val="21"/>
              </w:rPr>
            </w:pPr>
            <w:r>
              <w:rPr>
                <w:rFonts w:hint="eastAsia"/>
                <w:sz w:val="21"/>
              </w:rPr>
              <w:t>操作温度：</w:t>
            </w:r>
            <w:r>
              <w:rPr>
                <w:sz w:val="21"/>
              </w:rPr>
              <w:t>&gt;1100</w:t>
            </w:r>
            <w:r>
              <w:rPr>
                <w:rFonts w:hint="eastAsia" w:cs="宋体"/>
                <w:sz w:val="21"/>
              </w:rPr>
              <w:t>℃℃</w:t>
            </w:r>
          </w:p>
          <w:p>
            <w:pPr>
              <w:numPr>
                <w:ilvl w:val="0"/>
                <w:numId w:val="7"/>
              </w:numPr>
              <w:autoSpaceDE w:val="0"/>
              <w:autoSpaceDN w:val="0"/>
              <w:adjustRightInd w:val="0"/>
              <w:snapToGrid w:val="0"/>
              <w:spacing w:line="240" w:lineRule="exact"/>
              <w:ind w:left="0" w:firstLine="0" w:firstLineChars="0"/>
              <w:jc w:val="left"/>
              <w:rPr>
                <w:sz w:val="21"/>
              </w:rPr>
            </w:pPr>
            <w:r>
              <w:rPr>
                <w:rFonts w:hint="eastAsia"/>
                <w:sz w:val="21"/>
              </w:rPr>
              <w:t>炉膛有效容积：</w:t>
            </w:r>
            <w:r>
              <w:rPr>
                <w:sz w:val="21"/>
              </w:rPr>
              <w:t>28m</w:t>
            </w:r>
            <w:r>
              <w:rPr>
                <w:sz w:val="21"/>
                <w:vertAlign w:val="superscript"/>
              </w:rPr>
              <w:t>3</w:t>
            </w:r>
          </w:p>
          <w:p>
            <w:pPr>
              <w:numPr>
                <w:ilvl w:val="0"/>
                <w:numId w:val="7"/>
              </w:numPr>
              <w:autoSpaceDE w:val="0"/>
              <w:autoSpaceDN w:val="0"/>
              <w:adjustRightInd w:val="0"/>
              <w:snapToGrid w:val="0"/>
              <w:spacing w:line="240" w:lineRule="exact"/>
              <w:ind w:left="0" w:firstLine="0" w:firstLineChars="0"/>
              <w:jc w:val="left"/>
              <w:rPr>
                <w:sz w:val="21"/>
              </w:rPr>
            </w:pPr>
            <w:r>
              <w:rPr>
                <w:rFonts w:hint="eastAsia"/>
                <w:sz w:val="21"/>
              </w:rPr>
              <w:t>烟气停留时间：≥</w:t>
            </w:r>
            <w:r>
              <w:rPr>
                <w:sz w:val="21"/>
              </w:rPr>
              <w:t>2.0s</w:t>
            </w:r>
          </w:p>
          <w:p>
            <w:pPr>
              <w:numPr>
                <w:ilvl w:val="0"/>
                <w:numId w:val="7"/>
              </w:numPr>
              <w:autoSpaceDE w:val="0"/>
              <w:autoSpaceDN w:val="0"/>
              <w:adjustRightInd w:val="0"/>
              <w:snapToGrid w:val="0"/>
              <w:spacing w:line="240" w:lineRule="exact"/>
              <w:ind w:left="0" w:firstLine="0" w:firstLineChars="0"/>
              <w:jc w:val="left"/>
              <w:rPr>
                <w:sz w:val="21"/>
              </w:rPr>
            </w:pPr>
            <w:r>
              <w:rPr>
                <w:rFonts w:hint="eastAsia"/>
                <w:sz w:val="21"/>
              </w:rPr>
              <w:t>炉渣热灼减率：＜</w:t>
            </w:r>
            <w:r>
              <w:rPr>
                <w:sz w:val="21"/>
              </w:rPr>
              <w:t>5%</w:t>
            </w:r>
          </w:p>
          <w:p>
            <w:pPr>
              <w:numPr>
                <w:ilvl w:val="0"/>
                <w:numId w:val="7"/>
              </w:numPr>
              <w:autoSpaceDE w:val="0"/>
              <w:autoSpaceDN w:val="0"/>
              <w:adjustRightInd w:val="0"/>
              <w:snapToGrid w:val="0"/>
              <w:spacing w:line="240" w:lineRule="exact"/>
              <w:ind w:left="0" w:firstLine="0" w:firstLineChars="0"/>
              <w:jc w:val="left"/>
              <w:rPr>
                <w:sz w:val="21"/>
              </w:rPr>
            </w:pPr>
            <w:r>
              <w:rPr>
                <w:rFonts w:hint="eastAsia"/>
                <w:sz w:val="21"/>
              </w:rPr>
              <w:t>二燃室热功率：</w:t>
            </w:r>
            <w:r>
              <w:rPr>
                <w:sz w:val="21"/>
              </w:rPr>
              <w:t>320/800-1300Mcal/h.</w:t>
            </w:r>
          </w:p>
          <w:p>
            <w:pPr>
              <w:numPr>
                <w:ilvl w:val="0"/>
                <w:numId w:val="7"/>
              </w:numPr>
              <w:autoSpaceDE w:val="0"/>
              <w:autoSpaceDN w:val="0"/>
              <w:adjustRightInd w:val="0"/>
              <w:snapToGrid w:val="0"/>
              <w:spacing w:line="240" w:lineRule="exact"/>
              <w:ind w:left="0" w:firstLine="0" w:firstLineChars="0"/>
              <w:jc w:val="left"/>
              <w:rPr>
                <w:sz w:val="21"/>
              </w:rPr>
            </w:pPr>
            <w:r>
              <w:rPr>
                <w:rFonts w:hint="eastAsia"/>
                <w:sz w:val="21"/>
              </w:rPr>
              <w:t>外壳材质厚度：</w:t>
            </w:r>
            <w:r>
              <w:rPr>
                <w:sz w:val="21"/>
              </w:rPr>
              <w:t>8mm</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113" w:type="dxa"/>
          </w:tcPr>
          <w:p>
            <w:pPr>
              <w:autoSpaceDE w:val="0"/>
              <w:autoSpaceDN w:val="0"/>
              <w:adjustRightInd w:val="0"/>
              <w:snapToGrid w:val="0"/>
              <w:spacing w:line="240" w:lineRule="exact"/>
              <w:ind w:firstLine="0" w:firstLineChars="0"/>
              <w:rPr>
                <w:sz w:val="21"/>
              </w:rPr>
            </w:pPr>
            <w:r>
              <w:rPr>
                <w:sz w:val="21"/>
              </w:rPr>
              <w:t>3.SNCR</w:t>
            </w:r>
            <w:r>
              <w:rPr>
                <w:rFonts w:hint="eastAsia"/>
                <w:sz w:val="21"/>
              </w:rPr>
              <w:t>脱硝系统</w:t>
            </w:r>
          </w:p>
        </w:tc>
        <w:tc>
          <w:tcPr>
            <w:tcW w:w="3735" w:type="dxa"/>
          </w:tcPr>
          <w:p>
            <w:pPr>
              <w:numPr>
                <w:ilvl w:val="0"/>
                <w:numId w:val="8"/>
              </w:numPr>
              <w:autoSpaceDE w:val="0"/>
              <w:autoSpaceDN w:val="0"/>
              <w:adjustRightInd w:val="0"/>
              <w:snapToGrid w:val="0"/>
              <w:spacing w:line="240" w:lineRule="exact"/>
              <w:ind w:left="0" w:firstLine="0" w:firstLineChars="0"/>
              <w:jc w:val="left"/>
              <w:rPr>
                <w:sz w:val="21"/>
              </w:rPr>
            </w:pPr>
            <w:r>
              <w:rPr>
                <w:rFonts w:hint="eastAsia"/>
                <w:sz w:val="21"/>
              </w:rPr>
              <w:t>脱硝药剂：</w:t>
            </w:r>
            <w:r>
              <w:rPr>
                <w:sz w:val="21"/>
              </w:rPr>
              <w:t>40%</w:t>
            </w:r>
            <w:r>
              <w:rPr>
                <w:rFonts w:hint="eastAsia"/>
                <w:sz w:val="21"/>
              </w:rPr>
              <w:t>尿素溶液</w:t>
            </w:r>
          </w:p>
          <w:p>
            <w:pPr>
              <w:numPr>
                <w:ilvl w:val="0"/>
                <w:numId w:val="8"/>
              </w:numPr>
              <w:autoSpaceDE w:val="0"/>
              <w:autoSpaceDN w:val="0"/>
              <w:adjustRightInd w:val="0"/>
              <w:snapToGrid w:val="0"/>
              <w:spacing w:line="240" w:lineRule="exact"/>
              <w:ind w:left="0" w:firstLine="0" w:firstLineChars="0"/>
              <w:jc w:val="left"/>
              <w:rPr>
                <w:sz w:val="21"/>
              </w:rPr>
            </w:pPr>
            <w:r>
              <w:rPr>
                <w:rFonts w:hint="eastAsia"/>
                <w:sz w:val="21"/>
              </w:rPr>
              <w:t>脱硝反应烟气温度：≥</w:t>
            </w:r>
            <w:r>
              <w:rPr>
                <w:sz w:val="21"/>
              </w:rPr>
              <w:t>1100</w:t>
            </w:r>
            <w:r>
              <w:rPr>
                <w:rFonts w:hint="eastAsia"/>
                <w:sz w:val="21"/>
              </w:rPr>
              <w:t>℃</w:t>
            </w:r>
          </w:p>
          <w:p>
            <w:pPr>
              <w:numPr>
                <w:ilvl w:val="0"/>
                <w:numId w:val="8"/>
              </w:numPr>
              <w:autoSpaceDE w:val="0"/>
              <w:autoSpaceDN w:val="0"/>
              <w:adjustRightInd w:val="0"/>
              <w:snapToGrid w:val="0"/>
              <w:spacing w:line="240" w:lineRule="exact"/>
              <w:ind w:left="0" w:firstLine="0" w:firstLineChars="0"/>
              <w:jc w:val="left"/>
              <w:rPr>
                <w:sz w:val="21"/>
              </w:rPr>
            </w:pPr>
            <w:r>
              <w:rPr>
                <w:sz w:val="21"/>
              </w:rPr>
              <w:t>40%</w:t>
            </w:r>
            <w:r>
              <w:rPr>
                <w:rFonts w:hint="eastAsia"/>
                <w:sz w:val="21"/>
              </w:rPr>
              <w:t>尿素溶液喷淋量：</w:t>
            </w:r>
            <w:r>
              <w:rPr>
                <w:sz w:val="21"/>
              </w:rPr>
              <w:t>200kg/h</w:t>
            </w:r>
          </w:p>
        </w:tc>
        <w:tc>
          <w:tcPr>
            <w:tcW w:w="943" w:type="dxa"/>
          </w:tcPr>
          <w:p>
            <w:pPr>
              <w:autoSpaceDE w:val="0"/>
              <w:autoSpaceDN w:val="0"/>
              <w:adjustRightInd w:val="0"/>
              <w:snapToGrid w:val="0"/>
              <w:spacing w:line="240" w:lineRule="exact"/>
              <w:ind w:firstLine="0" w:firstLineChars="0"/>
              <w:rPr>
                <w:sz w:val="21"/>
              </w:rPr>
            </w:pPr>
            <w:r>
              <w:rPr>
                <w:sz w:val="21"/>
              </w:rPr>
              <w:t>4.</w:t>
            </w:r>
            <w:r>
              <w:rPr>
                <w:rFonts w:hint="eastAsia"/>
                <w:sz w:val="21"/>
              </w:rPr>
              <w:t>余热锅炉</w:t>
            </w:r>
          </w:p>
        </w:tc>
        <w:tc>
          <w:tcPr>
            <w:tcW w:w="3681" w:type="dxa"/>
          </w:tcPr>
          <w:p>
            <w:pPr>
              <w:autoSpaceDE w:val="0"/>
              <w:autoSpaceDN w:val="0"/>
              <w:adjustRightInd w:val="0"/>
              <w:snapToGrid w:val="0"/>
              <w:spacing w:line="240" w:lineRule="exact"/>
              <w:ind w:firstLine="0" w:firstLineChars="0"/>
              <w:jc w:val="left"/>
              <w:rPr>
                <w:sz w:val="21"/>
              </w:rPr>
            </w:pPr>
            <w:r>
              <w:rPr>
                <w:rFonts w:hint="eastAsia"/>
                <w:sz w:val="21"/>
              </w:rPr>
              <w:t>（</w:t>
            </w:r>
            <w:r>
              <w:rPr>
                <w:sz w:val="21"/>
              </w:rPr>
              <w:t>1</w:t>
            </w:r>
            <w:r>
              <w:rPr>
                <w:rFonts w:hint="eastAsia"/>
                <w:sz w:val="21"/>
              </w:rPr>
              <w:t>）额定工作压力：</w:t>
            </w:r>
            <w:r>
              <w:rPr>
                <w:sz w:val="21"/>
              </w:rPr>
              <w:t>1.6MPa</w:t>
            </w:r>
          </w:p>
          <w:p>
            <w:pPr>
              <w:autoSpaceDE w:val="0"/>
              <w:autoSpaceDN w:val="0"/>
              <w:adjustRightInd w:val="0"/>
              <w:snapToGrid w:val="0"/>
              <w:spacing w:line="240" w:lineRule="exact"/>
              <w:ind w:firstLine="0" w:firstLineChars="0"/>
              <w:jc w:val="left"/>
              <w:rPr>
                <w:sz w:val="21"/>
              </w:rPr>
            </w:pPr>
            <w:r>
              <w:rPr>
                <w:rFonts w:hint="eastAsia"/>
                <w:sz w:val="21"/>
              </w:rPr>
              <w:t>（</w:t>
            </w:r>
            <w:r>
              <w:rPr>
                <w:sz w:val="21"/>
              </w:rPr>
              <w:t>2</w:t>
            </w:r>
            <w:r>
              <w:rPr>
                <w:rFonts w:hint="eastAsia"/>
                <w:sz w:val="21"/>
              </w:rPr>
              <w:t>）过热蒸汽温度：</w:t>
            </w:r>
            <w:r>
              <w:rPr>
                <w:sz w:val="21"/>
              </w:rPr>
              <w:t>201.4</w:t>
            </w:r>
            <w:r>
              <w:rPr>
                <w:rFonts w:hint="eastAsia" w:cs="宋体"/>
                <w:sz w:val="21"/>
              </w:rPr>
              <w:t>℃</w:t>
            </w:r>
          </w:p>
          <w:p>
            <w:pPr>
              <w:autoSpaceDE w:val="0"/>
              <w:autoSpaceDN w:val="0"/>
              <w:adjustRightInd w:val="0"/>
              <w:snapToGrid w:val="0"/>
              <w:spacing w:line="240" w:lineRule="exact"/>
              <w:ind w:firstLine="0" w:firstLineChars="0"/>
              <w:jc w:val="left"/>
              <w:rPr>
                <w:sz w:val="21"/>
              </w:rPr>
            </w:pPr>
            <w:r>
              <w:rPr>
                <w:rFonts w:hint="eastAsia"/>
                <w:sz w:val="21"/>
              </w:rPr>
              <w:t>（</w:t>
            </w:r>
            <w:r>
              <w:rPr>
                <w:sz w:val="21"/>
              </w:rPr>
              <w:t>3</w:t>
            </w:r>
            <w:r>
              <w:rPr>
                <w:rFonts w:hint="eastAsia"/>
                <w:sz w:val="21"/>
              </w:rPr>
              <w:t>）给水温度：</w:t>
            </w:r>
            <w:r>
              <w:rPr>
                <w:sz w:val="21"/>
              </w:rPr>
              <w:t>104</w:t>
            </w:r>
            <w:r>
              <w:rPr>
                <w:rFonts w:hint="eastAsia" w:cs="宋体"/>
                <w:sz w:val="21"/>
              </w:rPr>
              <w:t>℃</w:t>
            </w:r>
          </w:p>
          <w:p>
            <w:pPr>
              <w:autoSpaceDE w:val="0"/>
              <w:autoSpaceDN w:val="0"/>
              <w:adjustRightInd w:val="0"/>
              <w:snapToGrid w:val="0"/>
              <w:spacing w:line="240" w:lineRule="exact"/>
              <w:ind w:firstLine="0" w:firstLineChars="0"/>
              <w:jc w:val="left"/>
              <w:rPr>
                <w:sz w:val="21"/>
              </w:rPr>
            </w:pPr>
            <w:r>
              <w:rPr>
                <w:rFonts w:hint="eastAsia"/>
                <w:sz w:val="21"/>
              </w:rPr>
              <w:t>（</w:t>
            </w:r>
            <w:r>
              <w:rPr>
                <w:sz w:val="21"/>
              </w:rPr>
              <w:t>4</w:t>
            </w:r>
            <w:r>
              <w:rPr>
                <w:rFonts w:hint="eastAsia"/>
                <w:sz w:val="21"/>
              </w:rPr>
              <w:t>）蒸汽流量：</w:t>
            </w:r>
            <w:r>
              <w:rPr>
                <w:sz w:val="21"/>
              </w:rPr>
              <w:t>6.52t/h</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113" w:type="dxa"/>
          </w:tcPr>
          <w:p>
            <w:pPr>
              <w:autoSpaceDE w:val="0"/>
              <w:autoSpaceDN w:val="0"/>
              <w:adjustRightInd w:val="0"/>
              <w:snapToGrid w:val="0"/>
              <w:spacing w:line="240" w:lineRule="exact"/>
              <w:ind w:firstLine="0" w:firstLineChars="0"/>
              <w:rPr>
                <w:sz w:val="21"/>
              </w:rPr>
            </w:pPr>
            <w:r>
              <w:rPr>
                <w:sz w:val="21"/>
              </w:rPr>
              <w:t>5.</w:t>
            </w:r>
            <w:r>
              <w:rPr>
                <w:rFonts w:hint="eastAsia"/>
                <w:sz w:val="21"/>
              </w:rPr>
              <w:t>急冷脱酸塔</w:t>
            </w:r>
          </w:p>
        </w:tc>
        <w:tc>
          <w:tcPr>
            <w:tcW w:w="3735" w:type="dxa"/>
          </w:tcPr>
          <w:p>
            <w:pPr>
              <w:numPr>
                <w:ilvl w:val="0"/>
                <w:numId w:val="9"/>
              </w:numPr>
              <w:autoSpaceDE w:val="0"/>
              <w:autoSpaceDN w:val="0"/>
              <w:adjustRightInd w:val="0"/>
              <w:snapToGrid w:val="0"/>
              <w:spacing w:line="240" w:lineRule="exact"/>
              <w:ind w:left="0" w:firstLine="0" w:firstLineChars="0"/>
              <w:jc w:val="left"/>
              <w:rPr>
                <w:sz w:val="21"/>
              </w:rPr>
            </w:pPr>
            <w:r>
              <w:rPr>
                <w:rFonts w:hint="eastAsia"/>
                <w:sz w:val="21"/>
              </w:rPr>
              <w:t>外形尺寸：</w:t>
            </w:r>
            <w:r>
              <w:rPr>
                <w:sz w:val="21"/>
              </w:rPr>
              <w:t>Ф4000×14000mm</w:t>
            </w:r>
          </w:p>
          <w:p>
            <w:pPr>
              <w:numPr>
                <w:ilvl w:val="0"/>
                <w:numId w:val="9"/>
              </w:numPr>
              <w:autoSpaceDE w:val="0"/>
              <w:autoSpaceDN w:val="0"/>
              <w:adjustRightInd w:val="0"/>
              <w:snapToGrid w:val="0"/>
              <w:spacing w:line="240" w:lineRule="exact"/>
              <w:ind w:left="0" w:firstLine="0" w:firstLineChars="0"/>
              <w:jc w:val="left"/>
              <w:rPr>
                <w:sz w:val="21"/>
              </w:rPr>
            </w:pPr>
            <w:r>
              <w:rPr>
                <w:rFonts w:hint="eastAsia"/>
                <w:sz w:val="21"/>
              </w:rPr>
              <w:t>进口烟气温度：</w:t>
            </w:r>
            <w:r>
              <w:rPr>
                <w:sz w:val="21"/>
              </w:rPr>
              <w:t>550</w:t>
            </w:r>
            <w:r>
              <w:rPr>
                <w:rFonts w:hint="eastAsia"/>
                <w:sz w:val="21"/>
              </w:rPr>
              <w:t>℃</w:t>
            </w:r>
          </w:p>
          <w:p>
            <w:pPr>
              <w:numPr>
                <w:ilvl w:val="0"/>
                <w:numId w:val="9"/>
              </w:numPr>
              <w:autoSpaceDE w:val="0"/>
              <w:autoSpaceDN w:val="0"/>
              <w:adjustRightInd w:val="0"/>
              <w:snapToGrid w:val="0"/>
              <w:spacing w:line="240" w:lineRule="exact"/>
              <w:ind w:left="0" w:firstLine="0" w:firstLineChars="0"/>
              <w:jc w:val="left"/>
              <w:rPr>
                <w:sz w:val="21"/>
              </w:rPr>
            </w:pPr>
            <w:r>
              <w:rPr>
                <w:rFonts w:hint="eastAsia"/>
                <w:sz w:val="21"/>
              </w:rPr>
              <w:t>进口烟气流速：</w:t>
            </w:r>
            <w:r>
              <w:rPr>
                <w:sz w:val="21"/>
              </w:rPr>
              <w:t>1.5m/s</w:t>
            </w:r>
          </w:p>
          <w:p>
            <w:pPr>
              <w:numPr>
                <w:ilvl w:val="0"/>
                <w:numId w:val="9"/>
              </w:numPr>
              <w:autoSpaceDE w:val="0"/>
              <w:autoSpaceDN w:val="0"/>
              <w:adjustRightInd w:val="0"/>
              <w:snapToGrid w:val="0"/>
              <w:spacing w:line="240" w:lineRule="exact"/>
              <w:ind w:left="0" w:firstLine="0" w:firstLineChars="0"/>
              <w:jc w:val="left"/>
              <w:rPr>
                <w:sz w:val="21"/>
              </w:rPr>
            </w:pPr>
            <w:r>
              <w:rPr>
                <w:rFonts w:hint="eastAsia"/>
                <w:sz w:val="21"/>
              </w:rPr>
              <w:t>出口烟气温度：</w:t>
            </w:r>
            <w:r>
              <w:rPr>
                <w:sz w:val="21"/>
              </w:rPr>
              <w:t>180</w:t>
            </w:r>
            <w:r>
              <w:rPr>
                <w:rFonts w:hint="eastAsia"/>
                <w:sz w:val="21"/>
              </w:rPr>
              <w:t>℃</w:t>
            </w:r>
          </w:p>
          <w:p>
            <w:pPr>
              <w:numPr>
                <w:ilvl w:val="0"/>
                <w:numId w:val="9"/>
              </w:numPr>
              <w:autoSpaceDE w:val="0"/>
              <w:autoSpaceDN w:val="0"/>
              <w:adjustRightInd w:val="0"/>
              <w:snapToGrid w:val="0"/>
              <w:spacing w:line="240" w:lineRule="exact"/>
              <w:ind w:left="0" w:firstLine="0" w:firstLineChars="0"/>
              <w:jc w:val="left"/>
              <w:rPr>
                <w:sz w:val="21"/>
              </w:rPr>
            </w:pPr>
            <w:r>
              <w:rPr>
                <w:rFonts w:hint="eastAsia"/>
                <w:sz w:val="21"/>
              </w:rPr>
              <w:t>烟气停留时间：≤</w:t>
            </w:r>
            <w:r>
              <w:rPr>
                <w:sz w:val="21"/>
              </w:rPr>
              <w:t>0.8s</w:t>
            </w:r>
          </w:p>
          <w:p>
            <w:pPr>
              <w:numPr>
                <w:ilvl w:val="0"/>
                <w:numId w:val="9"/>
              </w:numPr>
              <w:autoSpaceDE w:val="0"/>
              <w:autoSpaceDN w:val="0"/>
              <w:adjustRightInd w:val="0"/>
              <w:snapToGrid w:val="0"/>
              <w:spacing w:line="240" w:lineRule="exact"/>
              <w:ind w:left="0" w:firstLine="0" w:firstLineChars="0"/>
              <w:jc w:val="left"/>
              <w:rPr>
                <w:sz w:val="21"/>
              </w:rPr>
            </w:pPr>
            <w:r>
              <w:rPr>
                <w:rFonts w:hint="eastAsia"/>
                <w:sz w:val="21"/>
              </w:rPr>
              <w:t>有效容积：</w:t>
            </w:r>
            <w:r>
              <w:rPr>
                <w:sz w:val="21"/>
              </w:rPr>
              <w:t>150m</w:t>
            </w:r>
            <w:r>
              <w:rPr>
                <w:sz w:val="21"/>
                <w:vertAlign w:val="superscript"/>
              </w:rPr>
              <w:t>3</w:t>
            </w:r>
          </w:p>
          <w:p>
            <w:pPr>
              <w:numPr>
                <w:ilvl w:val="0"/>
                <w:numId w:val="9"/>
              </w:numPr>
              <w:autoSpaceDE w:val="0"/>
              <w:autoSpaceDN w:val="0"/>
              <w:adjustRightInd w:val="0"/>
              <w:snapToGrid w:val="0"/>
              <w:spacing w:line="240" w:lineRule="exact"/>
              <w:ind w:left="0" w:firstLine="0" w:firstLineChars="0"/>
              <w:jc w:val="left"/>
              <w:rPr>
                <w:sz w:val="21"/>
              </w:rPr>
            </w:pPr>
            <w:r>
              <w:rPr>
                <w:rFonts w:hint="eastAsia"/>
                <w:sz w:val="21"/>
              </w:rPr>
              <w:t>急冷液喷淋量：</w:t>
            </w:r>
            <w:r>
              <w:rPr>
                <w:sz w:val="21"/>
              </w:rPr>
              <w:t>3000kg/h</w:t>
            </w:r>
          </w:p>
          <w:p>
            <w:pPr>
              <w:numPr>
                <w:ilvl w:val="0"/>
                <w:numId w:val="9"/>
              </w:numPr>
              <w:autoSpaceDE w:val="0"/>
              <w:autoSpaceDN w:val="0"/>
              <w:adjustRightInd w:val="0"/>
              <w:snapToGrid w:val="0"/>
              <w:spacing w:line="240" w:lineRule="exact"/>
              <w:ind w:left="0" w:firstLine="0" w:firstLineChars="0"/>
              <w:jc w:val="left"/>
              <w:rPr>
                <w:sz w:val="21"/>
              </w:rPr>
            </w:pPr>
            <w:r>
              <w:rPr>
                <w:rFonts w:hint="eastAsia"/>
                <w:sz w:val="21"/>
              </w:rPr>
              <w:t>内衬：</w:t>
            </w:r>
            <w:r>
              <w:rPr>
                <w:sz w:val="21"/>
              </w:rPr>
              <w:t>100mm</w:t>
            </w:r>
          </w:p>
        </w:tc>
        <w:tc>
          <w:tcPr>
            <w:tcW w:w="943" w:type="dxa"/>
          </w:tcPr>
          <w:p>
            <w:pPr>
              <w:autoSpaceDE w:val="0"/>
              <w:autoSpaceDN w:val="0"/>
              <w:adjustRightInd w:val="0"/>
              <w:snapToGrid w:val="0"/>
              <w:spacing w:line="240" w:lineRule="exact"/>
              <w:ind w:firstLine="0" w:firstLineChars="0"/>
              <w:rPr>
                <w:sz w:val="21"/>
              </w:rPr>
            </w:pPr>
            <w:r>
              <w:rPr>
                <w:sz w:val="21"/>
              </w:rPr>
              <w:t>6.</w:t>
            </w:r>
            <w:r>
              <w:rPr>
                <w:rFonts w:hint="eastAsia"/>
                <w:sz w:val="21"/>
              </w:rPr>
              <w:t>干式反应器</w:t>
            </w:r>
          </w:p>
        </w:tc>
        <w:tc>
          <w:tcPr>
            <w:tcW w:w="3681" w:type="dxa"/>
          </w:tcPr>
          <w:p>
            <w:pPr>
              <w:numPr>
                <w:ilvl w:val="0"/>
                <w:numId w:val="10"/>
              </w:numPr>
              <w:autoSpaceDE w:val="0"/>
              <w:autoSpaceDN w:val="0"/>
              <w:adjustRightInd w:val="0"/>
              <w:snapToGrid w:val="0"/>
              <w:spacing w:line="240" w:lineRule="exact"/>
              <w:ind w:firstLine="0" w:firstLineChars="0"/>
              <w:rPr>
                <w:sz w:val="21"/>
              </w:rPr>
            </w:pPr>
            <w:r>
              <w:rPr>
                <w:rFonts w:hint="eastAsia"/>
                <w:sz w:val="21"/>
              </w:rPr>
              <w:t>出口烟气温度：</w:t>
            </w:r>
            <w:r>
              <w:rPr>
                <w:sz w:val="21"/>
              </w:rPr>
              <w:t>170</w:t>
            </w:r>
            <w:r>
              <w:rPr>
                <w:rFonts w:hint="eastAsia"/>
                <w:sz w:val="21"/>
              </w:rPr>
              <w:t>℃</w:t>
            </w:r>
          </w:p>
          <w:p>
            <w:pPr>
              <w:numPr>
                <w:ilvl w:val="0"/>
                <w:numId w:val="10"/>
              </w:numPr>
              <w:autoSpaceDE w:val="0"/>
              <w:autoSpaceDN w:val="0"/>
              <w:adjustRightInd w:val="0"/>
              <w:snapToGrid w:val="0"/>
              <w:spacing w:line="240" w:lineRule="exact"/>
              <w:ind w:firstLine="0" w:firstLineChars="0"/>
              <w:rPr>
                <w:sz w:val="21"/>
              </w:rPr>
            </w:pPr>
            <w:r>
              <w:rPr>
                <w:rFonts w:hint="eastAsia"/>
                <w:sz w:val="21"/>
              </w:rPr>
              <w:t>烟气流速：</w:t>
            </w:r>
            <w:r>
              <w:rPr>
                <w:sz w:val="21"/>
              </w:rPr>
              <w:t>18m/s</w:t>
            </w:r>
          </w:p>
          <w:p>
            <w:pPr>
              <w:numPr>
                <w:ilvl w:val="0"/>
                <w:numId w:val="10"/>
              </w:numPr>
              <w:autoSpaceDE w:val="0"/>
              <w:autoSpaceDN w:val="0"/>
              <w:adjustRightInd w:val="0"/>
              <w:snapToGrid w:val="0"/>
              <w:spacing w:line="240" w:lineRule="exact"/>
              <w:ind w:left="0" w:firstLine="0" w:firstLineChars="0"/>
              <w:jc w:val="left"/>
              <w:rPr>
                <w:sz w:val="21"/>
              </w:rPr>
            </w:pPr>
            <w:r>
              <w:rPr>
                <w:rFonts w:hint="eastAsia"/>
                <w:sz w:val="21"/>
              </w:rPr>
              <w:t>停留时间：</w:t>
            </w:r>
            <w:r>
              <w:rPr>
                <w:sz w:val="21"/>
              </w:rPr>
              <w:t>0.15s</w:t>
            </w:r>
          </w:p>
          <w:p>
            <w:pPr>
              <w:numPr>
                <w:ilvl w:val="0"/>
                <w:numId w:val="10"/>
              </w:numPr>
              <w:autoSpaceDE w:val="0"/>
              <w:autoSpaceDN w:val="0"/>
              <w:adjustRightInd w:val="0"/>
              <w:snapToGrid w:val="0"/>
              <w:spacing w:line="240" w:lineRule="exact"/>
              <w:ind w:left="0" w:firstLine="0" w:firstLineChars="0"/>
              <w:jc w:val="left"/>
              <w:rPr>
                <w:sz w:val="21"/>
                <w:lang w:val="pt-BR"/>
              </w:rPr>
            </w:pPr>
            <w:r>
              <w:rPr>
                <w:rFonts w:hint="eastAsia"/>
                <w:sz w:val="21"/>
              </w:rPr>
              <w:t>消石灰投加量</w:t>
            </w:r>
            <w:r>
              <w:rPr>
                <w:rFonts w:hint="eastAsia"/>
                <w:sz w:val="21"/>
                <w:lang w:val="pt-BR"/>
              </w:rPr>
              <w:t>：</w:t>
            </w:r>
            <w:r>
              <w:rPr>
                <w:sz w:val="21"/>
                <w:lang w:val="pt-BR"/>
              </w:rPr>
              <w:t>90kg/h</w:t>
            </w:r>
          </w:p>
          <w:p>
            <w:pPr>
              <w:numPr>
                <w:ilvl w:val="0"/>
                <w:numId w:val="10"/>
              </w:numPr>
              <w:autoSpaceDE w:val="0"/>
              <w:autoSpaceDN w:val="0"/>
              <w:adjustRightInd w:val="0"/>
              <w:snapToGrid w:val="0"/>
              <w:spacing w:line="240" w:lineRule="exact"/>
              <w:ind w:left="0" w:firstLine="0" w:firstLineChars="0"/>
              <w:jc w:val="left"/>
              <w:rPr>
                <w:sz w:val="21"/>
                <w:lang w:val="pt-BR"/>
              </w:rPr>
            </w:pPr>
            <w:r>
              <w:rPr>
                <w:rFonts w:hint="eastAsia"/>
                <w:sz w:val="21"/>
              </w:rPr>
              <w:t>活性炭投加量</w:t>
            </w:r>
            <w:r>
              <w:rPr>
                <w:rFonts w:hint="eastAsia"/>
                <w:sz w:val="21"/>
                <w:lang w:val="pt-BR"/>
              </w:rPr>
              <w:t>：</w:t>
            </w:r>
            <w:r>
              <w:rPr>
                <w:sz w:val="21"/>
                <w:lang w:val="pt-BR"/>
              </w:rPr>
              <w:t>5kg/h</w:t>
            </w:r>
          </w:p>
          <w:p>
            <w:pPr>
              <w:numPr>
                <w:ilvl w:val="0"/>
                <w:numId w:val="10"/>
              </w:numPr>
              <w:autoSpaceDE w:val="0"/>
              <w:autoSpaceDN w:val="0"/>
              <w:adjustRightInd w:val="0"/>
              <w:snapToGrid w:val="0"/>
              <w:spacing w:line="240" w:lineRule="exact"/>
              <w:ind w:left="0" w:firstLine="0" w:firstLineChars="0"/>
              <w:jc w:val="left"/>
              <w:rPr>
                <w:sz w:val="21"/>
              </w:rPr>
            </w:pPr>
            <w:r>
              <w:rPr>
                <w:rFonts w:hint="eastAsia"/>
                <w:sz w:val="21"/>
              </w:rPr>
              <w:t>外形尺寸：</w:t>
            </w:r>
            <w:r>
              <w:rPr>
                <w:sz w:val="21"/>
              </w:rPr>
              <w:t>Ф1600×13500mm</w:t>
            </w:r>
          </w:p>
          <w:p>
            <w:pPr>
              <w:numPr>
                <w:ilvl w:val="0"/>
                <w:numId w:val="10"/>
              </w:numPr>
              <w:autoSpaceDE w:val="0"/>
              <w:autoSpaceDN w:val="0"/>
              <w:adjustRightInd w:val="0"/>
              <w:snapToGrid w:val="0"/>
              <w:spacing w:line="240" w:lineRule="exact"/>
              <w:ind w:left="0" w:firstLine="0" w:firstLineChars="0"/>
              <w:jc w:val="left"/>
              <w:rPr>
                <w:sz w:val="21"/>
              </w:rPr>
            </w:pPr>
            <w:r>
              <w:rPr>
                <w:rFonts w:hint="eastAsia"/>
                <w:sz w:val="21"/>
              </w:rPr>
              <w:t>内衬：</w:t>
            </w:r>
            <w:r>
              <w:rPr>
                <w:sz w:val="21"/>
              </w:rPr>
              <w:t>75mm</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113" w:type="dxa"/>
          </w:tcPr>
          <w:p>
            <w:pPr>
              <w:autoSpaceDE w:val="0"/>
              <w:autoSpaceDN w:val="0"/>
              <w:adjustRightInd w:val="0"/>
              <w:snapToGrid w:val="0"/>
              <w:spacing w:line="240" w:lineRule="exact"/>
              <w:ind w:firstLine="0" w:firstLineChars="0"/>
              <w:rPr>
                <w:sz w:val="21"/>
              </w:rPr>
            </w:pPr>
            <w:r>
              <w:rPr>
                <w:sz w:val="21"/>
              </w:rPr>
              <w:t>7.</w:t>
            </w:r>
            <w:r>
              <w:rPr>
                <w:rFonts w:hint="eastAsia"/>
                <w:sz w:val="21"/>
              </w:rPr>
              <w:t>袋式除尘器</w:t>
            </w:r>
          </w:p>
        </w:tc>
        <w:tc>
          <w:tcPr>
            <w:tcW w:w="3735" w:type="dxa"/>
          </w:tcPr>
          <w:p>
            <w:pPr>
              <w:numPr>
                <w:ilvl w:val="0"/>
                <w:numId w:val="11"/>
              </w:numPr>
              <w:autoSpaceDE w:val="0"/>
              <w:autoSpaceDN w:val="0"/>
              <w:adjustRightInd w:val="0"/>
              <w:snapToGrid w:val="0"/>
              <w:spacing w:line="240" w:lineRule="exact"/>
              <w:ind w:firstLine="0" w:firstLineChars="0"/>
              <w:jc w:val="left"/>
              <w:rPr>
                <w:sz w:val="21"/>
              </w:rPr>
            </w:pPr>
            <w:r>
              <w:rPr>
                <w:rFonts w:hint="eastAsia"/>
                <w:sz w:val="21"/>
              </w:rPr>
              <w:t>出口烟气温度：</w:t>
            </w:r>
            <w:r>
              <w:rPr>
                <w:sz w:val="21"/>
              </w:rPr>
              <w:t>160</w:t>
            </w:r>
            <w:r>
              <w:rPr>
                <w:rFonts w:hint="eastAsia" w:ascii="仿宋_GB2312" w:eastAsia="仿宋_GB2312"/>
                <w:sz w:val="21"/>
              </w:rPr>
              <w:t>℃</w:t>
            </w:r>
          </w:p>
          <w:p>
            <w:pPr>
              <w:numPr>
                <w:ilvl w:val="0"/>
                <w:numId w:val="11"/>
              </w:numPr>
              <w:autoSpaceDE w:val="0"/>
              <w:autoSpaceDN w:val="0"/>
              <w:adjustRightInd w:val="0"/>
              <w:snapToGrid w:val="0"/>
              <w:spacing w:line="240" w:lineRule="exact"/>
              <w:ind w:left="0" w:firstLine="0" w:firstLineChars="0"/>
              <w:jc w:val="left"/>
              <w:rPr>
                <w:sz w:val="21"/>
              </w:rPr>
            </w:pPr>
            <w:r>
              <w:rPr>
                <w:rFonts w:hint="eastAsia"/>
                <w:sz w:val="21"/>
              </w:rPr>
              <w:t>烟气流速：</w:t>
            </w:r>
            <w:r>
              <w:rPr>
                <w:sz w:val="21"/>
              </w:rPr>
              <w:t>0.6m/min</w:t>
            </w:r>
          </w:p>
          <w:p>
            <w:pPr>
              <w:numPr>
                <w:ilvl w:val="0"/>
                <w:numId w:val="11"/>
              </w:numPr>
              <w:autoSpaceDE w:val="0"/>
              <w:autoSpaceDN w:val="0"/>
              <w:adjustRightInd w:val="0"/>
              <w:snapToGrid w:val="0"/>
              <w:spacing w:line="240" w:lineRule="exact"/>
              <w:ind w:left="0" w:firstLine="0" w:firstLineChars="0"/>
              <w:jc w:val="left"/>
              <w:rPr>
                <w:sz w:val="21"/>
              </w:rPr>
            </w:pPr>
            <w:r>
              <w:rPr>
                <w:rFonts w:hint="eastAsia"/>
                <w:sz w:val="21"/>
              </w:rPr>
              <w:t>净过滤面积：</w:t>
            </w:r>
            <w:r>
              <w:rPr>
                <w:sz w:val="21"/>
              </w:rPr>
              <w:t>1085m</w:t>
            </w:r>
            <w:r>
              <w:rPr>
                <w:sz w:val="21"/>
                <w:vertAlign w:val="superscript"/>
              </w:rPr>
              <w:t>2</w:t>
            </w:r>
          </w:p>
          <w:p>
            <w:pPr>
              <w:numPr>
                <w:ilvl w:val="0"/>
                <w:numId w:val="11"/>
              </w:numPr>
              <w:autoSpaceDE w:val="0"/>
              <w:autoSpaceDN w:val="0"/>
              <w:adjustRightInd w:val="0"/>
              <w:snapToGrid w:val="0"/>
              <w:spacing w:line="240" w:lineRule="exact"/>
              <w:ind w:left="0" w:firstLine="0" w:firstLineChars="0"/>
              <w:jc w:val="left"/>
              <w:rPr>
                <w:sz w:val="21"/>
              </w:rPr>
            </w:pPr>
            <w:r>
              <w:rPr>
                <w:rFonts w:hint="eastAsia"/>
                <w:sz w:val="21"/>
              </w:rPr>
              <w:t>滤袋数量：</w:t>
            </w:r>
            <w:r>
              <w:rPr>
                <w:sz w:val="21"/>
              </w:rPr>
              <w:t>320</w:t>
            </w:r>
            <w:r>
              <w:rPr>
                <w:rFonts w:hint="eastAsia"/>
                <w:sz w:val="21"/>
              </w:rPr>
              <w:t>个</w:t>
            </w:r>
          </w:p>
          <w:p>
            <w:pPr>
              <w:numPr>
                <w:ilvl w:val="0"/>
                <w:numId w:val="11"/>
              </w:numPr>
              <w:autoSpaceDE w:val="0"/>
              <w:autoSpaceDN w:val="0"/>
              <w:adjustRightInd w:val="0"/>
              <w:snapToGrid w:val="0"/>
              <w:spacing w:line="240" w:lineRule="exact"/>
              <w:ind w:left="0" w:firstLine="0" w:firstLineChars="0"/>
              <w:jc w:val="left"/>
              <w:rPr>
                <w:sz w:val="21"/>
              </w:rPr>
            </w:pPr>
            <w:r>
              <w:rPr>
                <w:rFonts w:hint="eastAsia"/>
                <w:sz w:val="21"/>
              </w:rPr>
              <w:t>压缩空气耗量：</w:t>
            </w:r>
            <w:r>
              <w:rPr>
                <w:sz w:val="21"/>
              </w:rPr>
              <w:t>1.8Nm</w:t>
            </w:r>
            <w:r>
              <w:rPr>
                <w:sz w:val="21"/>
                <w:vertAlign w:val="superscript"/>
              </w:rPr>
              <w:t>3</w:t>
            </w:r>
            <w:r>
              <w:rPr>
                <w:sz w:val="21"/>
              </w:rPr>
              <w:t>/min</w:t>
            </w:r>
          </w:p>
          <w:p>
            <w:pPr>
              <w:numPr>
                <w:ilvl w:val="0"/>
                <w:numId w:val="11"/>
              </w:numPr>
              <w:autoSpaceDE w:val="0"/>
              <w:autoSpaceDN w:val="0"/>
              <w:adjustRightInd w:val="0"/>
              <w:snapToGrid w:val="0"/>
              <w:spacing w:line="240" w:lineRule="exact"/>
              <w:ind w:left="0" w:firstLine="0" w:firstLineChars="0"/>
              <w:jc w:val="left"/>
              <w:rPr>
                <w:sz w:val="21"/>
              </w:rPr>
            </w:pPr>
            <w:r>
              <w:rPr>
                <w:rFonts w:hint="eastAsia"/>
                <w:sz w:val="21"/>
              </w:rPr>
              <w:t>脉冲阀数量：</w:t>
            </w:r>
            <w:r>
              <w:rPr>
                <w:sz w:val="21"/>
              </w:rPr>
              <w:t>36</w:t>
            </w:r>
            <w:r>
              <w:rPr>
                <w:rFonts w:hint="eastAsia"/>
                <w:sz w:val="21"/>
              </w:rPr>
              <w:t>个</w:t>
            </w:r>
          </w:p>
        </w:tc>
        <w:tc>
          <w:tcPr>
            <w:tcW w:w="943" w:type="dxa"/>
          </w:tcPr>
          <w:p>
            <w:pPr>
              <w:autoSpaceDE w:val="0"/>
              <w:autoSpaceDN w:val="0"/>
              <w:adjustRightInd w:val="0"/>
              <w:snapToGrid w:val="0"/>
              <w:spacing w:line="240" w:lineRule="exact"/>
              <w:ind w:firstLine="0" w:firstLineChars="0"/>
              <w:rPr>
                <w:sz w:val="21"/>
              </w:rPr>
            </w:pPr>
            <w:r>
              <w:rPr>
                <w:sz w:val="21"/>
              </w:rPr>
              <w:t>8.</w:t>
            </w:r>
            <w:r>
              <w:rPr>
                <w:rFonts w:hint="eastAsia"/>
                <w:sz w:val="21"/>
              </w:rPr>
              <w:t>喷淋洗涤塔</w:t>
            </w:r>
          </w:p>
        </w:tc>
        <w:tc>
          <w:tcPr>
            <w:tcW w:w="3681" w:type="dxa"/>
          </w:tcPr>
          <w:p>
            <w:pPr>
              <w:pStyle w:val="159"/>
              <w:numPr>
                <w:ilvl w:val="0"/>
                <w:numId w:val="12"/>
              </w:numPr>
              <w:autoSpaceDE w:val="0"/>
              <w:autoSpaceDN w:val="0"/>
              <w:adjustRightInd w:val="0"/>
              <w:snapToGrid w:val="0"/>
              <w:spacing w:line="240" w:lineRule="exact"/>
              <w:ind w:firstLineChars="0"/>
              <w:jc w:val="left"/>
              <w:rPr>
                <w:sz w:val="21"/>
              </w:rPr>
            </w:pPr>
            <w:r>
              <w:rPr>
                <w:rFonts w:hint="eastAsia"/>
                <w:sz w:val="21"/>
              </w:rPr>
              <w:t>出口烟气温度：</w:t>
            </w:r>
            <w:r>
              <w:rPr>
                <w:sz w:val="21"/>
              </w:rPr>
              <w:t>120</w:t>
            </w:r>
            <w:r>
              <w:rPr>
                <w:rFonts w:hint="eastAsia" w:ascii="仿宋_GB2312" w:eastAsia="仿宋_GB2312"/>
                <w:sz w:val="21"/>
              </w:rPr>
              <w:t>℃</w:t>
            </w:r>
          </w:p>
          <w:p>
            <w:pPr>
              <w:pStyle w:val="159"/>
              <w:numPr>
                <w:ilvl w:val="0"/>
                <w:numId w:val="12"/>
              </w:numPr>
              <w:autoSpaceDE w:val="0"/>
              <w:autoSpaceDN w:val="0"/>
              <w:adjustRightInd w:val="0"/>
              <w:snapToGrid w:val="0"/>
              <w:spacing w:line="240" w:lineRule="exact"/>
              <w:ind w:firstLineChars="0"/>
              <w:jc w:val="left"/>
              <w:rPr>
                <w:sz w:val="21"/>
              </w:rPr>
            </w:pPr>
            <w:r>
              <w:rPr>
                <w:rFonts w:hint="eastAsia"/>
                <w:sz w:val="21"/>
              </w:rPr>
              <w:t>烟气流速：</w:t>
            </w:r>
            <w:r>
              <w:rPr>
                <w:sz w:val="21"/>
              </w:rPr>
              <w:t>1.2m/s</w:t>
            </w:r>
          </w:p>
          <w:p>
            <w:pPr>
              <w:pStyle w:val="159"/>
              <w:numPr>
                <w:ilvl w:val="0"/>
                <w:numId w:val="12"/>
              </w:numPr>
              <w:autoSpaceDE w:val="0"/>
              <w:autoSpaceDN w:val="0"/>
              <w:adjustRightInd w:val="0"/>
              <w:snapToGrid w:val="0"/>
              <w:spacing w:line="240" w:lineRule="exact"/>
              <w:ind w:firstLineChars="0"/>
              <w:jc w:val="left"/>
              <w:rPr>
                <w:sz w:val="21"/>
              </w:rPr>
            </w:pPr>
            <w:r>
              <w:rPr>
                <w:rFonts w:hint="eastAsia"/>
                <w:sz w:val="21"/>
              </w:rPr>
              <w:t>烟气停留时间：</w:t>
            </w:r>
            <w:r>
              <w:rPr>
                <w:sz w:val="21"/>
              </w:rPr>
              <w:t>6.0m</w:t>
            </w:r>
            <w:r>
              <w:rPr>
                <w:sz w:val="21"/>
                <w:vertAlign w:val="superscript"/>
              </w:rPr>
              <w:t>2</w:t>
            </w:r>
          </w:p>
          <w:p>
            <w:pPr>
              <w:pStyle w:val="159"/>
              <w:numPr>
                <w:ilvl w:val="0"/>
                <w:numId w:val="12"/>
              </w:numPr>
              <w:autoSpaceDE w:val="0"/>
              <w:autoSpaceDN w:val="0"/>
              <w:adjustRightInd w:val="0"/>
              <w:snapToGrid w:val="0"/>
              <w:spacing w:line="240" w:lineRule="exact"/>
              <w:ind w:firstLineChars="0"/>
              <w:jc w:val="left"/>
              <w:rPr>
                <w:sz w:val="21"/>
              </w:rPr>
            </w:pPr>
            <w:r>
              <w:rPr>
                <w:rFonts w:hint="eastAsia"/>
                <w:sz w:val="21"/>
              </w:rPr>
              <w:t>洗涤塔容积：</w:t>
            </w:r>
            <w:r>
              <w:rPr>
                <w:sz w:val="21"/>
              </w:rPr>
              <w:t>90+100m</w:t>
            </w:r>
            <w:r>
              <w:rPr>
                <w:sz w:val="21"/>
                <w:vertAlign w:val="superscript"/>
              </w:rPr>
              <w:t>3</w:t>
            </w:r>
          </w:p>
          <w:p>
            <w:pPr>
              <w:pStyle w:val="159"/>
              <w:numPr>
                <w:ilvl w:val="0"/>
                <w:numId w:val="12"/>
              </w:numPr>
              <w:autoSpaceDE w:val="0"/>
              <w:autoSpaceDN w:val="0"/>
              <w:adjustRightInd w:val="0"/>
              <w:snapToGrid w:val="0"/>
              <w:spacing w:line="240" w:lineRule="exact"/>
              <w:ind w:firstLineChars="0"/>
              <w:jc w:val="left"/>
              <w:rPr>
                <w:sz w:val="21"/>
              </w:rPr>
            </w:pPr>
            <w:r>
              <w:rPr>
                <w:rFonts w:hint="eastAsia"/>
                <w:sz w:val="21"/>
              </w:rPr>
              <w:t>喷淋量：</w:t>
            </w:r>
          </w:p>
          <w:p>
            <w:pPr>
              <w:pStyle w:val="159"/>
              <w:autoSpaceDE w:val="0"/>
              <w:autoSpaceDN w:val="0"/>
              <w:adjustRightInd w:val="0"/>
              <w:snapToGrid w:val="0"/>
              <w:spacing w:line="240" w:lineRule="exact"/>
              <w:ind w:left="420" w:firstLine="0" w:firstLineChars="0"/>
              <w:jc w:val="left"/>
              <w:rPr>
                <w:sz w:val="21"/>
                <w:lang w:val="pt-BR"/>
              </w:rPr>
            </w:pPr>
            <w:r>
              <w:rPr>
                <w:rFonts w:hint="eastAsia"/>
                <w:sz w:val="21"/>
                <w:lang w:val="pt-BR"/>
              </w:rPr>
              <w:t>一级喷淋量：</w:t>
            </w:r>
            <w:r>
              <w:rPr>
                <w:sz w:val="21"/>
                <w:lang w:val="pt-BR"/>
              </w:rPr>
              <w:t>2200kg/h</w:t>
            </w:r>
          </w:p>
          <w:p>
            <w:pPr>
              <w:pStyle w:val="159"/>
              <w:autoSpaceDE w:val="0"/>
              <w:autoSpaceDN w:val="0"/>
              <w:adjustRightInd w:val="0"/>
              <w:snapToGrid w:val="0"/>
              <w:spacing w:line="240" w:lineRule="exact"/>
              <w:ind w:left="420" w:firstLine="0" w:firstLineChars="0"/>
              <w:jc w:val="left"/>
              <w:rPr>
                <w:sz w:val="21"/>
              </w:rPr>
            </w:pPr>
            <w:r>
              <w:rPr>
                <w:rFonts w:hint="eastAsia"/>
                <w:sz w:val="21"/>
              </w:rPr>
              <w:t>二级喷淋量：</w:t>
            </w:r>
            <w:r>
              <w:rPr>
                <w:sz w:val="21"/>
              </w:rPr>
              <w:t>2200kg/h</w:t>
            </w:r>
          </w:p>
          <w:p>
            <w:pPr>
              <w:pStyle w:val="159"/>
              <w:numPr>
                <w:ilvl w:val="0"/>
                <w:numId w:val="12"/>
              </w:numPr>
              <w:autoSpaceDE w:val="0"/>
              <w:autoSpaceDN w:val="0"/>
              <w:adjustRightInd w:val="0"/>
              <w:snapToGrid w:val="0"/>
              <w:spacing w:line="240" w:lineRule="exact"/>
              <w:ind w:firstLineChars="0"/>
              <w:jc w:val="left"/>
              <w:rPr>
                <w:sz w:val="21"/>
              </w:rPr>
            </w:pPr>
            <w:r>
              <w:rPr>
                <w:rFonts w:hint="eastAsia"/>
                <w:sz w:val="21"/>
              </w:rPr>
              <w:t>外形尺寸：</w:t>
            </w:r>
          </w:p>
          <w:p>
            <w:pPr>
              <w:pStyle w:val="159"/>
              <w:autoSpaceDE w:val="0"/>
              <w:autoSpaceDN w:val="0"/>
              <w:adjustRightInd w:val="0"/>
              <w:snapToGrid w:val="0"/>
              <w:spacing w:line="240" w:lineRule="exact"/>
              <w:ind w:left="420" w:firstLine="0" w:firstLineChars="0"/>
              <w:jc w:val="left"/>
              <w:rPr>
                <w:sz w:val="21"/>
              </w:rPr>
            </w:pPr>
            <w:r>
              <w:rPr>
                <w:rFonts w:hint="eastAsia"/>
                <w:sz w:val="21"/>
              </w:rPr>
              <w:t>一级喷淋尺寸：</w:t>
            </w:r>
            <w:r>
              <w:rPr>
                <w:sz w:val="21"/>
              </w:rPr>
              <w:t>Ф3000×13500mm</w:t>
            </w:r>
          </w:p>
          <w:p>
            <w:pPr>
              <w:pStyle w:val="159"/>
              <w:autoSpaceDE w:val="0"/>
              <w:autoSpaceDN w:val="0"/>
              <w:adjustRightInd w:val="0"/>
              <w:snapToGrid w:val="0"/>
              <w:spacing w:line="240" w:lineRule="exact"/>
              <w:ind w:left="420" w:firstLine="0" w:firstLineChars="0"/>
              <w:jc w:val="left"/>
              <w:rPr>
                <w:sz w:val="21"/>
              </w:rPr>
            </w:pPr>
            <w:r>
              <w:rPr>
                <w:rFonts w:hint="eastAsia"/>
                <w:sz w:val="21"/>
              </w:rPr>
              <w:t>二级喷淋尺寸：</w:t>
            </w:r>
          </w:p>
          <w:p>
            <w:pPr>
              <w:pStyle w:val="159"/>
              <w:autoSpaceDE w:val="0"/>
              <w:autoSpaceDN w:val="0"/>
              <w:adjustRightInd w:val="0"/>
              <w:snapToGrid w:val="0"/>
              <w:spacing w:line="240" w:lineRule="exact"/>
              <w:ind w:left="420" w:firstLine="0" w:firstLineChars="0"/>
              <w:jc w:val="left"/>
              <w:rPr>
                <w:sz w:val="21"/>
              </w:rPr>
            </w:pPr>
            <w:r>
              <w:rPr>
                <w:sz w:val="21"/>
              </w:rPr>
              <w:t>Ф3000×15400mm</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113" w:type="dxa"/>
          </w:tcPr>
          <w:p>
            <w:pPr>
              <w:autoSpaceDE w:val="0"/>
              <w:autoSpaceDN w:val="0"/>
              <w:adjustRightInd w:val="0"/>
              <w:snapToGrid w:val="0"/>
              <w:spacing w:line="240" w:lineRule="exact"/>
              <w:ind w:firstLine="0" w:firstLineChars="0"/>
              <w:rPr>
                <w:sz w:val="21"/>
              </w:rPr>
            </w:pPr>
            <w:r>
              <w:rPr>
                <w:sz w:val="21"/>
              </w:rPr>
              <w:t>9.</w:t>
            </w:r>
            <w:r>
              <w:rPr>
                <w:rFonts w:hint="eastAsia"/>
                <w:sz w:val="21"/>
              </w:rPr>
              <w:t>飞灰气力输送系统</w:t>
            </w:r>
          </w:p>
        </w:tc>
        <w:tc>
          <w:tcPr>
            <w:tcW w:w="3735" w:type="dxa"/>
          </w:tcPr>
          <w:p>
            <w:pPr>
              <w:numPr>
                <w:ilvl w:val="0"/>
                <w:numId w:val="13"/>
              </w:numPr>
              <w:autoSpaceDE w:val="0"/>
              <w:autoSpaceDN w:val="0"/>
              <w:adjustRightInd w:val="0"/>
              <w:snapToGrid w:val="0"/>
              <w:spacing w:line="240" w:lineRule="exact"/>
              <w:ind w:left="0" w:firstLine="0" w:firstLineChars="0"/>
              <w:jc w:val="left"/>
              <w:rPr>
                <w:sz w:val="21"/>
              </w:rPr>
            </w:pPr>
            <w:r>
              <w:rPr>
                <w:rFonts w:hint="eastAsia"/>
                <w:sz w:val="21"/>
              </w:rPr>
              <w:t>罗茨风机</w:t>
            </w:r>
          </w:p>
          <w:p>
            <w:pPr>
              <w:numPr>
                <w:ilvl w:val="0"/>
                <w:numId w:val="13"/>
              </w:numPr>
              <w:autoSpaceDE w:val="0"/>
              <w:autoSpaceDN w:val="0"/>
              <w:adjustRightInd w:val="0"/>
              <w:snapToGrid w:val="0"/>
              <w:spacing w:line="240" w:lineRule="exact"/>
              <w:ind w:left="0" w:firstLine="0" w:firstLineChars="0"/>
              <w:jc w:val="left"/>
              <w:rPr>
                <w:sz w:val="21"/>
              </w:rPr>
            </w:pPr>
            <w:r>
              <w:rPr>
                <w:rFonts w:hint="eastAsia"/>
                <w:sz w:val="21"/>
              </w:rPr>
              <w:t>气力输送泵</w:t>
            </w:r>
          </w:p>
          <w:p>
            <w:pPr>
              <w:numPr>
                <w:ilvl w:val="0"/>
                <w:numId w:val="13"/>
              </w:numPr>
              <w:autoSpaceDE w:val="0"/>
              <w:autoSpaceDN w:val="0"/>
              <w:adjustRightInd w:val="0"/>
              <w:snapToGrid w:val="0"/>
              <w:spacing w:line="240" w:lineRule="exact"/>
              <w:ind w:left="0" w:firstLine="0" w:firstLineChars="0"/>
              <w:jc w:val="left"/>
              <w:rPr>
                <w:sz w:val="21"/>
              </w:rPr>
            </w:pPr>
            <w:r>
              <w:rPr>
                <w:rFonts w:hint="eastAsia"/>
                <w:sz w:val="21"/>
              </w:rPr>
              <w:t>飞灰输送管道</w:t>
            </w:r>
          </w:p>
          <w:p>
            <w:pPr>
              <w:numPr>
                <w:ilvl w:val="0"/>
                <w:numId w:val="13"/>
              </w:numPr>
              <w:autoSpaceDE w:val="0"/>
              <w:autoSpaceDN w:val="0"/>
              <w:adjustRightInd w:val="0"/>
              <w:snapToGrid w:val="0"/>
              <w:spacing w:line="240" w:lineRule="exact"/>
              <w:ind w:left="0" w:firstLine="0" w:firstLineChars="0"/>
              <w:jc w:val="left"/>
              <w:rPr>
                <w:sz w:val="21"/>
              </w:rPr>
            </w:pPr>
            <w:r>
              <w:rPr>
                <w:sz w:val="21"/>
              </w:rPr>
              <w:t>1m</w:t>
            </w:r>
            <w:r>
              <w:rPr>
                <w:sz w:val="21"/>
                <w:vertAlign w:val="superscript"/>
              </w:rPr>
              <w:t>3</w:t>
            </w:r>
            <w:r>
              <w:rPr>
                <w:rFonts w:hint="eastAsia"/>
                <w:sz w:val="21"/>
              </w:rPr>
              <w:t>飞灰中转编织袋</w:t>
            </w:r>
          </w:p>
        </w:tc>
        <w:tc>
          <w:tcPr>
            <w:tcW w:w="943" w:type="dxa"/>
          </w:tcPr>
          <w:p>
            <w:pPr>
              <w:autoSpaceDE w:val="0"/>
              <w:autoSpaceDN w:val="0"/>
              <w:adjustRightInd w:val="0"/>
              <w:snapToGrid w:val="0"/>
              <w:spacing w:line="240" w:lineRule="exact"/>
              <w:ind w:firstLine="0" w:firstLineChars="0"/>
              <w:rPr>
                <w:sz w:val="21"/>
              </w:rPr>
            </w:pPr>
            <w:r>
              <w:rPr>
                <w:sz w:val="21"/>
              </w:rPr>
              <w:t>10.</w:t>
            </w:r>
            <w:r>
              <w:rPr>
                <w:rFonts w:hint="eastAsia"/>
                <w:sz w:val="21"/>
              </w:rPr>
              <w:t>烟囱</w:t>
            </w:r>
          </w:p>
        </w:tc>
        <w:tc>
          <w:tcPr>
            <w:tcW w:w="3681" w:type="dxa"/>
          </w:tcPr>
          <w:p>
            <w:pPr>
              <w:autoSpaceDE w:val="0"/>
              <w:autoSpaceDN w:val="0"/>
              <w:adjustRightInd w:val="0"/>
              <w:snapToGrid w:val="0"/>
              <w:spacing w:line="240" w:lineRule="exact"/>
              <w:ind w:firstLine="0" w:firstLineChars="0"/>
              <w:jc w:val="left"/>
              <w:rPr>
                <w:sz w:val="21"/>
              </w:rPr>
            </w:pPr>
            <w:r>
              <w:rPr>
                <w:rFonts w:hint="eastAsia"/>
                <w:sz w:val="21"/>
              </w:rPr>
              <w:t>（</w:t>
            </w:r>
            <w:r>
              <w:rPr>
                <w:sz w:val="21"/>
              </w:rPr>
              <w:t>1</w:t>
            </w:r>
            <w:r>
              <w:rPr>
                <w:rFonts w:hint="eastAsia"/>
                <w:sz w:val="21"/>
              </w:rPr>
              <w:t>）型式：拉索式钢制烟囱</w:t>
            </w:r>
          </w:p>
          <w:p>
            <w:pPr>
              <w:autoSpaceDE w:val="0"/>
              <w:autoSpaceDN w:val="0"/>
              <w:adjustRightInd w:val="0"/>
              <w:snapToGrid w:val="0"/>
              <w:spacing w:line="240" w:lineRule="exact"/>
              <w:ind w:firstLine="0" w:firstLineChars="0"/>
              <w:jc w:val="left"/>
              <w:rPr>
                <w:sz w:val="21"/>
              </w:rPr>
            </w:pPr>
            <w:r>
              <w:rPr>
                <w:rFonts w:hint="eastAsia"/>
                <w:sz w:val="21"/>
              </w:rPr>
              <w:t>（</w:t>
            </w:r>
            <w:r>
              <w:rPr>
                <w:sz w:val="21"/>
              </w:rPr>
              <w:t>2</w:t>
            </w:r>
            <w:r>
              <w:rPr>
                <w:rFonts w:hint="eastAsia"/>
                <w:sz w:val="21"/>
              </w:rPr>
              <w:t>）材质：</w:t>
            </w:r>
            <w:r>
              <w:rPr>
                <w:sz w:val="21"/>
              </w:rPr>
              <w:t>Q316L+</w:t>
            </w:r>
            <w:r>
              <w:rPr>
                <w:rFonts w:hint="eastAsia"/>
                <w:sz w:val="21"/>
              </w:rPr>
              <w:t>耐高温防腐涂料</w:t>
            </w:r>
          </w:p>
          <w:p>
            <w:pPr>
              <w:autoSpaceDE w:val="0"/>
              <w:autoSpaceDN w:val="0"/>
              <w:adjustRightInd w:val="0"/>
              <w:snapToGrid w:val="0"/>
              <w:spacing w:line="240" w:lineRule="exact"/>
              <w:ind w:firstLine="0" w:firstLineChars="0"/>
              <w:jc w:val="left"/>
              <w:rPr>
                <w:sz w:val="21"/>
              </w:rPr>
            </w:pPr>
            <w:r>
              <w:rPr>
                <w:rFonts w:hint="eastAsia"/>
                <w:sz w:val="21"/>
              </w:rPr>
              <w:t>（</w:t>
            </w:r>
            <w:r>
              <w:rPr>
                <w:sz w:val="21"/>
              </w:rPr>
              <w:t>3</w:t>
            </w:r>
            <w:r>
              <w:rPr>
                <w:rFonts w:hint="eastAsia"/>
                <w:sz w:val="21"/>
              </w:rPr>
              <w:t>）排气口径：Φ</w:t>
            </w:r>
            <w:r>
              <w:rPr>
                <w:sz w:val="21"/>
              </w:rPr>
              <w:t>800</w:t>
            </w:r>
          </w:p>
          <w:p>
            <w:pPr>
              <w:autoSpaceDE w:val="0"/>
              <w:autoSpaceDN w:val="0"/>
              <w:adjustRightInd w:val="0"/>
              <w:snapToGrid w:val="0"/>
              <w:spacing w:line="240" w:lineRule="exact"/>
              <w:ind w:firstLine="0" w:firstLineChars="0"/>
              <w:jc w:val="left"/>
              <w:rPr>
                <w:sz w:val="21"/>
              </w:rPr>
            </w:pPr>
            <w:r>
              <w:rPr>
                <w:rFonts w:hint="eastAsia"/>
                <w:sz w:val="21"/>
              </w:rPr>
              <w:t>（</w:t>
            </w:r>
            <w:r>
              <w:rPr>
                <w:sz w:val="21"/>
              </w:rPr>
              <w:t>4</w:t>
            </w:r>
            <w:r>
              <w:rPr>
                <w:rFonts w:hint="eastAsia"/>
                <w:sz w:val="21"/>
              </w:rPr>
              <w:t>）高度：</w:t>
            </w:r>
            <w:r>
              <w:rPr>
                <w:sz w:val="21"/>
              </w:rPr>
              <w:t>45m</w:t>
            </w:r>
          </w:p>
          <w:p>
            <w:pPr>
              <w:autoSpaceDE w:val="0"/>
              <w:autoSpaceDN w:val="0"/>
              <w:adjustRightInd w:val="0"/>
              <w:snapToGrid w:val="0"/>
              <w:spacing w:line="240" w:lineRule="exact"/>
              <w:ind w:firstLine="0" w:firstLineChars="0"/>
              <w:jc w:val="left"/>
              <w:rPr>
                <w:sz w:val="21"/>
              </w:rPr>
            </w:pPr>
            <w:r>
              <w:rPr>
                <w:rFonts w:hint="eastAsia"/>
                <w:sz w:val="21"/>
              </w:rPr>
              <w:t>（</w:t>
            </w:r>
            <w:r>
              <w:rPr>
                <w:sz w:val="21"/>
              </w:rPr>
              <w:t>5</w:t>
            </w:r>
            <w:r>
              <w:rPr>
                <w:rFonts w:hint="eastAsia"/>
                <w:sz w:val="21"/>
              </w:rPr>
              <w:t>）附件：二道拉索、取样平台、爬梯、避雷装置</w:t>
            </w:r>
          </w:p>
        </w:tc>
      </w:tr>
    </w:tbl>
    <w:p>
      <w:pPr>
        <w:snapToGrid w:val="0"/>
        <w:ind w:firstLine="480"/>
      </w:pPr>
    </w:p>
    <w:p>
      <w:pPr>
        <w:pStyle w:val="5"/>
      </w:pPr>
      <w:bookmarkStart w:id="242" w:name="_Toc13760150"/>
      <w:r>
        <w:rPr>
          <w:rFonts w:hint="eastAsia"/>
        </w:rPr>
        <w:t>4.6.2产污情况</w:t>
      </w:r>
      <w:bookmarkEnd w:id="242"/>
    </w:p>
    <w:p>
      <w:pPr>
        <w:ind w:firstLine="480"/>
      </w:pPr>
      <w:r>
        <w:t>(1)</w:t>
      </w:r>
      <w:r>
        <w:rPr>
          <w:rFonts w:hint="eastAsia"/>
        </w:rPr>
        <w:t>废气</w:t>
      </w:r>
    </w:p>
    <w:p>
      <w:pPr>
        <w:ind w:firstLine="480"/>
      </w:pPr>
      <w:r>
        <w:rPr>
          <w:rFonts w:hint="eastAsia" w:ascii="宋体" w:hAnsi="宋体"/>
        </w:rPr>
        <w:t>①有组织废气</w:t>
      </w:r>
    </w:p>
    <w:p>
      <w:pPr>
        <w:ind w:firstLine="480"/>
      </w:pPr>
      <w:r>
        <w:rPr>
          <w:rFonts w:hint="eastAsia"/>
        </w:rPr>
        <w:t>焚烧系统产生的烟气经过“</w:t>
      </w:r>
      <w:r>
        <w:t>SNCR</w:t>
      </w:r>
      <w:r>
        <w:rPr>
          <w:rFonts w:hint="eastAsia"/>
        </w:rPr>
        <w:t>脱硝系统</w:t>
      </w:r>
      <w:r>
        <w:t>+</w:t>
      </w:r>
      <w:r>
        <w:rPr>
          <w:rFonts w:hint="eastAsia"/>
        </w:rPr>
        <w:t>余热锅炉</w:t>
      </w:r>
      <w:r>
        <w:t>+</w:t>
      </w:r>
      <w:r>
        <w:rPr>
          <w:rFonts w:hint="eastAsia"/>
        </w:rPr>
        <w:t>急冷脱酸塔</w:t>
      </w:r>
      <w:r>
        <w:t>+</w:t>
      </w:r>
      <w:r>
        <w:rPr>
          <w:rFonts w:hint="eastAsia"/>
        </w:rPr>
        <w:t>干式反应器</w:t>
      </w:r>
      <w:r>
        <w:t>+</w:t>
      </w:r>
      <w:r>
        <w:rPr>
          <w:rFonts w:hint="eastAsia"/>
        </w:rPr>
        <w:t>袋式除尘器</w:t>
      </w:r>
      <w:r>
        <w:t>+</w:t>
      </w:r>
      <w:r>
        <w:rPr>
          <w:rFonts w:hint="eastAsia"/>
        </w:rPr>
        <w:t>喷淋洗涤塔</w:t>
      </w:r>
      <w:r>
        <w:t>+</w:t>
      </w:r>
      <w:r>
        <w:rPr>
          <w:rFonts w:hint="eastAsia"/>
        </w:rPr>
        <w:t>湿电除尘”方式对焚烧烟气进行余热回收及净化处理，处理达标后的烟气</w:t>
      </w:r>
      <w:r>
        <w:t>G3</w:t>
      </w:r>
      <w:r>
        <w:rPr>
          <w:rFonts w:hint="eastAsia"/>
        </w:rPr>
        <w:t>经烟气加热器进行加热后通过50</w:t>
      </w:r>
      <w:r>
        <w:t>m</w:t>
      </w:r>
      <w:r>
        <w:rPr>
          <w:rFonts w:hint="eastAsia"/>
        </w:rPr>
        <w:t>高的烟囱进行排放。</w:t>
      </w:r>
    </w:p>
    <w:p>
      <w:pPr>
        <w:ind w:firstLine="480"/>
      </w:pPr>
      <w:r>
        <w:rPr>
          <w:rFonts w:hint="eastAsia"/>
        </w:rPr>
        <w:t>改扩建项目焚烧烟气各污染物产、排情况类比《内蒙古优内特环保科技有限公司鄂尔多斯市固体废物处理处置中心建设项目环境影响报告书》中的相关内容，该报告书已于</w:t>
      </w:r>
      <w:r>
        <w:t>2017</w:t>
      </w:r>
      <w:r>
        <w:rPr>
          <w:rFonts w:hint="eastAsia"/>
        </w:rPr>
        <w:t>年</w:t>
      </w:r>
      <w:r>
        <w:t>9</w:t>
      </w:r>
      <w:r>
        <w:rPr>
          <w:rFonts w:hint="eastAsia"/>
        </w:rPr>
        <w:t>月</w:t>
      </w:r>
      <w:r>
        <w:t>25</w:t>
      </w:r>
      <w:r>
        <w:rPr>
          <w:rFonts w:hint="eastAsia"/>
        </w:rPr>
        <w:t>日取得了鄂尔多斯市的相关批复文件。</w:t>
      </w:r>
    </w:p>
    <w:p>
      <w:pPr>
        <w:ind w:firstLine="480"/>
        <w:outlineLvl w:val="0"/>
      </w:pPr>
      <w:r>
        <w:rPr>
          <w:rFonts w:hint="eastAsia" w:ascii="宋体" w:hAnsi="宋体"/>
        </w:rPr>
        <w:t>②无组织废气</w:t>
      </w:r>
    </w:p>
    <w:p>
      <w:pPr>
        <w:ind w:firstLine="480"/>
      </w:pPr>
      <w:r>
        <w:rPr>
          <w:rFonts w:hint="eastAsia"/>
        </w:rPr>
        <w:t>本工段无组织排放源主要为：车辆、人员进出仓库、车间时产生的少量恶臭物质，主要成</w:t>
      </w:r>
      <w:r>
        <w:rPr>
          <w:rFonts w:hint="eastAsia"/>
          <w:szCs w:val="24"/>
        </w:rPr>
        <w:t>分是</w:t>
      </w:r>
      <w:r>
        <w:rPr>
          <w:szCs w:val="24"/>
        </w:rPr>
        <w:t>VOC</w:t>
      </w:r>
      <w:r>
        <w:rPr>
          <w:rFonts w:hint="eastAsia"/>
          <w:szCs w:val="24"/>
        </w:rPr>
        <w:t>、</w:t>
      </w:r>
      <w:r>
        <w:rPr>
          <w:szCs w:val="24"/>
        </w:rPr>
        <w:t>H</w:t>
      </w:r>
      <w:r>
        <w:rPr>
          <w:szCs w:val="24"/>
          <w:vertAlign w:val="subscript"/>
        </w:rPr>
        <w:t>2</w:t>
      </w:r>
      <w:r>
        <w:rPr>
          <w:szCs w:val="24"/>
        </w:rPr>
        <w:t>S</w:t>
      </w:r>
      <w:r>
        <w:rPr>
          <w:rFonts w:hint="eastAsia"/>
          <w:szCs w:val="24"/>
        </w:rPr>
        <w:t>和</w:t>
      </w:r>
      <w:r>
        <w:rPr>
          <w:szCs w:val="24"/>
        </w:rPr>
        <w:t>NH</w:t>
      </w:r>
      <w:r>
        <w:rPr>
          <w:szCs w:val="24"/>
          <w:vertAlign w:val="subscript"/>
        </w:rPr>
        <w:t>3</w:t>
      </w:r>
      <w:r>
        <w:rPr>
          <w:rFonts w:hint="eastAsia"/>
          <w:szCs w:val="24"/>
        </w:rPr>
        <w:t>，</w:t>
      </w:r>
      <w:r>
        <w:rPr>
          <w:rFonts w:hint="eastAsia"/>
        </w:rPr>
        <w:t>以无组织形式向环境空气逸散。</w:t>
      </w:r>
    </w:p>
    <w:p>
      <w:pPr>
        <w:pStyle w:val="161"/>
        <w:ind w:firstLine="480"/>
        <w:outlineLvl w:val="0"/>
      </w:pPr>
      <w:bookmarkStart w:id="243" w:name="_Toc13760151"/>
      <w:bookmarkStart w:id="244" w:name="_Toc13582105"/>
      <w:r>
        <w:t>(2)</w:t>
      </w:r>
      <w:r>
        <w:rPr>
          <w:rFonts w:hint="eastAsia"/>
        </w:rPr>
        <w:t>废水</w:t>
      </w:r>
      <w:bookmarkEnd w:id="243"/>
      <w:bookmarkEnd w:id="244"/>
    </w:p>
    <w:p>
      <w:pPr>
        <w:ind w:firstLine="480"/>
      </w:pPr>
      <w:r>
        <w:rPr>
          <w:rFonts w:hint="eastAsia"/>
        </w:rPr>
        <w:t>余热锅炉排水</w:t>
      </w:r>
      <w:r>
        <w:t>W6</w:t>
      </w:r>
      <w:r>
        <w:rPr>
          <w:rFonts w:hint="eastAsia"/>
        </w:rPr>
        <w:t>中主要污染物为盐类，</w:t>
      </w:r>
      <w:bookmarkStart w:id="245" w:name="OLE_LINK4"/>
      <w:bookmarkStart w:id="246" w:name="OLE_LINK22"/>
      <w:r>
        <w:rPr>
          <w:rFonts w:hint="eastAsia"/>
        </w:rPr>
        <w:t>送至</w:t>
      </w:r>
      <w:bookmarkEnd w:id="245"/>
      <w:bookmarkEnd w:id="246"/>
      <w:r>
        <w:rPr>
          <w:rFonts w:hint="eastAsia"/>
        </w:rPr>
        <w:t>污水处理站处理；喷淋洗涤塔的碱液循环池排水</w:t>
      </w:r>
      <w:r>
        <w:t>W7</w:t>
      </w:r>
      <w:r>
        <w:rPr>
          <w:rFonts w:hint="eastAsia"/>
        </w:rPr>
        <w:t>经本车间污水处理模块处理后送至污水处理站的强制蒸发系统进行处理。</w:t>
      </w:r>
    </w:p>
    <w:p>
      <w:pPr>
        <w:pStyle w:val="161"/>
        <w:ind w:firstLine="480"/>
        <w:outlineLvl w:val="0"/>
      </w:pPr>
      <w:bookmarkStart w:id="247" w:name="_Toc13582106"/>
      <w:bookmarkStart w:id="248" w:name="_Toc13760152"/>
      <w:r>
        <w:t>(3)</w:t>
      </w:r>
      <w:r>
        <w:rPr>
          <w:rFonts w:hint="eastAsia"/>
        </w:rPr>
        <w:t>固废</w:t>
      </w:r>
      <w:bookmarkEnd w:id="247"/>
      <w:bookmarkEnd w:id="248"/>
    </w:p>
    <w:p>
      <w:pPr>
        <w:ind w:firstLine="480"/>
      </w:pPr>
      <w:r>
        <w:rPr>
          <w:rFonts w:hint="eastAsia"/>
        </w:rPr>
        <w:t>本工段固体废弃物主要是危险废物焚烧过程中产生的炉渣和飞灰，以及喷淋洗涤塔板框压滤机产生的滤渣。焚烧炉炉渣</w:t>
      </w:r>
      <w:r>
        <w:t>S5</w:t>
      </w:r>
      <w:r>
        <w:rPr>
          <w:rFonts w:hint="eastAsia"/>
        </w:rPr>
        <w:t>主要为烧残的无机物等，从窑尾及二燃室底部排出后进入水封刮板出渣机水淬后被刮板出渣机运出，经检测后送至本项目固化车间进行固化处理；余热锅炉、急冷脱酸塔和布袋除尘器底部的飞灰</w:t>
      </w:r>
      <w:r>
        <w:t>S6</w:t>
      </w:r>
      <w:r>
        <w:rPr>
          <w:rFonts w:hint="eastAsia"/>
        </w:rPr>
        <w:t>由气力输送系统通过密封管道从飞灰中转贮罐输送至固化车间北侧的飞灰贮罐内，再经稳定化</w:t>
      </w:r>
      <w:r>
        <w:t>/</w:t>
      </w:r>
      <w:r>
        <w:rPr>
          <w:rFonts w:hint="eastAsia"/>
        </w:rPr>
        <w:t>固化处理后送至本项目填埋场进行填埋处置。喷淋洗涤塔板框压滤机产生的滤渣</w:t>
      </w:r>
      <w:r>
        <w:t>S7</w:t>
      </w:r>
      <w:r>
        <w:rPr>
          <w:rFonts w:hint="eastAsia"/>
        </w:rPr>
        <w:t>经稳定化</w:t>
      </w:r>
      <w:r>
        <w:t>/</w:t>
      </w:r>
      <w:r>
        <w:rPr>
          <w:rFonts w:hint="eastAsia"/>
        </w:rPr>
        <w:t>固化处理后送至本项目填埋场进行填埋处置。</w:t>
      </w:r>
    </w:p>
    <w:p>
      <w:pPr>
        <w:ind w:firstLine="480"/>
        <w:rPr>
          <w:rFonts w:hAnsi="宋体"/>
        </w:rPr>
      </w:pPr>
      <w:r>
        <w:rPr>
          <w:rFonts w:hint="eastAsia"/>
        </w:rPr>
        <w:t>本工段“三废”污染源情况见表</w:t>
      </w:r>
      <w:r>
        <w:t>4.</w:t>
      </w:r>
      <w:r>
        <w:rPr>
          <w:rFonts w:hint="eastAsia"/>
        </w:rPr>
        <w:t>6—2和表</w:t>
      </w:r>
      <w:r>
        <w:t>4.</w:t>
      </w:r>
      <w:r>
        <w:rPr>
          <w:rFonts w:hint="eastAsia"/>
        </w:rPr>
        <w:t>6—3。</w:t>
      </w:r>
    </w:p>
    <w:p>
      <w:pPr>
        <w:ind w:firstLine="480"/>
        <w:rPr>
          <w:rFonts w:hAnsi="宋体"/>
          <w:szCs w:val="20"/>
        </w:rPr>
      </w:pPr>
      <w:r>
        <w:rPr>
          <w:rFonts w:hint="eastAsia" w:hAnsi="宋体"/>
        </w:rPr>
        <w:t>表</w:t>
      </w:r>
      <w:r>
        <w:t>4.</w:t>
      </w:r>
      <w:r>
        <w:rPr>
          <w:rFonts w:hint="eastAsia"/>
        </w:rPr>
        <w:t xml:space="preserve">6—2                </w:t>
      </w:r>
      <w:r>
        <w:rPr>
          <w:rFonts w:hint="eastAsia" w:hAnsi="宋体"/>
        </w:rPr>
        <w:t>焚烧</w:t>
      </w:r>
      <w:r>
        <w:rPr>
          <w:rFonts w:hint="eastAsia"/>
        </w:rPr>
        <w:t>“</w:t>
      </w:r>
      <w:r>
        <w:rPr>
          <w:rFonts w:hint="eastAsia" w:hAnsi="宋体"/>
        </w:rPr>
        <w:t>三废</w:t>
      </w:r>
      <w:r>
        <w:rPr>
          <w:rFonts w:hint="eastAsia"/>
        </w:rPr>
        <w:t>”</w:t>
      </w:r>
      <w:r>
        <w:rPr>
          <w:rFonts w:hint="eastAsia" w:hAnsi="宋体"/>
        </w:rPr>
        <w:t>污染源情况</w:t>
      </w:r>
    </w:p>
    <w:tbl>
      <w:tblPr>
        <w:tblStyle w:val="88"/>
        <w:tblW w:w="5000" w:type="pct"/>
        <w:tblInd w:w="0" w:type="dxa"/>
        <w:tblLayout w:type="fixed"/>
        <w:tblCellMar>
          <w:top w:w="0" w:type="dxa"/>
          <w:left w:w="108" w:type="dxa"/>
          <w:bottom w:w="0" w:type="dxa"/>
          <w:right w:w="108" w:type="dxa"/>
        </w:tblCellMar>
      </w:tblPr>
      <w:tblGrid>
        <w:gridCol w:w="658"/>
        <w:gridCol w:w="679"/>
        <w:gridCol w:w="2166"/>
        <w:gridCol w:w="988"/>
        <w:gridCol w:w="2495"/>
        <w:gridCol w:w="997"/>
        <w:gridCol w:w="1871"/>
      </w:tblGrid>
      <w:tr>
        <w:tblPrEx>
          <w:tblCellMar>
            <w:top w:w="0" w:type="dxa"/>
            <w:left w:w="108" w:type="dxa"/>
            <w:bottom w:w="0" w:type="dxa"/>
            <w:right w:w="108" w:type="dxa"/>
          </w:tblCellMar>
        </w:tblPrEx>
        <w:tc>
          <w:tcPr>
            <w:tcW w:w="620" w:type="dxa"/>
            <w:tcBorders>
              <w:top w:val="single" w:color="000000" w:sz="12"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类别</w:t>
            </w:r>
          </w:p>
        </w:tc>
        <w:tc>
          <w:tcPr>
            <w:tcW w:w="640"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代号</w:t>
            </w:r>
          </w:p>
        </w:tc>
        <w:tc>
          <w:tcPr>
            <w:tcW w:w="2041"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污染物名称</w:t>
            </w:r>
          </w:p>
        </w:tc>
        <w:tc>
          <w:tcPr>
            <w:tcW w:w="931"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产生量</w:t>
            </w:r>
          </w:p>
        </w:tc>
        <w:tc>
          <w:tcPr>
            <w:tcW w:w="2351"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主要成分</w:t>
            </w:r>
          </w:p>
        </w:tc>
        <w:tc>
          <w:tcPr>
            <w:tcW w:w="940" w:type="dxa"/>
            <w:tcBorders>
              <w:top w:val="single" w:color="000000" w:sz="12"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排放</w:t>
            </w:r>
          </w:p>
          <w:p>
            <w:pPr>
              <w:snapToGrid w:val="0"/>
              <w:spacing w:line="240" w:lineRule="atLeast"/>
              <w:ind w:firstLine="0" w:firstLineChars="0"/>
              <w:jc w:val="center"/>
              <w:rPr>
                <w:sz w:val="21"/>
              </w:rPr>
            </w:pPr>
            <w:r>
              <w:rPr>
                <w:rFonts w:hint="eastAsia" w:hAnsi="宋体"/>
                <w:sz w:val="21"/>
              </w:rPr>
              <w:t>规律</w:t>
            </w:r>
          </w:p>
        </w:tc>
        <w:tc>
          <w:tcPr>
            <w:tcW w:w="1763" w:type="dxa"/>
            <w:tcBorders>
              <w:top w:val="single" w:color="000000" w:sz="12" w:space="0"/>
              <w:left w:val="dotted" w:color="auto" w:sz="4" w:space="0"/>
              <w:bottom w:val="single" w:color="000000" w:sz="12" w:space="0"/>
            </w:tcBorders>
            <w:vAlign w:val="center"/>
          </w:tcPr>
          <w:p>
            <w:pPr>
              <w:snapToGrid w:val="0"/>
              <w:spacing w:line="240" w:lineRule="atLeast"/>
              <w:ind w:firstLine="0" w:firstLineChars="0"/>
              <w:jc w:val="center"/>
              <w:rPr>
                <w:sz w:val="21"/>
              </w:rPr>
            </w:pPr>
            <w:r>
              <w:rPr>
                <w:rFonts w:hint="eastAsia" w:hAnsi="宋体"/>
                <w:sz w:val="21"/>
              </w:rPr>
              <w:t>处理措施</w:t>
            </w:r>
          </w:p>
          <w:p>
            <w:pPr>
              <w:snapToGrid w:val="0"/>
              <w:spacing w:line="240" w:lineRule="atLeast"/>
              <w:ind w:firstLine="0" w:firstLineChars="0"/>
              <w:jc w:val="center"/>
              <w:rPr>
                <w:sz w:val="21"/>
              </w:rPr>
            </w:pPr>
            <w:r>
              <w:rPr>
                <w:rFonts w:hint="eastAsia" w:hAnsi="宋体"/>
                <w:sz w:val="21"/>
              </w:rPr>
              <w:t>及去向</w:t>
            </w:r>
          </w:p>
        </w:tc>
      </w:tr>
      <w:tr>
        <w:tblPrEx>
          <w:tblCellMar>
            <w:top w:w="0" w:type="dxa"/>
            <w:left w:w="108" w:type="dxa"/>
            <w:bottom w:w="0" w:type="dxa"/>
            <w:right w:w="108" w:type="dxa"/>
          </w:tblCellMar>
        </w:tblPrEx>
        <w:trPr>
          <w:trHeight w:val="753" w:hRule="atLeast"/>
        </w:trPr>
        <w:tc>
          <w:tcPr>
            <w:tcW w:w="620" w:type="dxa"/>
            <w:tcBorders>
              <w:top w:val="single" w:color="000000" w:sz="12" w:space="0"/>
              <w:left w:val="nil"/>
              <w:bottom w:val="dotted" w:color="auto" w:sz="4" w:space="0"/>
              <w:right w:val="dotted" w:color="auto" w:sz="4" w:space="0"/>
            </w:tcBorders>
            <w:vAlign w:val="center"/>
          </w:tcPr>
          <w:p>
            <w:pPr>
              <w:snapToGrid w:val="0"/>
              <w:spacing w:line="240" w:lineRule="atLeast"/>
              <w:ind w:firstLine="0" w:firstLineChars="0"/>
              <w:jc w:val="center"/>
              <w:rPr>
                <w:sz w:val="21"/>
                <w:lang w:val="pt-BR"/>
              </w:rPr>
            </w:pPr>
            <w:r>
              <w:rPr>
                <w:rFonts w:hint="eastAsia"/>
                <w:sz w:val="21"/>
                <w:lang w:val="pt-BR"/>
              </w:rPr>
              <w:t>废气</w:t>
            </w:r>
          </w:p>
        </w:tc>
        <w:tc>
          <w:tcPr>
            <w:tcW w:w="640"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G3</w:t>
            </w:r>
          </w:p>
        </w:tc>
        <w:tc>
          <w:tcPr>
            <w:tcW w:w="2041"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焚烧系统排气</w:t>
            </w:r>
          </w:p>
        </w:tc>
        <w:tc>
          <w:tcPr>
            <w:tcW w:w="931"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w:t>
            </w:r>
            <w:r>
              <w:rPr>
                <w:rFonts w:hint="eastAsia"/>
                <w:sz w:val="21"/>
              </w:rPr>
              <w:t>400</w:t>
            </w:r>
            <w:r>
              <w:rPr>
                <w:sz w:val="21"/>
              </w:rPr>
              <w:t>0</w:t>
            </w:r>
          </w:p>
          <w:p>
            <w:pPr>
              <w:snapToGrid w:val="0"/>
              <w:spacing w:line="240" w:lineRule="atLeast"/>
              <w:ind w:firstLine="0" w:firstLineChars="0"/>
              <w:jc w:val="center"/>
              <w:rPr>
                <w:sz w:val="21"/>
              </w:rPr>
            </w:pPr>
            <w:r>
              <w:rPr>
                <w:sz w:val="21"/>
              </w:rPr>
              <w:t>Nm</w:t>
            </w:r>
            <w:r>
              <w:rPr>
                <w:sz w:val="21"/>
                <w:vertAlign w:val="superscript"/>
              </w:rPr>
              <w:t>3</w:t>
            </w:r>
            <w:r>
              <w:rPr>
                <w:sz w:val="21"/>
              </w:rPr>
              <w:t>/h</w:t>
            </w:r>
          </w:p>
        </w:tc>
        <w:tc>
          <w:tcPr>
            <w:tcW w:w="2351"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vertAlign w:val="superscript"/>
              </w:rPr>
            </w:pPr>
            <w:r>
              <w:rPr>
                <w:rFonts w:hint="eastAsia"/>
                <w:sz w:val="21"/>
              </w:rPr>
              <w:t>烟尘：</w:t>
            </w:r>
            <w:r>
              <w:rPr>
                <w:sz w:val="21"/>
              </w:rPr>
              <w:t>3000mg/Nm</w:t>
            </w:r>
            <w:r>
              <w:rPr>
                <w:sz w:val="21"/>
                <w:vertAlign w:val="superscript"/>
              </w:rPr>
              <w:t>3</w:t>
            </w:r>
          </w:p>
          <w:p>
            <w:pPr>
              <w:snapToGrid w:val="0"/>
              <w:spacing w:line="240" w:lineRule="atLeast"/>
              <w:ind w:firstLine="0" w:firstLineChars="0"/>
              <w:jc w:val="center"/>
              <w:rPr>
                <w:sz w:val="21"/>
              </w:rPr>
            </w:pPr>
            <w:r>
              <w:rPr>
                <w:sz w:val="21"/>
              </w:rPr>
              <w:t>SO</w:t>
            </w:r>
            <w:r>
              <w:rPr>
                <w:sz w:val="21"/>
                <w:vertAlign w:val="subscript"/>
              </w:rPr>
              <w:t>2</w:t>
            </w:r>
            <w:r>
              <w:rPr>
                <w:rFonts w:hint="eastAsia"/>
                <w:sz w:val="21"/>
              </w:rPr>
              <w:t>：</w:t>
            </w:r>
            <w:r>
              <w:rPr>
                <w:sz w:val="21"/>
              </w:rPr>
              <w:t>1000mg/Nm</w:t>
            </w:r>
            <w:r>
              <w:rPr>
                <w:sz w:val="21"/>
                <w:vertAlign w:val="superscript"/>
              </w:rPr>
              <w:t>3</w:t>
            </w:r>
          </w:p>
          <w:p>
            <w:pPr>
              <w:snapToGrid w:val="0"/>
              <w:spacing w:line="240" w:lineRule="atLeast"/>
              <w:ind w:firstLine="0" w:firstLineChars="0"/>
              <w:jc w:val="center"/>
              <w:rPr>
                <w:sz w:val="21"/>
              </w:rPr>
            </w:pPr>
            <w:r>
              <w:rPr>
                <w:sz w:val="21"/>
              </w:rPr>
              <w:t>NO</w:t>
            </w:r>
            <w:r>
              <w:rPr>
                <w:sz w:val="21"/>
                <w:vertAlign w:val="subscript"/>
              </w:rPr>
              <w:t>X</w:t>
            </w:r>
            <w:r>
              <w:rPr>
                <w:rFonts w:hint="eastAsia"/>
                <w:sz w:val="21"/>
              </w:rPr>
              <w:t>：</w:t>
            </w:r>
            <w:r>
              <w:rPr>
                <w:sz w:val="21"/>
              </w:rPr>
              <w:t>400mg/Nm</w:t>
            </w:r>
            <w:r>
              <w:rPr>
                <w:sz w:val="21"/>
                <w:vertAlign w:val="superscript"/>
              </w:rPr>
              <w:t>3</w:t>
            </w:r>
          </w:p>
          <w:p>
            <w:pPr>
              <w:snapToGrid w:val="0"/>
              <w:spacing w:line="240" w:lineRule="atLeast"/>
              <w:ind w:firstLine="0" w:firstLineChars="0"/>
              <w:jc w:val="center"/>
              <w:rPr>
                <w:sz w:val="21"/>
              </w:rPr>
            </w:pPr>
            <w:r>
              <w:rPr>
                <w:sz w:val="21"/>
              </w:rPr>
              <w:t>HCl</w:t>
            </w:r>
            <w:r>
              <w:rPr>
                <w:rFonts w:hint="eastAsia"/>
                <w:sz w:val="21"/>
              </w:rPr>
              <w:t>：</w:t>
            </w:r>
            <w:r>
              <w:rPr>
                <w:sz w:val="21"/>
              </w:rPr>
              <w:t>1500mg/Nm</w:t>
            </w:r>
            <w:r>
              <w:rPr>
                <w:sz w:val="21"/>
                <w:vertAlign w:val="superscript"/>
              </w:rPr>
              <w:t>3</w:t>
            </w:r>
          </w:p>
          <w:p>
            <w:pPr>
              <w:snapToGrid w:val="0"/>
              <w:spacing w:line="240" w:lineRule="atLeast"/>
              <w:ind w:firstLine="0" w:firstLineChars="0"/>
              <w:jc w:val="center"/>
              <w:rPr>
                <w:sz w:val="21"/>
              </w:rPr>
            </w:pPr>
            <w:r>
              <w:rPr>
                <w:sz w:val="21"/>
              </w:rPr>
              <w:t>HF</w:t>
            </w:r>
            <w:r>
              <w:rPr>
                <w:rFonts w:hint="eastAsia"/>
                <w:sz w:val="21"/>
              </w:rPr>
              <w:t>：</w:t>
            </w:r>
            <w:r>
              <w:rPr>
                <w:sz w:val="21"/>
              </w:rPr>
              <w:t>200mg/Nm</w:t>
            </w:r>
            <w:r>
              <w:rPr>
                <w:sz w:val="21"/>
                <w:vertAlign w:val="superscript"/>
              </w:rPr>
              <w:t>3</w:t>
            </w:r>
          </w:p>
          <w:p>
            <w:pPr>
              <w:snapToGrid w:val="0"/>
              <w:spacing w:line="240" w:lineRule="atLeast"/>
              <w:ind w:firstLine="0" w:firstLineChars="0"/>
              <w:jc w:val="center"/>
              <w:rPr>
                <w:sz w:val="21"/>
              </w:rPr>
            </w:pPr>
            <w:r>
              <w:rPr>
                <w:sz w:val="21"/>
              </w:rPr>
              <w:t>CO</w:t>
            </w:r>
            <w:r>
              <w:rPr>
                <w:rFonts w:hint="eastAsia"/>
                <w:sz w:val="21"/>
              </w:rPr>
              <w:t>：</w:t>
            </w:r>
            <w:r>
              <w:rPr>
                <w:sz w:val="21"/>
              </w:rPr>
              <w:t>50mg/Nm</w:t>
            </w:r>
            <w:r>
              <w:rPr>
                <w:sz w:val="21"/>
                <w:vertAlign w:val="superscript"/>
              </w:rPr>
              <w:t>3</w:t>
            </w:r>
          </w:p>
          <w:p>
            <w:pPr>
              <w:snapToGrid w:val="0"/>
              <w:spacing w:line="240" w:lineRule="atLeast"/>
              <w:ind w:firstLine="0" w:firstLineChars="0"/>
              <w:jc w:val="center"/>
              <w:rPr>
                <w:sz w:val="21"/>
              </w:rPr>
            </w:pPr>
            <w:r>
              <w:rPr>
                <w:rFonts w:hint="eastAsia"/>
                <w:sz w:val="21"/>
              </w:rPr>
              <w:t>汞及其化合物</w:t>
            </w:r>
            <w:r>
              <w:rPr>
                <w:sz w:val="21"/>
              </w:rPr>
              <w:t>(</w:t>
            </w:r>
            <w:r>
              <w:rPr>
                <w:rFonts w:hint="eastAsia"/>
                <w:sz w:val="21"/>
              </w:rPr>
              <w:t>以</w:t>
            </w:r>
            <w:r>
              <w:rPr>
                <w:sz w:val="21"/>
              </w:rPr>
              <w:t>Hg</w:t>
            </w:r>
            <w:r>
              <w:rPr>
                <w:rFonts w:hint="eastAsia"/>
                <w:sz w:val="21"/>
              </w:rPr>
              <w:t>计</w:t>
            </w:r>
            <w:r>
              <w:rPr>
                <w:sz w:val="21"/>
              </w:rPr>
              <w:t>)</w:t>
            </w:r>
            <w:r>
              <w:rPr>
                <w:rFonts w:hint="eastAsia"/>
                <w:sz w:val="21"/>
              </w:rPr>
              <w:t>：</w:t>
            </w:r>
            <w:r>
              <w:rPr>
                <w:sz w:val="21"/>
              </w:rPr>
              <w:t>0.5mg/Nm</w:t>
            </w:r>
            <w:r>
              <w:rPr>
                <w:sz w:val="21"/>
                <w:vertAlign w:val="superscript"/>
              </w:rPr>
              <w:t>3</w:t>
            </w:r>
          </w:p>
          <w:p>
            <w:pPr>
              <w:snapToGrid w:val="0"/>
              <w:spacing w:line="240" w:lineRule="atLeast"/>
              <w:ind w:firstLine="0" w:firstLineChars="0"/>
              <w:jc w:val="center"/>
              <w:rPr>
                <w:sz w:val="21"/>
              </w:rPr>
            </w:pPr>
            <w:r>
              <w:rPr>
                <w:rFonts w:hint="eastAsia"/>
                <w:sz w:val="21"/>
              </w:rPr>
              <w:t>镉及其化合物</w:t>
            </w:r>
            <w:r>
              <w:rPr>
                <w:sz w:val="21"/>
              </w:rPr>
              <w:t>(</w:t>
            </w:r>
            <w:r>
              <w:rPr>
                <w:rFonts w:hint="eastAsia"/>
                <w:sz w:val="21"/>
              </w:rPr>
              <w:t>以</w:t>
            </w:r>
            <w:r>
              <w:rPr>
                <w:sz w:val="21"/>
              </w:rPr>
              <w:t>Cd</w:t>
            </w:r>
            <w:r>
              <w:rPr>
                <w:rFonts w:hint="eastAsia"/>
                <w:sz w:val="21"/>
              </w:rPr>
              <w:t>计</w:t>
            </w:r>
            <w:r>
              <w:rPr>
                <w:sz w:val="21"/>
              </w:rPr>
              <w:t>)</w:t>
            </w:r>
            <w:r>
              <w:rPr>
                <w:rFonts w:hint="eastAsia"/>
                <w:sz w:val="21"/>
              </w:rPr>
              <w:t>：</w:t>
            </w:r>
            <w:r>
              <w:rPr>
                <w:sz w:val="21"/>
              </w:rPr>
              <w:t>0.4mg/Nm</w:t>
            </w:r>
            <w:r>
              <w:rPr>
                <w:sz w:val="21"/>
                <w:vertAlign w:val="superscript"/>
              </w:rPr>
              <w:t>3</w:t>
            </w:r>
          </w:p>
          <w:p>
            <w:pPr>
              <w:snapToGrid w:val="0"/>
              <w:spacing w:line="240" w:lineRule="atLeast"/>
              <w:ind w:firstLine="0" w:firstLineChars="0"/>
              <w:jc w:val="center"/>
              <w:rPr>
                <w:sz w:val="21"/>
              </w:rPr>
            </w:pPr>
            <w:r>
              <w:rPr>
                <w:rFonts w:hint="eastAsia"/>
                <w:sz w:val="21"/>
              </w:rPr>
              <w:t>砷、镍及其化合物</w:t>
            </w:r>
            <w:r>
              <w:rPr>
                <w:sz w:val="21"/>
              </w:rPr>
              <w:t>(</w:t>
            </w:r>
            <w:r>
              <w:rPr>
                <w:rFonts w:hint="eastAsia"/>
                <w:sz w:val="21"/>
              </w:rPr>
              <w:t>以</w:t>
            </w:r>
            <w:r>
              <w:rPr>
                <w:sz w:val="21"/>
              </w:rPr>
              <w:t>As+Ni</w:t>
            </w:r>
            <w:r>
              <w:rPr>
                <w:rFonts w:hint="eastAsia"/>
                <w:sz w:val="21"/>
              </w:rPr>
              <w:t>计</w:t>
            </w:r>
            <w:r>
              <w:rPr>
                <w:sz w:val="21"/>
              </w:rPr>
              <w:t>)</w:t>
            </w:r>
            <w:r>
              <w:rPr>
                <w:rFonts w:hint="eastAsia"/>
                <w:sz w:val="21"/>
              </w:rPr>
              <w:t>：</w:t>
            </w:r>
            <w:r>
              <w:rPr>
                <w:sz w:val="21"/>
              </w:rPr>
              <w:t>4.0mg/Nm</w:t>
            </w:r>
            <w:r>
              <w:rPr>
                <w:sz w:val="21"/>
                <w:vertAlign w:val="superscript"/>
              </w:rPr>
              <w:t>3</w:t>
            </w:r>
          </w:p>
          <w:p>
            <w:pPr>
              <w:snapToGrid w:val="0"/>
              <w:spacing w:line="240" w:lineRule="atLeast"/>
              <w:ind w:firstLine="0" w:firstLineChars="0"/>
              <w:jc w:val="center"/>
              <w:rPr>
                <w:sz w:val="21"/>
              </w:rPr>
            </w:pPr>
            <w:r>
              <w:rPr>
                <w:rFonts w:hint="eastAsia"/>
                <w:sz w:val="21"/>
              </w:rPr>
              <w:t>铅及其化合物</w:t>
            </w:r>
            <w:r>
              <w:rPr>
                <w:sz w:val="21"/>
              </w:rPr>
              <w:t>(</w:t>
            </w:r>
            <w:r>
              <w:rPr>
                <w:rFonts w:hint="eastAsia"/>
                <w:sz w:val="21"/>
              </w:rPr>
              <w:t>以</w:t>
            </w:r>
            <w:r>
              <w:rPr>
                <w:sz w:val="21"/>
              </w:rPr>
              <w:t>Pb</w:t>
            </w:r>
            <w:r>
              <w:rPr>
                <w:rFonts w:hint="eastAsia"/>
                <w:sz w:val="21"/>
              </w:rPr>
              <w:t>计</w:t>
            </w:r>
            <w:r>
              <w:rPr>
                <w:sz w:val="21"/>
              </w:rPr>
              <w:t>)</w:t>
            </w:r>
            <w:r>
              <w:rPr>
                <w:rFonts w:hint="eastAsia"/>
                <w:sz w:val="21"/>
              </w:rPr>
              <w:t>：</w:t>
            </w:r>
            <w:r>
              <w:rPr>
                <w:sz w:val="21"/>
              </w:rPr>
              <w:t>5.0mg/Nm</w:t>
            </w:r>
            <w:r>
              <w:rPr>
                <w:sz w:val="21"/>
                <w:vertAlign w:val="superscript"/>
              </w:rPr>
              <w:t>3</w:t>
            </w:r>
          </w:p>
          <w:p>
            <w:pPr>
              <w:snapToGrid w:val="0"/>
              <w:spacing w:line="240" w:lineRule="atLeast"/>
              <w:ind w:firstLine="0" w:firstLineChars="0"/>
              <w:jc w:val="center"/>
              <w:rPr>
                <w:sz w:val="21"/>
              </w:rPr>
            </w:pPr>
            <w:r>
              <w:rPr>
                <w:rFonts w:hint="eastAsia"/>
                <w:sz w:val="21"/>
              </w:rPr>
              <w:t>铬、锡、锑、铜、锰及其化合物</w:t>
            </w:r>
            <w:r>
              <w:rPr>
                <w:sz w:val="21"/>
              </w:rPr>
              <w:t>(</w:t>
            </w:r>
            <w:r>
              <w:rPr>
                <w:rFonts w:hint="eastAsia"/>
                <w:sz w:val="21"/>
              </w:rPr>
              <w:t>以</w:t>
            </w:r>
            <w:r>
              <w:rPr>
                <w:sz w:val="21"/>
              </w:rPr>
              <w:t>Cr+Sn+Sb+Cu+Mn</w:t>
            </w:r>
            <w:r>
              <w:rPr>
                <w:rFonts w:hint="eastAsia"/>
                <w:sz w:val="21"/>
              </w:rPr>
              <w:t>计</w:t>
            </w:r>
            <w:r>
              <w:rPr>
                <w:sz w:val="21"/>
              </w:rPr>
              <w:t>)</w:t>
            </w:r>
            <w:r>
              <w:rPr>
                <w:rFonts w:hint="eastAsia"/>
                <w:sz w:val="21"/>
              </w:rPr>
              <w:t>：</w:t>
            </w:r>
            <w:r>
              <w:rPr>
                <w:sz w:val="21"/>
              </w:rPr>
              <w:t>24mg/Nm</w:t>
            </w:r>
            <w:r>
              <w:rPr>
                <w:sz w:val="21"/>
                <w:vertAlign w:val="superscript"/>
              </w:rPr>
              <w:t>3</w:t>
            </w:r>
          </w:p>
          <w:p>
            <w:pPr>
              <w:snapToGrid w:val="0"/>
              <w:spacing w:line="240" w:lineRule="atLeast"/>
              <w:ind w:firstLine="0" w:firstLineChars="0"/>
              <w:jc w:val="center"/>
              <w:rPr>
                <w:sz w:val="21"/>
              </w:rPr>
            </w:pPr>
            <w:r>
              <w:rPr>
                <w:rFonts w:hint="eastAsia"/>
                <w:sz w:val="21"/>
              </w:rPr>
              <w:t>二噁英：</w:t>
            </w:r>
            <w:r>
              <w:rPr>
                <w:sz w:val="21"/>
              </w:rPr>
              <w:t>5ng TEQ/Nm</w:t>
            </w:r>
            <w:r>
              <w:rPr>
                <w:sz w:val="21"/>
                <w:vertAlign w:val="superscript"/>
              </w:rPr>
              <w:t>3</w:t>
            </w:r>
          </w:p>
        </w:tc>
        <w:tc>
          <w:tcPr>
            <w:tcW w:w="940" w:type="dxa"/>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sz w:val="21"/>
              </w:rPr>
              <w:t>连续</w:t>
            </w:r>
          </w:p>
        </w:tc>
        <w:tc>
          <w:tcPr>
            <w:tcW w:w="1763" w:type="dxa"/>
            <w:tcBorders>
              <w:top w:val="single" w:color="000000"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SNCR</w:t>
            </w:r>
            <w:r>
              <w:rPr>
                <w:rFonts w:hint="eastAsia"/>
                <w:sz w:val="21"/>
              </w:rPr>
              <w:t>脱硝系统</w:t>
            </w:r>
            <w:r>
              <w:rPr>
                <w:sz w:val="21"/>
              </w:rPr>
              <w:t>+</w:t>
            </w:r>
            <w:r>
              <w:rPr>
                <w:rFonts w:hint="eastAsia"/>
                <w:sz w:val="21"/>
              </w:rPr>
              <w:t>急冷脱酸塔</w:t>
            </w:r>
            <w:r>
              <w:rPr>
                <w:sz w:val="21"/>
              </w:rPr>
              <w:t>+</w:t>
            </w:r>
            <w:r>
              <w:rPr>
                <w:rFonts w:hint="eastAsia"/>
                <w:sz w:val="21"/>
              </w:rPr>
              <w:t>干式反应器</w:t>
            </w:r>
            <w:r>
              <w:rPr>
                <w:sz w:val="21"/>
              </w:rPr>
              <w:t>+</w:t>
            </w:r>
            <w:r>
              <w:rPr>
                <w:rFonts w:hint="eastAsia"/>
                <w:sz w:val="21"/>
              </w:rPr>
              <w:t>袋式除尘器</w:t>
            </w:r>
            <w:r>
              <w:rPr>
                <w:sz w:val="21"/>
              </w:rPr>
              <w:t>+</w:t>
            </w:r>
            <w:r>
              <w:rPr>
                <w:rFonts w:hint="eastAsia"/>
                <w:sz w:val="21"/>
              </w:rPr>
              <w:t>喷淋洗涤塔</w:t>
            </w:r>
            <w:r>
              <w:rPr>
                <w:sz w:val="21"/>
              </w:rPr>
              <w:t>+</w:t>
            </w:r>
            <w:r>
              <w:rPr>
                <w:rFonts w:hint="eastAsia"/>
                <w:sz w:val="21"/>
              </w:rPr>
              <w:t>湿电除尘</w:t>
            </w:r>
          </w:p>
          <w:p>
            <w:pPr>
              <w:snapToGrid w:val="0"/>
              <w:spacing w:line="240" w:lineRule="atLeast"/>
              <w:ind w:firstLine="0" w:firstLineChars="0"/>
              <w:jc w:val="center"/>
              <w:rPr>
                <w:sz w:val="21"/>
                <w:lang w:val="pt-BR"/>
              </w:rPr>
            </w:pPr>
            <w:r>
              <w:rPr>
                <w:sz w:val="21"/>
                <w:lang w:val="pt-BR"/>
              </w:rPr>
              <w:t>H=</w:t>
            </w:r>
            <w:r>
              <w:rPr>
                <w:rFonts w:hint="eastAsia"/>
                <w:sz w:val="21"/>
                <w:lang w:val="pt-BR"/>
              </w:rPr>
              <w:t>50</w:t>
            </w:r>
            <w:r>
              <w:rPr>
                <w:sz w:val="21"/>
                <w:lang w:val="pt-BR"/>
              </w:rPr>
              <w:t>m</w:t>
            </w:r>
          </w:p>
          <w:p>
            <w:pPr>
              <w:snapToGrid w:val="0"/>
              <w:spacing w:line="240" w:lineRule="atLeast"/>
              <w:ind w:firstLine="0" w:firstLineChars="0"/>
              <w:jc w:val="center"/>
              <w:rPr>
                <w:sz w:val="21"/>
                <w:lang w:val="pt-BR"/>
              </w:rPr>
            </w:pPr>
            <w:r>
              <w:rPr>
                <w:sz w:val="21"/>
                <w:lang w:val="pt-BR"/>
              </w:rPr>
              <w:t>D=800mm</w:t>
            </w:r>
          </w:p>
          <w:p>
            <w:pPr>
              <w:snapToGrid w:val="0"/>
              <w:spacing w:line="240" w:lineRule="atLeast"/>
              <w:ind w:firstLine="0" w:firstLineChars="0"/>
              <w:jc w:val="center"/>
              <w:rPr>
                <w:sz w:val="21"/>
              </w:rPr>
            </w:pPr>
            <w:r>
              <w:rPr>
                <w:sz w:val="21"/>
                <w:lang w:val="pt-BR"/>
              </w:rPr>
              <w:t>T=120</w:t>
            </w:r>
            <w:r>
              <w:rPr>
                <w:rFonts w:hint="eastAsia" w:ascii="宋体" w:hAnsi="宋体"/>
                <w:sz w:val="21"/>
                <w:lang w:val="pt-BR"/>
              </w:rPr>
              <w:t>℃</w:t>
            </w:r>
          </w:p>
        </w:tc>
      </w:tr>
      <w:tr>
        <w:tblPrEx>
          <w:tblCellMar>
            <w:top w:w="0" w:type="dxa"/>
            <w:left w:w="108" w:type="dxa"/>
            <w:bottom w:w="0" w:type="dxa"/>
            <w:right w:w="108" w:type="dxa"/>
          </w:tblCellMar>
        </w:tblPrEx>
        <w:trPr>
          <w:trHeight w:val="753" w:hRule="atLeast"/>
        </w:trPr>
        <w:tc>
          <w:tcPr>
            <w:tcW w:w="620" w:type="dxa"/>
            <w:vMerge w:val="restart"/>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废水</w:t>
            </w:r>
          </w:p>
        </w:tc>
        <w:tc>
          <w:tcPr>
            <w:tcW w:w="6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W6</w:t>
            </w:r>
          </w:p>
        </w:tc>
        <w:tc>
          <w:tcPr>
            <w:tcW w:w="204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余热锅炉排水</w:t>
            </w:r>
          </w:p>
        </w:tc>
        <w:tc>
          <w:tcPr>
            <w:tcW w:w="93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11.50</w:t>
            </w:r>
            <w:r>
              <w:rPr>
                <w:sz w:val="21"/>
              </w:rPr>
              <w:t>t/d</w:t>
            </w:r>
          </w:p>
        </w:tc>
        <w:tc>
          <w:tcPr>
            <w:tcW w:w="235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盐类：</w:t>
            </w:r>
            <w:r>
              <w:rPr>
                <w:sz w:val="21"/>
              </w:rPr>
              <w:t>1000</w:t>
            </w:r>
            <w:r>
              <w:rPr>
                <w:rFonts w:hAnsi="宋体"/>
                <w:sz w:val="21"/>
              </w:rPr>
              <w:t>mg/L</w:t>
            </w:r>
          </w:p>
        </w:tc>
        <w:tc>
          <w:tcPr>
            <w:tcW w:w="9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送至污水处理站处理</w:t>
            </w:r>
          </w:p>
        </w:tc>
      </w:tr>
      <w:tr>
        <w:tblPrEx>
          <w:tblCellMar>
            <w:top w:w="0" w:type="dxa"/>
            <w:left w:w="108" w:type="dxa"/>
            <w:bottom w:w="0" w:type="dxa"/>
            <w:right w:w="108" w:type="dxa"/>
          </w:tblCellMar>
        </w:tblPrEx>
        <w:trPr>
          <w:trHeight w:val="753" w:hRule="atLeast"/>
        </w:trPr>
        <w:tc>
          <w:tcPr>
            <w:tcW w:w="620"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W7</w:t>
            </w:r>
          </w:p>
        </w:tc>
        <w:tc>
          <w:tcPr>
            <w:tcW w:w="204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喷淋洗涤塔排水</w:t>
            </w:r>
          </w:p>
        </w:tc>
        <w:tc>
          <w:tcPr>
            <w:tcW w:w="93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29.00</w:t>
            </w:r>
            <w:r>
              <w:rPr>
                <w:sz w:val="21"/>
              </w:rPr>
              <w:t>t/d</w:t>
            </w:r>
          </w:p>
        </w:tc>
        <w:tc>
          <w:tcPr>
            <w:tcW w:w="235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sz w:val="21"/>
              </w:rPr>
              <w:t>COD</w:t>
            </w:r>
            <w:r>
              <w:rPr>
                <w:rFonts w:hint="eastAsia"/>
                <w:sz w:val="21"/>
              </w:rPr>
              <w:t>：</w:t>
            </w:r>
            <w:r>
              <w:rPr>
                <w:sz w:val="21"/>
              </w:rPr>
              <w:t>2000</w:t>
            </w:r>
            <w:r>
              <w:rPr>
                <w:rFonts w:hAnsi="宋体"/>
                <w:sz w:val="21"/>
              </w:rPr>
              <w:t>mg/L</w:t>
            </w:r>
          </w:p>
          <w:p>
            <w:pPr>
              <w:snapToGrid w:val="0"/>
              <w:spacing w:line="240" w:lineRule="atLeast"/>
              <w:ind w:firstLine="0" w:firstLineChars="0"/>
              <w:jc w:val="center"/>
              <w:rPr>
                <w:rFonts w:hAnsi="宋体"/>
                <w:sz w:val="21"/>
              </w:rPr>
            </w:pPr>
            <w:r>
              <w:rPr>
                <w:sz w:val="21"/>
              </w:rPr>
              <w:t>SS</w:t>
            </w:r>
            <w:r>
              <w:rPr>
                <w:rFonts w:hint="eastAsia"/>
                <w:sz w:val="21"/>
              </w:rPr>
              <w:t>：</w:t>
            </w:r>
            <w:r>
              <w:rPr>
                <w:sz w:val="21"/>
              </w:rPr>
              <w:t>400</w:t>
            </w:r>
            <w:r>
              <w:rPr>
                <w:rFonts w:hAnsi="宋体"/>
                <w:sz w:val="21"/>
              </w:rPr>
              <w:t>mg/L</w:t>
            </w:r>
          </w:p>
          <w:p>
            <w:pPr>
              <w:snapToGrid w:val="0"/>
              <w:spacing w:line="240" w:lineRule="atLeast"/>
              <w:ind w:firstLine="0" w:firstLineChars="0"/>
              <w:jc w:val="center"/>
              <w:rPr>
                <w:rFonts w:hAnsi="宋体"/>
                <w:sz w:val="21"/>
              </w:rPr>
            </w:pPr>
            <w:r>
              <w:rPr>
                <w:rFonts w:hint="eastAsia"/>
                <w:sz w:val="21"/>
              </w:rPr>
              <w:t>氨氮：</w:t>
            </w:r>
            <w:r>
              <w:rPr>
                <w:sz w:val="21"/>
              </w:rPr>
              <w:t>5</w:t>
            </w:r>
            <w:r>
              <w:rPr>
                <w:rFonts w:hAnsi="宋体"/>
                <w:sz w:val="21"/>
              </w:rPr>
              <w:t>mg/L</w:t>
            </w:r>
          </w:p>
          <w:p>
            <w:pPr>
              <w:snapToGrid w:val="0"/>
              <w:spacing w:line="240" w:lineRule="atLeast"/>
              <w:ind w:firstLine="0" w:firstLineChars="0"/>
              <w:jc w:val="center"/>
              <w:rPr>
                <w:rFonts w:hAnsi="宋体"/>
                <w:sz w:val="21"/>
              </w:rPr>
            </w:pPr>
            <w:r>
              <w:rPr>
                <w:rFonts w:hint="eastAsia" w:hAnsi="宋体"/>
                <w:sz w:val="21"/>
              </w:rPr>
              <w:t>石油类：</w:t>
            </w:r>
            <w:r>
              <w:rPr>
                <w:rFonts w:hAnsi="宋体"/>
                <w:sz w:val="21"/>
              </w:rPr>
              <w:t>5mg/L</w:t>
            </w:r>
          </w:p>
          <w:p>
            <w:pPr>
              <w:snapToGrid w:val="0"/>
              <w:spacing w:line="240" w:lineRule="atLeast"/>
              <w:ind w:firstLine="0" w:firstLineChars="0"/>
              <w:jc w:val="center"/>
              <w:rPr>
                <w:sz w:val="21"/>
              </w:rPr>
            </w:pPr>
            <w:r>
              <w:rPr>
                <w:rFonts w:hint="eastAsia" w:hAnsi="宋体"/>
                <w:sz w:val="21"/>
              </w:rPr>
              <w:t>氰化物：</w:t>
            </w:r>
            <w:r>
              <w:rPr>
                <w:rFonts w:hAnsi="宋体"/>
                <w:sz w:val="21"/>
              </w:rPr>
              <w:t>0.2mg/L</w:t>
            </w:r>
          </w:p>
          <w:p>
            <w:pPr>
              <w:snapToGrid w:val="0"/>
              <w:spacing w:line="240" w:lineRule="atLeast"/>
              <w:ind w:firstLine="0" w:firstLineChars="0"/>
              <w:jc w:val="center"/>
              <w:rPr>
                <w:sz w:val="21"/>
              </w:rPr>
            </w:pPr>
            <w:r>
              <w:rPr>
                <w:rFonts w:hint="eastAsia"/>
                <w:sz w:val="21"/>
              </w:rPr>
              <w:t>镍：</w:t>
            </w:r>
            <w:r>
              <w:rPr>
                <w:sz w:val="21"/>
              </w:rPr>
              <w:t>1.5</w:t>
            </w:r>
            <w:r>
              <w:rPr>
                <w:rFonts w:hAnsi="宋体"/>
                <w:sz w:val="21"/>
              </w:rPr>
              <w:t>mg/L</w:t>
            </w:r>
          </w:p>
          <w:p>
            <w:pPr>
              <w:snapToGrid w:val="0"/>
              <w:spacing w:line="240" w:lineRule="atLeast"/>
              <w:ind w:firstLine="0" w:firstLineChars="0"/>
              <w:jc w:val="center"/>
              <w:rPr>
                <w:sz w:val="21"/>
              </w:rPr>
            </w:pPr>
            <w:r>
              <w:rPr>
                <w:rFonts w:hint="eastAsia"/>
                <w:sz w:val="21"/>
              </w:rPr>
              <w:t>铜：</w:t>
            </w:r>
            <w:r>
              <w:rPr>
                <w:sz w:val="21"/>
              </w:rPr>
              <w:t>10</w:t>
            </w:r>
            <w:r>
              <w:rPr>
                <w:rFonts w:hAnsi="宋体"/>
                <w:sz w:val="21"/>
              </w:rPr>
              <w:t>mg/L</w:t>
            </w:r>
          </w:p>
          <w:p>
            <w:pPr>
              <w:snapToGrid w:val="0"/>
              <w:spacing w:line="240" w:lineRule="atLeast"/>
              <w:ind w:firstLine="0" w:firstLineChars="0"/>
              <w:jc w:val="center"/>
              <w:rPr>
                <w:rFonts w:hAnsi="宋体"/>
                <w:sz w:val="21"/>
              </w:rPr>
            </w:pPr>
            <w:r>
              <w:rPr>
                <w:rFonts w:hint="eastAsia"/>
                <w:sz w:val="21"/>
              </w:rPr>
              <w:t>汞：</w:t>
            </w:r>
            <w:r>
              <w:rPr>
                <w:sz w:val="21"/>
              </w:rPr>
              <w:t>0.49</w:t>
            </w:r>
            <w:r>
              <w:rPr>
                <w:rFonts w:hAnsi="宋体"/>
                <w:sz w:val="21"/>
              </w:rPr>
              <w:t>mg/L</w:t>
            </w:r>
          </w:p>
          <w:p>
            <w:pPr>
              <w:snapToGrid w:val="0"/>
              <w:spacing w:line="240" w:lineRule="atLeast"/>
              <w:ind w:firstLine="0" w:firstLineChars="0"/>
              <w:jc w:val="center"/>
              <w:rPr>
                <w:sz w:val="21"/>
              </w:rPr>
            </w:pPr>
            <w:r>
              <w:rPr>
                <w:rFonts w:hint="eastAsia"/>
                <w:sz w:val="21"/>
              </w:rPr>
              <w:t>铅：</w:t>
            </w:r>
            <w:r>
              <w:rPr>
                <w:sz w:val="21"/>
              </w:rPr>
              <w:t>4.9</w:t>
            </w:r>
            <w:r>
              <w:rPr>
                <w:rFonts w:hAnsi="宋体"/>
                <w:sz w:val="21"/>
              </w:rPr>
              <w:t>mg/L</w:t>
            </w:r>
          </w:p>
          <w:p>
            <w:pPr>
              <w:snapToGrid w:val="0"/>
              <w:spacing w:line="240" w:lineRule="atLeast"/>
              <w:ind w:firstLine="0" w:firstLineChars="0"/>
              <w:jc w:val="center"/>
              <w:rPr>
                <w:sz w:val="21"/>
              </w:rPr>
            </w:pPr>
            <w:r>
              <w:rPr>
                <w:rFonts w:hint="eastAsia"/>
                <w:sz w:val="21"/>
              </w:rPr>
              <w:t>六价铬：</w:t>
            </w:r>
            <w:r>
              <w:rPr>
                <w:sz w:val="21"/>
              </w:rPr>
              <w:t>0.5</w:t>
            </w:r>
            <w:r>
              <w:rPr>
                <w:rFonts w:hAnsi="宋体"/>
                <w:sz w:val="21"/>
              </w:rPr>
              <w:t>mg/L</w:t>
            </w:r>
          </w:p>
          <w:p>
            <w:pPr>
              <w:snapToGrid w:val="0"/>
              <w:spacing w:line="240" w:lineRule="atLeast"/>
              <w:ind w:firstLine="0" w:firstLineChars="0"/>
              <w:jc w:val="center"/>
              <w:rPr>
                <w:rFonts w:hAnsi="宋体"/>
                <w:sz w:val="21"/>
              </w:rPr>
            </w:pPr>
            <w:r>
              <w:rPr>
                <w:rFonts w:hint="eastAsia"/>
                <w:sz w:val="21"/>
              </w:rPr>
              <w:t>砷：</w:t>
            </w:r>
            <w:r>
              <w:rPr>
                <w:sz w:val="21"/>
              </w:rPr>
              <w:t>0.5</w:t>
            </w:r>
            <w:r>
              <w:rPr>
                <w:rFonts w:hAnsi="宋体"/>
                <w:sz w:val="21"/>
              </w:rPr>
              <w:t>mg/L</w:t>
            </w:r>
          </w:p>
          <w:p>
            <w:pPr>
              <w:snapToGrid w:val="0"/>
              <w:spacing w:line="240" w:lineRule="atLeast"/>
              <w:ind w:firstLine="0" w:firstLineChars="0"/>
              <w:jc w:val="center"/>
              <w:rPr>
                <w:sz w:val="21"/>
              </w:rPr>
            </w:pPr>
            <w:r>
              <w:rPr>
                <w:rFonts w:hint="eastAsia"/>
                <w:sz w:val="21"/>
              </w:rPr>
              <w:t>镉：</w:t>
            </w:r>
            <w:r>
              <w:rPr>
                <w:sz w:val="21"/>
              </w:rPr>
              <w:t>0.4mg/L</w:t>
            </w:r>
          </w:p>
          <w:p>
            <w:pPr>
              <w:snapToGrid w:val="0"/>
              <w:spacing w:line="240" w:lineRule="atLeast"/>
              <w:ind w:firstLine="0" w:firstLineChars="0"/>
              <w:jc w:val="center"/>
              <w:rPr>
                <w:sz w:val="21"/>
              </w:rPr>
            </w:pPr>
            <w:r>
              <w:rPr>
                <w:rFonts w:hint="eastAsia"/>
                <w:sz w:val="21"/>
              </w:rPr>
              <w:t>锌：</w:t>
            </w:r>
            <w:r>
              <w:rPr>
                <w:sz w:val="21"/>
              </w:rPr>
              <w:t>0.5mg/L</w:t>
            </w:r>
          </w:p>
          <w:p>
            <w:pPr>
              <w:snapToGrid w:val="0"/>
              <w:spacing w:line="240" w:lineRule="atLeast"/>
              <w:ind w:firstLine="0" w:firstLineChars="0"/>
              <w:jc w:val="center"/>
              <w:rPr>
                <w:sz w:val="21"/>
              </w:rPr>
            </w:pPr>
            <w:r>
              <w:rPr>
                <w:rFonts w:hint="eastAsia"/>
                <w:sz w:val="21"/>
              </w:rPr>
              <w:t>盐类：</w:t>
            </w:r>
            <w:r>
              <w:rPr>
                <w:sz w:val="21"/>
              </w:rPr>
              <w:t>8000</w:t>
            </w:r>
            <w:r>
              <w:rPr>
                <w:rFonts w:hAnsi="宋体"/>
                <w:sz w:val="21"/>
              </w:rPr>
              <w:t>mg/L</w:t>
            </w:r>
          </w:p>
        </w:tc>
        <w:tc>
          <w:tcPr>
            <w:tcW w:w="9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送至焚烧车间污水处理模块进行处理</w:t>
            </w:r>
          </w:p>
        </w:tc>
      </w:tr>
      <w:tr>
        <w:tblPrEx>
          <w:tblCellMar>
            <w:top w:w="0" w:type="dxa"/>
            <w:left w:w="108" w:type="dxa"/>
            <w:bottom w:w="0" w:type="dxa"/>
            <w:right w:w="108" w:type="dxa"/>
          </w:tblCellMar>
        </w:tblPrEx>
        <w:trPr>
          <w:trHeight w:val="464" w:hRule="atLeast"/>
        </w:trPr>
        <w:tc>
          <w:tcPr>
            <w:tcW w:w="620" w:type="dxa"/>
            <w:vMerge w:val="restart"/>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固废</w:t>
            </w:r>
          </w:p>
        </w:tc>
        <w:tc>
          <w:tcPr>
            <w:tcW w:w="6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S5</w:t>
            </w:r>
          </w:p>
        </w:tc>
        <w:tc>
          <w:tcPr>
            <w:tcW w:w="204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焚烧炉炉渣</w:t>
            </w:r>
          </w:p>
        </w:tc>
        <w:tc>
          <w:tcPr>
            <w:tcW w:w="93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7474.50</w:t>
            </w:r>
            <w:r>
              <w:rPr>
                <w:sz w:val="21"/>
              </w:rPr>
              <w:t>t/a</w:t>
            </w:r>
          </w:p>
        </w:tc>
        <w:tc>
          <w:tcPr>
            <w:tcW w:w="235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pacing w:val="-8"/>
                <w:sz w:val="21"/>
                <w:lang w:val="pt-BR"/>
              </w:rPr>
            </w:pPr>
            <w:r>
              <w:rPr>
                <w:rFonts w:hint="eastAsia"/>
                <w:spacing w:val="-8"/>
                <w:sz w:val="21"/>
                <w:lang w:val="pt-BR"/>
              </w:rPr>
              <w:t>焚烧残渣</w:t>
            </w:r>
          </w:p>
        </w:tc>
        <w:tc>
          <w:tcPr>
            <w:tcW w:w="9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lang w:val="pt-BR"/>
              </w:rPr>
            </w:pPr>
            <w:r>
              <w:rPr>
                <w:rFonts w:hint="eastAsia" w:hAnsi="宋体"/>
                <w:sz w:val="21"/>
              </w:rPr>
              <w:t>连续</w:t>
            </w:r>
          </w:p>
        </w:tc>
        <w:tc>
          <w:tcPr>
            <w:tcW w:w="176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lang w:val="pt-BR"/>
              </w:rPr>
            </w:pPr>
            <w:r>
              <w:rPr>
                <w:rFonts w:hint="eastAsia"/>
                <w:sz w:val="21"/>
              </w:rPr>
              <w:t>送至固化车间</w:t>
            </w:r>
          </w:p>
        </w:tc>
      </w:tr>
      <w:tr>
        <w:tblPrEx>
          <w:tblCellMar>
            <w:top w:w="0" w:type="dxa"/>
            <w:left w:w="108" w:type="dxa"/>
            <w:bottom w:w="0" w:type="dxa"/>
            <w:right w:w="108" w:type="dxa"/>
          </w:tblCellMar>
        </w:tblPrEx>
        <w:trPr>
          <w:trHeight w:val="464" w:hRule="atLeast"/>
        </w:trPr>
        <w:tc>
          <w:tcPr>
            <w:tcW w:w="620"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rFonts w:hAnsi="宋体"/>
                <w:sz w:val="21"/>
              </w:rPr>
            </w:pPr>
          </w:p>
        </w:tc>
        <w:tc>
          <w:tcPr>
            <w:tcW w:w="6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S6</w:t>
            </w:r>
          </w:p>
        </w:tc>
        <w:tc>
          <w:tcPr>
            <w:tcW w:w="204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焚烧炉飞灰</w:t>
            </w:r>
          </w:p>
        </w:tc>
        <w:tc>
          <w:tcPr>
            <w:tcW w:w="93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1089.00</w:t>
            </w:r>
            <w:r>
              <w:rPr>
                <w:sz w:val="21"/>
              </w:rPr>
              <w:t>t/a</w:t>
            </w:r>
          </w:p>
        </w:tc>
        <w:tc>
          <w:tcPr>
            <w:tcW w:w="235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pacing w:val="-8"/>
                <w:sz w:val="21"/>
                <w:lang w:val="pt-BR"/>
              </w:rPr>
            </w:pPr>
            <w:r>
              <w:rPr>
                <w:rFonts w:hint="eastAsia"/>
                <w:spacing w:val="-8"/>
                <w:sz w:val="21"/>
                <w:lang w:val="pt-BR"/>
              </w:rPr>
              <w:t>颗粒物及重金属等</w:t>
            </w:r>
          </w:p>
        </w:tc>
        <w:tc>
          <w:tcPr>
            <w:tcW w:w="9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送至固化系统</w:t>
            </w:r>
          </w:p>
        </w:tc>
      </w:tr>
      <w:tr>
        <w:tblPrEx>
          <w:tblCellMar>
            <w:top w:w="0" w:type="dxa"/>
            <w:left w:w="108" w:type="dxa"/>
            <w:bottom w:w="0" w:type="dxa"/>
            <w:right w:w="108" w:type="dxa"/>
          </w:tblCellMar>
        </w:tblPrEx>
        <w:trPr>
          <w:trHeight w:val="464" w:hRule="atLeast"/>
        </w:trPr>
        <w:tc>
          <w:tcPr>
            <w:tcW w:w="620"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rFonts w:hAnsi="宋体"/>
                <w:sz w:val="21"/>
              </w:rPr>
            </w:pPr>
          </w:p>
        </w:tc>
        <w:tc>
          <w:tcPr>
            <w:tcW w:w="64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S7</w:t>
            </w:r>
          </w:p>
        </w:tc>
        <w:tc>
          <w:tcPr>
            <w:tcW w:w="2041"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喷淋洗涤塔滤渣</w:t>
            </w:r>
          </w:p>
        </w:tc>
        <w:tc>
          <w:tcPr>
            <w:tcW w:w="931"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39.60</w:t>
            </w:r>
            <w:r>
              <w:rPr>
                <w:sz w:val="21"/>
              </w:rPr>
              <w:t>t/a</w:t>
            </w:r>
          </w:p>
        </w:tc>
        <w:tc>
          <w:tcPr>
            <w:tcW w:w="2351"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pacing w:val="-8"/>
                <w:sz w:val="21"/>
                <w:lang w:val="pt-BR"/>
              </w:rPr>
            </w:pPr>
            <w:r>
              <w:rPr>
                <w:rFonts w:hint="eastAsia"/>
                <w:spacing w:val="-8"/>
                <w:sz w:val="21"/>
                <w:lang w:val="pt-BR"/>
              </w:rPr>
              <w:t>颗粒物及重金属等</w:t>
            </w:r>
          </w:p>
        </w:tc>
        <w:tc>
          <w:tcPr>
            <w:tcW w:w="94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1763"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rFonts w:hint="eastAsia"/>
                <w:sz w:val="21"/>
              </w:rPr>
              <w:t>送至固化系统</w:t>
            </w:r>
          </w:p>
        </w:tc>
      </w:tr>
    </w:tbl>
    <w:p>
      <w:pPr>
        <w:autoSpaceDE w:val="0"/>
        <w:autoSpaceDN w:val="0"/>
        <w:ind w:firstLine="480"/>
      </w:pPr>
    </w:p>
    <w:p>
      <w:pPr>
        <w:autoSpaceDE w:val="0"/>
        <w:autoSpaceDN w:val="0"/>
        <w:ind w:firstLine="480"/>
      </w:pPr>
      <w:r>
        <w:rPr>
          <w:rFonts w:hint="eastAsia"/>
        </w:rPr>
        <w:t>表</w:t>
      </w:r>
      <w:r>
        <w:t>4.</w:t>
      </w:r>
      <w:r>
        <w:rPr>
          <w:rFonts w:hint="eastAsia"/>
        </w:rPr>
        <w:t>6—3             焚烧车间无组织废气产生情况</w:t>
      </w:r>
    </w:p>
    <w:tbl>
      <w:tblPr>
        <w:tblStyle w:val="88"/>
        <w:tblW w:w="5000" w:type="pct"/>
        <w:tblInd w:w="0" w:type="dxa"/>
        <w:tblLayout w:type="fixed"/>
        <w:tblCellMar>
          <w:top w:w="0" w:type="dxa"/>
          <w:left w:w="108" w:type="dxa"/>
          <w:bottom w:w="0" w:type="dxa"/>
          <w:right w:w="108" w:type="dxa"/>
        </w:tblCellMar>
      </w:tblPr>
      <w:tblGrid>
        <w:gridCol w:w="3629"/>
        <w:gridCol w:w="3113"/>
        <w:gridCol w:w="3112"/>
      </w:tblGrid>
      <w:tr>
        <w:tblPrEx>
          <w:tblCellMar>
            <w:top w:w="0" w:type="dxa"/>
            <w:left w:w="108" w:type="dxa"/>
            <w:bottom w:w="0" w:type="dxa"/>
            <w:right w:w="108" w:type="dxa"/>
          </w:tblCellMar>
        </w:tblPrEx>
        <w:trPr>
          <w:trHeight w:val="284" w:hRule="exact"/>
        </w:trPr>
        <w:tc>
          <w:tcPr>
            <w:tcW w:w="3419" w:type="dxa"/>
            <w:vMerge w:val="restart"/>
            <w:tcBorders>
              <w:top w:val="single" w:color="000000" w:sz="12"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污染物名称</w:t>
            </w:r>
          </w:p>
        </w:tc>
        <w:tc>
          <w:tcPr>
            <w:tcW w:w="5867" w:type="dxa"/>
            <w:gridSpan w:val="2"/>
            <w:tcBorders>
              <w:top w:val="single" w:color="000000" w:sz="12" w:space="0"/>
              <w:left w:val="dotted" w:color="auto" w:sz="4" w:space="0"/>
              <w:bottom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主要成分</w:t>
            </w:r>
          </w:p>
        </w:tc>
      </w:tr>
      <w:tr>
        <w:tblPrEx>
          <w:tblCellMar>
            <w:top w:w="0" w:type="dxa"/>
            <w:left w:w="108" w:type="dxa"/>
            <w:bottom w:w="0" w:type="dxa"/>
            <w:right w:w="108" w:type="dxa"/>
          </w:tblCellMar>
        </w:tblPrEx>
        <w:trPr>
          <w:trHeight w:val="284" w:hRule="exact"/>
        </w:trPr>
        <w:tc>
          <w:tcPr>
            <w:tcW w:w="3419"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名称</w:t>
            </w:r>
          </w:p>
        </w:tc>
        <w:tc>
          <w:tcPr>
            <w:tcW w:w="2933"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hAnsi="宋体"/>
                <w:sz w:val="21"/>
              </w:rPr>
            </w:pPr>
            <w:r>
              <w:rPr>
                <w:rFonts w:hint="eastAsia" w:hAnsi="宋体"/>
                <w:sz w:val="21"/>
              </w:rPr>
              <w:t>速率</w:t>
            </w:r>
            <w:r>
              <w:rPr>
                <w:rFonts w:hAnsi="宋体"/>
                <w:sz w:val="21"/>
              </w:rPr>
              <w:t>(kg/h)</w:t>
            </w:r>
          </w:p>
          <w:p>
            <w:pPr>
              <w:adjustRightInd w:val="0"/>
              <w:snapToGrid w:val="0"/>
              <w:spacing w:line="240" w:lineRule="atLeast"/>
              <w:ind w:firstLine="0" w:firstLineChars="0"/>
              <w:jc w:val="center"/>
              <w:rPr>
                <w:rFonts w:hAnsi="宋体"/>
                <w:sz w:val="21"/>
              </w:rPr>
            </w:pPr>
            <w:r>
              <w:rPr>
                <w:rFonts w:hAnsi="宋体"/>
                <w:sz w:val="21"/>
              </w:rPr>
              <w:t>(kg/h)</w:t>
            </w:r>
          </w:p>
        </w:tc>
      </w:tr>
      <w:tr>
        <w:tblPrEx>
          <w:tblCellMar>
            <w:top w:w="0" w:type="dxa"/>
            <w:left w:w="108" w:type="dxa"/>
            <w:bottom w:w="0" w:type="dxa"/>
            <w:right w:w="108" w:type="dxa"/>
          </w:tblCellMar>
        </w:tblPrEx>
        <w:trPr>
          <w:trHeight w:val="284" w:hRule="exact"/>
        </w:trPr>
        <w:tc>
          <w:tcPr>
            <w:tcW w:w="3419" w:type="dxa"/>
            <w:vMerge w:val="restart"/>
            <w:tcBorders>
              <w:top w:val="single" w:color="auto" w:sz="12" w:space="0"/>
              <w:left w:val="nil"/>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焚烧车间</w:t>
            </w:r>
          </w:p>
          <w:p>
            <w:pPr>
              <w:adjustRightInd w:val="0"/>
              <w:snapToGrid w:val="0"/>
              <w:spacing w:line="240" w:lineRule="atLeast"/>
              <w:ind w:firstLine="0" w:firstLineChars="0"/>
              <w:jc w:val="center"/>
              <w:rPr>
                <w:sz w:val="21"/>
              </w:rPr>
            </w:pPr>
            <w:r>
              <w:rPr>
                <w:rFonts w:hint="eastAsia"/>
                <w:sz w:val="21"/>
              </w:rPr>
              <w:t>无组织废气</w:t>
            </w:r>
          </w:p>
        </w:tc>
        <w:tc>
          <w:tcPr>
            <w:tcW w:w="2934"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VOC</w:t>
            </w:r>
          </w:p>
        </w:tc>
        <w:tc>
          <w:tcPr>
            <w:tcW w:w="2933"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sz w:val="21"/>
              </w:rPr>
              <w:t>0.</w:t>
            </w:r>
            <w:r>
              <w:rPr>
                <w:rFonts w:hint="eastAsia"/>
                <w:sz w:val="21"/>
              </w:rPr>
              <w:t>22</w:t>
            </w:r>
          </w:p>
        </w:tc>
      </w:tr>
      <w:tr>
        <w:tblPrEx>
          <w:tblCellMar>
            <w:top w:w="0" w:type="dxa"/>
            <w:left w:w="108" w:type="dxa"/>
            <w:bottom w:w="0" w:type="dxa"/>
            <w:right w:w="108" w:type="dxa"/>
          </w:tblCellMar>
        </w:tblPrEx>
        <w:trPr>
          <w:trHeight w:val="284" w:hRule="exact"/>
        </w:trPr>
        <w:tc>
          <w:tcPr>
            <w:tcW w:w="3419" w:type="dxa"/>
            <w:vMerge w:val="continue"/>
            <w:tcBorders>
              <w:top w:val="single" w:color="auto" w:sz="12" w:space="0"/>
              <w:left w:val="nil"/>
              <w:bottom w:val="single" w:color="000000" w:sz="12" w:space="0"/>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H</w:t>
            </w:r>
            <w:r>
              <w:rPr>
                <w:sz w:val="21"/>
                <w:vertAlign w:val="subscript"/>
              </w:rPr>
              <w:t>2</w:t>
            </w:r>
            <w:r>
              <w:rPr>
                <w:sz w:val="21"/>
              </w:rPr>
              <w:t>S</w:t>
            </w:r>
          </w:p>
        </w:tc>
        <w:tc>
          <w:tcPr>
            <w:tcW w:w="2933"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sz w:val="21"/>
              </w:rPr>
              <w:t>0.0</w:t>
            </w:r>
            <w:r>
              <w:rPr>
                <w:rFonts w:hint="eastAsia"/>
                <w:sz w:val="21"/>
              </w:rPr>
              <w:t>18</w:t>
            </w:r>
          </w:p>
        </w:tc>
      </w:tr>
      <w:tr>
        <w:tblPrEx>
          <w:tblCellMar>
            <w:top w:w="0" w:type="dxa"/>
            <w:left w:w="108" w:type="dxa"/>
            <w:bottom w:w="0" w:type="dxa"/>
            <w:right w:w="108" w:type="dxa"/>
          </w:tblCellMar>
        </w:tblPrEx>
        <w:trPr>
          <w:trHeight w:val="284" w:hRule="exact"/>
        </w:trPr>
        <w:tc>
          <w:tcPr>
            <w:tcW w:w="3419" w:type="dxa"/>
            <w:vMerge w:val="continue"/>
            <w:tcBorders>
              <w:top w:val="single" w:color="auto" w:sz="12" w:space="0"/>
              <w:left w:val="nil"/>
              <w:bottom w:val="single" w:color="000000" w:sz="12" w:space="0"/>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sz w:val="21"/>
              </w:rPr>
              <w:t>NH</w:t>
            </w:r>
            <w:r>
              <w:rPr>
                <w:sz w:val="21"/>
                <w:vertAlign w:val="subscript"/>
              </w:rPr>
              <w:t>3</w:t>
            </w:r>
          </w:p>
        </w:tc>
        <w:tc>
          <w:tcPr>
            <w:tcW w:w="2933" w:type="dxa"/>
            <w:tcBorders>
              <w:top w:val="dotted" w:color="auto" w:sz="4" w:space="0"/>
              <w:left w:val="dotted" w:color="auto" w:sz="4" w:space="0"/>
              <w:bottom w:val="single" w:color="000000" w:sz="12" w:space="0"/>
              <w:right w:val="nil"/>
            </w:tcBorders>
            <w:vAlign w:val="center"/>
          </w:tcPr>
          <w:p>
            <w:pPr>
              <w:adjustRightInd w:val="0"/>
              <w:snapToGrid w:val="0"/>
              <w:spacing w:line="240" w:lineRule="atLeast"/>
              <w:ind w:firstLine="0" w:firstLineChars="0"/>
              <w:jc w:val="center"/>
              <w:rPr>
                <w:sz w:val="21"/>
              </w:rPr>
            </w:pPr>
            <w:r>
              <w:rPr>
                <w:sz w:val="21"/>
              </w:rPr>
              <w:t>0.</w:t>
            </w:r>
            <w:r>
              <w:rPr>
                <w:rFonts w:hint="eastAsia"/>
                <w:sz w:val="21"/>
              </w:rPr>
              <w:t>126</w:t>
            </w:r>
          </w:p>
        </w:tc>
      </w:tr>
    </w:tbl>
    <w:p>
      <w:pPr>
        <w:ind w:firstLine="480"/>
        <w:rPr>
          <w:rFonts w:asciiTheme="minorEastAsia" w:hAnsiTheme="minorEastAsia" w:eastAsiaTheme="minorEastAsia"/>
          <w:szCs w:val="24"/>
        </w:rPr>
      </w:pPr>
    </w:p>
    <w:p>
      <w:pPr>
        <w:pStyle w:val="4"/>
        <w:rPr>
          <w:rFonts w:asciiTheme="minorEastAsia" w:hAnsiTheme="minorEastAsia" w:eastAsiaTheme="minorEastAsia"/>
        </w:rPr>
      </w:pPr>
      <w:bookmarkStart w:id="249" w:name="_Toc13760153"/>
      <w:r>
        <w:rPr>
          <w:rFonts w:hint="eastAsia"/>
        </w:rPr>
        <w:t>4.7改扩建</w:t>
      </w:r>
      <w:r>
        <w:rPr>
          <w:rFonts w:hint="eastAsia"/>
          <w:lang w:val="zh-CN"/>
        </w:rPr>
        <w:t>后稳定化/固化处理流程及污染分析</w:t>
      </w:r>
      <w:bookmarkEnd w:id="249"/>
    </w:p>
    <w:p>
      <w:pPr>
        <w:pStyle w:val="5"/>
      </w:pPr>
      <w:bookmarkStart w:id="250" w:name="_Toc13760154"/>
      <w:r>
        <w:rPr>
          <w:rFonts w:hint="eastAsia"/>
        </w:rPr>
        <w:t>4.7.1固化处理规模、工艺及技术参数</w:t>
      </w:r>
      <w:bookmarkEnd w:id="250"/>
    </w:p>
    <w:p>
      <w:pPr>
        <w:ind w:firstLine="480"/>
      </w:pPr>
      <w:r>
        <w:rPr>
          <w:rFonts w:hint="eastAsia"/>
        </w:rPr>
        <w:t>项目改扩建固化处理的危废种类与之前的环评没有变化，处理能力由原来的60t/d，扩大到处理能力90t/d。本次</w:t>
      </w:r>
      <w:r>
        <w:rPr>
          <w:rFonts w:hint="eastAsia" w:asciiTheme="minorEastAsia" w:hAnsiTheme="minorEastAsia" w:eastAsiaTheme="minorEastAsia"/>
          <w:szCs w:val="24"/>
        </w:rPr>
        <w:t>针对改扩建内容产排污进行分析评价。</w:t>
      </w:r>
    </w:p>
    <w:p>
      <w:pPr>
        <w:ind w:firstLine="480"/>
      </w:pPr>
      <w:r>
        <w:rPr>
          <w:rFonts w:hint="eastAsia"/>
        </w:rPr>
        <w:t>本项目固化工艺的主要技术参数范围如下：</w:t>
      </w:r>
    </w:p>
    <w:p>
      <w:pPr>
        <w:ind w:firstLine="480"/>
        <w:rPr>
          <w:rFonts w:eastAsia="黑体"/>
        </w:rPr>
      </w:pPr>
      <w:r>
        <w:rPr>
          <w:rFonts w:hint="eastAsia"/>
        </w:rPr>
        <w:t>表</w:t>
      </w:r>
      <w:r>
        <w:t>4.</w:t>
      </w:r>
      <w:r>
        <w:rPr>
          <w:rFonts w:hint="eastAsia"/>
        </w:rPr>
        <w:t>7—1              固化系统主要技术参数</w:t>
      </w:r>
    </w:p>
    <w:tbl>
      <w:tblPr>
        <w:tblStyle w:val="88"/>
        <w:tblW w:w="5000" w:type="pct"/>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856"/>
        <w:gridCol w:w="5998"/>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34" w:type="dxa"/>
            <w:tcBorders>
              <w:top w:val="single" w:color="000000" w:sz="12" w:space="0"/>
              <w:bottom w:val="single" w:color="000000" w:sz="12" w:space="0"/>
            </w:tcBorders>
            <w:vAlign w:val="center"/>
          </w:tcPr>
          <w:p>
            <w:pPr>
              <w:autoSpaceDE w:val="0"/>
              <w:autoSpaceDN w:val="0"/>
              <w:adjustRightInd w:val="0"/>
              <w:snapToGrid w:val="0"/>
              <w:spacing w:line="240" w:lineRule="atLeast"/>
              <w:ind w:firstLine="0" w:firstLineChars="0"/>
              <w:jc w:val="center"/>
              <w:rPr>
                <w:sz w:val="21"/>
              </w:rPr>
            </w:pPr>
            <w:r>
              <w:rPr>
                <w:rFonts w:hint="eastAsia"/>
                <w:sz w:val="21"/>
              </w:rPr>
              <w:t>指标</w:t>
            </w:r>
          </w:p>
        </w:tc>
        <w:tc>
          <w:tcPr>
            <w:tcW w:w="5652" w:type="dxa"/>
            <w:tcBorders>
              <w:top w:val="single" w:color="000000" w:sz="12" w:space="0"/>
              <w:bottom w:val="single" w:color="000000" w:sz="12" w:space="0"/>
            </w:tcBorders>
            <w:vAlign w:val="center"/>
          </w:tcPr>
          <w:p>
            <w:pPr>
              <w:autoSpaceDE w:val="0"/>
              <w:autoSpaceDN w:val="0"/>
              <w:adjustRightInd w:val="0"/>
              <w:snapToGrid w:val="0"/>
              <w:spacing w:line="240" w:lineRule="atLeast"/>
              <w:ind w:firstLine="0" w:firstLineChars="0"/>
              <w:jc w:val="center"/>
              <w:rPr>
                <w:sz w:val="21"/>
              </w:rPr>
            </w:pPr>
            <w:r>
              <w:rPr>
                <w:rFonts w:hint="eastAsia"/>
                <w:sz w:val="21"/>
              </w:rPr>
              <w:t>参数</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34" w:type="dxa"/>
            <w:tcBorders>
              <w:top w:val="single" w:color="000000" w:sz="12" w:space="0"/>
            </w:tcBorders>
            <w:vAlign w:val="center"/>
          </w:tcPr>
          <w:p>
            <w:pPr>
              <w:autoSpaceDE w:val="0"/>
              <w:autoSpaceDN w:val="0"/>
              <w:adjustRightInd w:val="0"/>
              <w:snapToGrid w:val="0"/>
              <w:spacing w:line="240" w:lineRule="atLeast"/>
              <w:ind w:firstLine="0" w:firstLineChars="0"/>
              <w:jc w:val="center"/>
              <w:rPr>
                <w:sz w:val="21"/>
              </w:rPr>
            </w:pPr>
            <w:r>
              <w:rPr>
                <w:rFonts w:hint="eastAsia"/>
                <w:sz w:val="21"/>
              </w:rPr>
              <w:t>需固化危险废物的量</w:t>
            </w:r>
          </w:p>
        </w:tc>
        <w:tc>
          <w:tcPr>
            <w:tcW w:w="5652" w:type="dxa"/>
            <w:tcBorders>
              <w:top w:val="single" w:color="000000" w:sz="12" w:space="0"/>
            </w:tcBorders>
            <w:vAlign w:val="center"/>
          </w:tcPr>
          <w:p>
            <w:pPr>
              <w:autoSpaceDE w:val="0"/>
              <w:autoSpaceDN w:val="0"/>
              <w:adjustRightInd w:val="0"/>
              <w:snapToGrid w:val="0"/>
              <w:spacing w:line="240" w:lineRule="atLeast"/>
              <w:ind w:firstLine="0" w:firstLineChars="0"/>
              <w:jc w:val="center"/>
              <w:rPr>
                <w:sz w:val="21"/>
              </w:rPr>
            </w:pPr>
            <w:r>
              <w:rPr>
                <w:rFonts w:hint="eastAsia"/>
                <w:sz w:val="21"/>
              </w:rPr>
              <w:t>29700</w:t>
            </w:r>
            <w:r>
              <w:rPr>
                <w:sz w:val="21"/>
              </w:rPr>
              <w:t>t/a</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34" w:type="dxa"/>
            <w:vAlign w:val="center"/>
          </w:tcPr>
          <w:p>
            <w:pPr>
              <w:autoSpaceDE w:val="0"/>
              <w:autoSpaceDN w:val="0"/>
              <w:adjustRightInd w:val="0"/>
              <w:snapToGrid w:val="0"/>
              <w:spacing w:line="240" w:lineRule="atLeast"/>
              <w:ind w:firstLine="0" w:firstLineChars="0"/>
              <w:jc w:val="center"/>
              <w:rPr>
                <w:sz w:val="21"/>
              </w:rPr>
            </w:pPr>
            <w:r>
              <w:rPr>
                <w:rFonts w:hint="eastAsia"/>
                <w:sz w:val="21"/>
              </w:rPr>
              <w:t>固化剂、稳定剂配比</w:t>
            </w:r>
          </w:p>
        </w:tc>
        <w:tc>
          <w:tcPr>
            <w:tcW w:w="5652" w:type="dxa"/>
            <w:vAlign w:val="center"/>
          </w:tcPr>
          <w:p>
            <w:pPr>
              <w:autoSpaceDE w:val="0"/>
              <w:autoSpaceDN w:val="0"/>
              <w:adjustRightInd w:val="0"/>
              <w:snapToGrid w:val="0"/>
              <w:spacing w:line="240" w:lineRule="atLeast"/>
              <w:ind w:firstLine="0" w:firstLineChars="0"/>
              <w:jc w:val="center"/>
              <w:rPr>
                <w:sz w:val="21"/>
              </w:rPr>
            </w:pPr>
            <w:r>
              <w:rPr>
                <w:rFonts w:hint="eastAsia"/>
                <w:sz w:val="21"/>
              </w:rPr>
              <w:t>水泥：粉煤灰：螯合剂：水剂</w:t>
            </w:r>
            <w:r>
              <w:rPr>
                <w:sz w:val="21"/>
              </w:rPr>
              <w:t>=1</w:t>
            </w:r>
            <w:r>
              <w:rPr>
                <w:rFonts w:hint="eastAsia"/>
                <w:sz w:val="21"/>
              </w:rPr>
              <w:t>：</w:t>
            </w:r>
            <w:r>
              <w:rPr>
                <w:sz w:val="21"/>
              </w:rPr>
              <w:t>0.34</w:t>
            </w:r>
            <w:r>
              <w:rPr>
                <w:rFonts w:hint="eastAsia"/>
                <w:sz w:val="21"/>
              </w:rPr>
              <w:t>：</w:t>
            </w:r>
            <w:r>
              <w:rPr>
                <w:sz w:val="21"/>
              </w:rPr>
              <w:t>0.05</w:t>
            </w:r>
            <w:r>
              <w:rPr>
                <w:rFonts w:hint="eastAsia"/>
                <w:sz w:val="21"/>
              </w:rPr>
              <w:t>：</w:t>
            </w:r>
            <w:r>
              <w:rPr>
                <w:sz w:val="21"/>
              </w:rPr>
              <w:t>0.48</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34" w:type="dxa"/>
            <w:vAlign w:val="center"/>
          </w:tcPr>
          <w:p>
            <w:pPr>
              <w:autoSpaceDE w:val="0"/>
              <w:autoSpaceDN w:val="0"/>
              <w:adjustRightInd w:val="0"/>
              <w:snapToGrid w:val="0"/>
              <w:spacing w:line="240" w:lineRule="atLeast"/>
              <w:ind w:firstLine="0" w:firstLineChars="0"/>
              <w:jc w:val="center"/>
              <w:rPr>
                <w:sz w:val="21"/>
              </w:rPr>
            </w:pPr>
            <w:r>
              <w:rPr>
                <w:rFonts w:hint="eastAsia"/>
                <w:sz w:val="21"/>
              </w:rPr>
              <w:t>固化后固化体量</w:t>
            </w:r>
          </w:p>
        </w:tc>
        <w:tc>
          <w:tcPr>
            <w:tcW w:w="5652" w:type="dxa"/>
            <w:vAlign w:val="center"/>
          </w:tcPr>
          <w:p>
            <w:pPr>
              <w:autoSpaceDE w:val="0"/>
              <w:autoSpaceDN w:val="0"/>
              <w:adjustRightInd w:val="0"/>
              <w:snapToGrid w:val="0"/>
              <w:spacing w:line="240" w:lineRule="atLeast"/>
              <w:ind w:firstLine="0" w:firstLineChars="0"/>
              <w:jc w:val="center"/>
              <w:rPr>
                <w:sz w:val="21"/>
              </w:rPr>
            </w:pPr>
            <w:r>
              <w:rPr>
                <w:rFonts w:hint="eastAsia"/>
                <w:sz w:val="21"/>
              </w:rPr>
              <w:t>35640</w:t>
            </w:r>
            <w:r>
              <w:rPr>
                <w:sz w:val="21"/>
              </w:rPr>
              <w:t>t/a</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34" w:type="dxa"/>
            <w:vAlign w:val="center"/>
          </w:tcPr>
          <w:p>
            <w:pPr>
              <w:autoSpaceDE w:val="0"/>
              <w:autoSpaceDN w:val="0"/>
              <w:adjustRightInd w:val="0"/>
              <w:snapToGrid w:val="0"/>
              <w:spacing w:line="240" w:lineRule="atLeast"/>
              <w:ind w:firstLine="0" w:firstLineChars="0"/>
              <w:jc w:val="center"/>
              <w:rPr>
                <w:sz w:val="21"/>
              </w:rPr>
            </w:pPr>
            <w:r>
              <w:rPr>
                <w:rFonts w:hint="eastAsia"/>
                <w:sz w:val="21"/>
              </w:rPr>
              <w:t>固化工作时间</w:t>
            </w:r>
          </w:p>
        </w:tc>
        <w:tc>
          <w:tcPr>
            <w:tcW w:w="5652" w:type="dxa"/>
            <w:vAlign w:val="center"/>
          </w:tcPr>
          <w:p>
            <w:pPr>
              <w:autoSpaceDE w:val="0"/>
              <w:autoSpaceDN w:val="0"/>
              <w:adjustRightInd w:val="0"/>
              <w:snapToGrid w:val="0"/>
              <w:spacing w:line="240" w:lineRule="atLeast"/>
              <w:ind w:firstLine="0" w:firstLineChars="0"/>
              <w:jc w:val="center"/>
              <w:rPr>
                <w:sz w:val="21"/>
              </w:rPr>
            </w:pPr>
            <w:r>
              <w:rPr>
                <w:sz w:val="21"/>
              </w:rPr>
              <w:t>330d/a</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34" w:type="dxa"/>
            <w:vAlign w:val="center"/>
          </w:tcPr>
          <w:p>
            <w:pPr>
              <w:autoSpaceDE w:val="0"/>
              <w:autoSpaceDN w:val="0"/>
              <w:adjustRightInd w:val="0"/>
              <w:snapToGrid w:val="0"/>
              <w:spacing w:line="240" w:lineRule="atLeast"/>
              <w:ind w:firstLine="0" w:firstLineChars="0"/>
              <w:jc w:val="center"/>
              <w:rPr>
                <w:sz w:val="21"/>
              </w:rPr>
            </w:pPr>
            <w:r>
              <w:rPr>
                <w:rFonts w:hint="eastAsia"/>
                <w:sz w:val="21"/>
              </w:rPr>
              <w:t>固化后砼标号</w:t>
            </w:r>
          </w:p>
        </w:tc>
        <w:tc>
          <w:tcPr>
            <w:tcW w:w="5652" w:type="dxa"/>
            <w:vAlign w:val="center"/>
          </w:tcPr>
          <w:p>
            <w:pPr>
              <w:autoSpaceDE w:val="0"/>
              <w:autoSpaceDN w:val="0"/>
              <w:adjustRightInd w:val="0"/>
              <w:snapToGrid w:val="0"/>
              <w:spacing w:line="240" w:lineRule="atLeast"/>
              <w:ind w:firstLine="0" w:firstLineChars="0"/>
              <w:jc w:val="center"/>
              <w:rPr>
                <w:sz w:val="21"/>
              </w:rPr>
            </w:pPr>
            <w:r>
              <w:rPr>
                <w:sz w:val="21"/>
              </w:rPr>
              <w:t>C15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34" w:type="dxa"/>
            <w:vAlign w:val="center"/>
          </w:tcPr>
          <w:p>
            <w:pPr>
              <w:autoSpaceDE w:val="0"/>
              <w:autoSpaceDN w:val="0"/>
              <w:adjustRightInd w:val="0"/>
              <w:snapToGrid w:val="0"/>
              <w:spacing w:line="240" w:lineRule="atLeast"/>
              <w:ind w:firstLine="0" w:firstLineChars="0"/>
              <w:jc w:val="center"/>
              <w:rPr>
                <w:sz w:val="21"/>
              </w:rPr>
            </w:pPr>
            <w:r>
              <w:rPr>
                <w:rFonts w:hint="eastAsia"/>
                <w:sz w:val="21"/>
              </w:rPr>
              <w:t>压实后固化物容重</w:t>
            </w:r>
          </w:p>
        </w:tc>
        <w:tc>
          <w:tcPr>
            <w:tcW w:w="5652" w:type="dxa"/>
            <w:vAlign w:val="center"/>
          </w:tcPr>
          <w:p>
            <w:pPr>
              <w:autoSpaceDE w:val="0"/>
              <w:autoSpaceDN w:val="0"/>
              <w:adjustRightInd w:val="0"/>
              <w:snapToGrid w:val="0"/>
              <w:spacing w:line="240" w:lineRule="atLeast"/>
              <w:ind w:firstLine="0" w:firstLineChars="0"/>
              <w:jc w:val="center"/>
              <w:rPr>
                <w:sz w:val="21"/>
              </w:rPr>
            </w:pPr>
            <w:r>
              <w:rPr>
                <w:sz w:val="21"/>
              </w:rPr>
              <w:t>1.6t/m</w:t>
            </w:r>
            <w:r>
              <w:rPr>
                <w:sz w:val="21"/>
                <w:vertAlign w:val="superscript"/>
              </w:rPr>
              <w:t>3</w:t>
            </w:r>
          </w:p>
        </w:tc>
      </w:tr>
    </w:tbl>
    <w:p>
      <w:pPr>
        <w:ind w:firstLine="480"/>
        <w:rPr>
          <w:rFonts w:asciiTheme="minorEastAsia" w:hAnsiTheme="minorEastAsia" w:eastAsiaTheme="minorEastAsia"/>
          <w:szCs w:val="24"/>
        </w:rPr>
      </w:pPr>
    </w:p>
    <w:p>
      <w:pPr>
        <w:pStyle w:val="5"/>
      </w:pPr>
      <w:bookmarkStart w:id="251" w:name="_Toc13760155"/>
      <w:r>
        <w:rPr>
          <w:rFonts w:hint="eastAsia"/>
        </w:rPr>
        <w:t>4.7.2固化设备</w:t>
      </w:r>
      <w:bookmarkEnd w:id="251"/>
    </w:p>
    <w:p>
      <w:pPr>
        <w:pStyle w:val="161"/>
        <w:ind w:firstLine="480"/>
      </w:pPr>
      <w:r>
        <w:rPr>
          <w:rFonts w:hint="eastAsia"/>
        </w:rPr>
        <w:t>表</w:t>
      </w:r>
      <w:r>
        <w:t>4.</w:t>
      </w:r>
      <w:r>
        <w:rPr>
          <w:rFonts w:hint="eastAsia"/>
        </w:rPr>
        <w:t>7—2              固化稳定化工段主要设备一览表</w:t>
      </w:r>
    </w:p>
    <w:tbl>
      <w:tblPr>
        <w:tblStyle w:val="3412"/>
        <w:tblW w:w="5000"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08"/>
        <w:gridCol w:w="1243"/>
        <w:gridCol w:w="1980"/>
        <w:gridCol w:w="2669"/>
        <w:gridCol w:w="784"/>
        <w:gridCol w:w="680"/>
        <w:gridCol w:w="167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52" w:hRule="exact"/>
          <w:jc w:val="center"/>
        </w:trPr>
        <w:tc>
          <w:tcPr>
            <w:tcW w:w="572" w:type="dxa"/>
            <w:tcBorders>
              <w:top w:val="single" w:color="auto" w:sz="12" w:space="0"/>
              <w:bottom w:val="single" w:color="auto" w:sz="12" w:space="0"/>
            </w:tcBorders>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序号</w:t>
            </w:r>
          </w:p>
        </w:tc>
        <w:tc>
          <w:tcPr>
            <w:tcW w:w="3033" w:type="dxa"/>
            <w:gridSpan w:val="2"/>
            <w:tcBorders>
              <w:top w:val="single" w:color="auto" w:sz="12" w:space="0"/>
              <w:bottom w:val="single" w:color="auto" w:sz="12" w:space="0"/>
            </w:tcBorders>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名称</w:t>
            </w:r>
          </w:p>
        </w:tc>
        <w:tc>
          <w:tcPr>
            <w:tcW w:w="2512" w:type="dxa"/>
            <w:tcBorders>
              <w:top w:val="single" w:color="auto" w:sz="12" w:space="0"/>
              <w:bottom w:val="single" w:color="auto" w:sz="12" w:space="0"/>
            </w:tcBorders>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型号及规格</w:t>
            </w:r>
          </w:p>
        </w:tc>
        <w:tc>
          <w:tcPr>
            <w:tcW w:w="738" w:type="dxa"/>
            <w:tcBorders>
              <w:top w:val="single" w:color="auto" w:sz="12" w:space="0"/>
              <w:bottom w:val="single" w:color="auto" w:sz="12" w:space="0"/>
            </w:tcBorders>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单位</w:t>
            </w:r>
          </w:p>
        </w:tc>
        <w:tc>
          <w:tcPr>
            <w:tcW w:w="640" w:type="dxa"/>
            <w:tcBorders>
              <w:top w:val="single" w:color="auto" w:sz="12" w:space="0"/>
              <w:bottom w:val="single" w:color="auto" w:sz="12" w:space="0"/>
            </w:tcBorders>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数量</w:t>
            </w:r>
          </w:p>
        </w:tc>
        <w:tc>
          <w:tcPr>
            <w:tcW w:w="1575" w:type="dxa"/>
            <w:tcBorders>
              <w:top w:val="single" w:color="auto" w:sz="12" w:space="0"/>
              <w:bottom w:val="single" w:color="auto" w:sz="12" w:space="0"/>
            </w:tcBorders>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备注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restart"/>
            <w:tcBorders>
              <w:top w:val="single" w:color="auto" w:sz="12" w:space="0"/>
            </w:tcBorders>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1</w:t>
            </w:r>
          </w:p>
        </w:tc>
        <w:tc>
          <w:tcPr>
            <w:tcW w:w="1170" w:type="dxa"/>
            <w:vMerge w:val="restart"/>
            <w:tcBorders>
              <w:top w:val="single" w:color="auto" w:sz="12" w:space="0"/>
            </w:tcBorders>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粉料储存及输送系统</w:t>
            </w:r>
          </w:p>
        </w:tc>
        <w:tc>
          <w:tcPr>
            <w:tcW w:w="1863" w:type="dxa"/>
            <w:tcBorders>
              <w:top w:val="single" w:color="auto" w:sz="12" w:space="0"/>
            </w:tcBorders>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粉料仓</w:t>
            </w:r>
          </w:p>
        </w:tc>
        <w:tc>
          <w:tcPr>
            <w:tcW w:w="2512" w:type="dxa"/>
            <w:tcBorders>
              <w:top w:val="single" w:color="auto" w:sz="12" w:space="0"/>
            </w:tcBorders>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V=60m</w:t>
            </w:r>
            <w:r>
              <w:rPr>
                <w:rFonts w:cs="Times New Roman"/>
                <w:kern w:val="0"/>
                <w:sz w:val="21"/>
                <w:vertAlign w:val="superscript"/>
                <w:lang w:eastAsia="en-US"/>
              </w:rPr>
              <w:t>3</w:t>
            </w:r>
          </w:p>
        </w:tc>
        <w:tc>
          <w:tcPr>
            <w:tcW w:w="738" w:type="dxa"/>
            <w:tcBorders>
              <w:top w:val="single" w:color="auto" w:sz="12" w:space="0"/>
            </w:tcBorders>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台</w:t>
            </w:r>
          </w:p>
        </w:tc>
        <w:tc>
          <w:tcPr>
            <w:tcW w:w="640" w:type="dxa"/>
            <w:tcBorders>
              <w:top w:val="single" w:color="auto" w:sz="12" w:space="0"/>
            </w:tcBorders>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2</w:t>
            </w:r>
          </w:p>
        </w:tc>
        <w:tc>
          <w:tcPr>
            <w:tcW w:w="1575" w:type="dxa"/>
            <w:tcBorders>
              <w:top w:val="single" w:color="auto" w:sz="12" w:space="0"/>
            </w:tcBorders>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Q235 δ6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1"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真空释放阀</w:t>
            </w:r>
          </w:p>
        </w:tc>
        <w:tc>
          <w:tcPr>
            <w:tcW w:w="2512" w:type="dxa"/>
            <w:vAlign w:val="center"/>
          </w:tcPr>
          <w:p>
            <w:pPr>
              <w:pStyle w:val="191"/>
              <w:spacing w:line="240" w:lineRule="atLeast"/>
              <w:jc w:val="center"/>
              <w:rPr>
                <w:sz w:val="21"/>
                <w:szCs w:val="21"/>
                <w:lang w:eastAsia="en-US"/>
              </w:rPr>
            </w:pPr>
            <w:r>
              <w:rPr>
                <w:sz w:val="21"/>
                <w:szCs w:val="21"/>
                <w:lang w:eastAsia="en-US"/>
              </w:rPr>
              <w:t>VCP2731D</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件</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维埃姆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手动插板阀</w:t>
            </w:r>
          </w:p>
        </w:tc>
        <w:tc>
          <w:tcPr>
            <w:tcW w:w="2512" w:type="dxa"/>
            <w:vAlign w:val="center"/>
          </w:tcPr>
          <w:p>
            <w:pPr>
              <w:pStyle w:val="191"/>
              <w:spacing w:line="240" w:lineRule="atLeast"/>
              <w:jc w:val="center"/>
              <w:rPr>
                <w:sz w:val="21"/>
                <w:szCs w:val="21"/>
                <w:lang w:eastAsia="en-US"/>
              </w:rPr>
            </w:pPr>
          </w:p>
          <w:p>
            <w:pPr>
              <w:pStyle w:val="191"/>
              <w:spacing w:line="240" w:lineRule="atLeast"/>
              <w:jc w:val="center"/>
              <w:rPr>
                <w:sz w:val="21"/>
                <w:szCs w:val="21"/>
                <w:lang w:eastAsia="en-US"/>
              </w:rPr>
            </w:pPr>
            <w:r>
              <w:rPr>
                <w:sz w:val="21"/>
                <w:szCs w:val="21"/>
                <w:lang w:eastAsia="en-US"/>
              </w:rPr>
              <w:t>DN250</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件</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不锈钢刀闸版型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3"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高低料位计</w:t>
            </w:r>
          </w:p>
        </w:tc>
        <w:tc>
          <w:tcPr>
            <w:tcW w:w="2512" w:type="dxa"/>
            <w:vAlign w:val="center"/>
          </w:tcPr>
          <w:p>
            <w:pPr>
              <w:pStyle w:val="191"/>
              <w:spacing w:line="240" w:lineRule="atLeast"/>
              <w:jc w:val="center"/>
              <w:rPr>
                <w:sz w:val="21"/>
                <w:szCs w:val="21"/>
                <w:lang w:eastAsia="en-US"/>
              </w:rPr>
            </w:pPr>
            <w:r>
              <w:rPr>
                <w:sz w:val="21"/>
                <w:szCs w:val="21"/>
                <w:lang w:eastAsia="en-US"/>
              </w:rPr>
              <w:t>SE120BGMB0250</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件</w:t>
            </w:r>
          </w:p>
        </w:tc>
        <w:tc>
          <w:tcPr>
            <w:tcW w:w="640" w:type="dxa"/>
            <w:vAlign w:val="center"/>
          </w:tcPr>
          <w:p>
            <w:pPr>
              <w:pStyle w:val="191"/>
              <w:spacing w:line="240" w:lineRule="atLeast"/>
              <w:jc w:val="center"/>
              <w:rPr>
                <w:sz w:val="21"/>
                <w:szCs w:val="21"/>
                <w:lang w:eastAsia="en-US"/>
              </w:rPr>
            </w:pPr>
            <w:r>
              <w:rPr>
                <w:sz w:val="21"/>
                <w:szCs w:val="21"/>
                <w:lang w:eastAsia="en-US"/>
              </w:rPr>
              <w:t>4</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上海凡宜</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9"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气力破拱</w:t>
            </w:r>
          </w:p>
        </w:tc>
        <w:tc>
          <w:tcPr>
            <w:tcW w:w="2512" w:type="dxa"/>
            <w:vAlign w:val="center"/>
          </w:tcPr>
          <w:p>
            <w:pPr>
              <w:pStyle w:val="191"/>
              <w:spacing w:line="240" w:lineRule="atLeast"/>
              <w:jc w:val="center"/>
              <w:rPr>
                <w:sz w:val="21"/>
                <w:szCs w:val="21"/>
                <w:lang w:eastAsia="en-US"/>
              </w:rPr>
            </w:pPr>
            <w:r>
              <w:rPr>
                <w:sz w:val="21"/>
                <w:szCs w:val="21"/>
                <w:lang w:eastAsia="en-US"/>
              </w:rPr>
              <w:t xml:space="preserve">3 </w:t>
            </w:r>
            <w:r>
              <w:rPr>
                <w:rFonts w:hAnsi="宋体"/>
                <w:sz w:val="21"/>
                <w:szCs w:val="21"/>
                <w:lang w:eastAsia="en-US"/>
              </w:rPr>
              <w:t>点</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流化装置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1"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机械装置</w:t>
            </w:r>
          </w:p>
        </w:tc>
        <w:tc>
          <w:tcPr>
            <w:tcW w:w="2512" w:type="dxa"/>
            <w:vAlign w:val="center"/>
          </w:tcPr>
          <w:p>
            <w:pPr>
              <w:pStyle w:val="191"/>
              <w:spacing w:line="240" w:lineRule="atLeast"/>
              <w:jc w:val="center"/>
              <w:rPr>
                <w:sz w:val="21"/>
                <w:szCs w:val="21"/>
                <w:lang w:eastAsia="en-US"/>
              </w:rPr>
            </w:pPr>
            <w:r>
              <w:rPr>
                <w:sz w:val="21"/>
                <w:szCs w:val="21"/>
                <w:lang w:eastAsia="en-US"/>
              </w:rPr>
              <w:t>N=0.09kW</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振动器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螺旋输送机</w:t>
            </w:r>
          </w:p>
        </w:tc>
        <w:tc>
          <w:tcPr>
            <w:tcW w:w="2512" w:type="dxa"/>
            <w:vAlign w:val="center"/>
          </w:tcPr>
          <w:p>
            <w:pPr>
              <w:pStyle w:val="191"/>
              <w:spacing w:line="240" w:lineRule="atLeast"/>
              <w:jc w:val="center"/>
              <w:rPr>
                <w:sz w:val="21"/>
                <w:szCs w:val="21"/>
                <w:lang w:eastAsia="en-US"/>
              </w:rPr>
            </w:pPr>
            <w:r>
              <w:rPr>
                <w:sz w:val="21"/>
                <w:szCs w:val="21"/>
                <w:lang w:eastAsia="en-US"/>
              </w:rPr>
              <w:t>DN273</w:t>
            </w:r>
            <w:r>
              <w:rPr>
                <w:rFonts w:hAnsi="宋体"/>
                <w:sz w:val="21"/>
                <w:szCs w:val="21"/>
                <w:lang w:eastAsia="en-US"/>
              </w:rPr>
              <w:t>，</w:t>
            </w:r>
            <w:r>
              <w:rPr>
                <w:sz w:val="21"/>
                <w:szCs w:val="21"/>
                <w:lang w:eastAsia="en-US"/>
              </w:rPr>
              <w:t>N=11kW</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9"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粉料输送泵</w:t>
            </w:r>
          </w:p>
        </w:tc>
        <w:tc>
          <w:tcPr>
            <w:tcW w:w="2512" w:type="dxa"/>
            <w:vAlign w:val="center"/>
          </w:tcPr>
          <w:p>
            <w:pPr>
              <w:pStyle w:val="191"/>
              <w:spacing w:line="240" w:lineRule="atLeast"/>
              <w:jc w:val="center"/>
              <w:rPr>
                <w:sz w:val="21"/>
                <w:szCs w:val="21"/>
                <w:lang w:eastAsia="en-US"/>
              </w:rPr>
            </w:pPr>
            <w:r>
              <w:rPr>
                <w:sz w:val="21"/>
                <w:szCs w:val="21"/>
                <w:lang w:eastAsia="en-US"/>
              </w:rPr>
              <w:t>FD-8-G</w:t>
            </w:r>
            <w:r>
              <w:rPr>
                <w:rFonts w:hAnsi="宋体"/>
                <w:sz w:val="21"/>
                <w:szCs w:val="21"/>
                <w:lang w:eastAsia="en-US"/>
              </w:rPr>
              <w:t>，</w:t>
            </w:r>
            <w:r>
              <w:rPr>
                <w:sz w:val="21"/>
                <w:szCs w:val="21"/>
                <w:lang w:eastAsia="en-US"/>
              </w:rPr>
              <w:t>N=30kW</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8"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彩板房</w:t>
            </w:r>
          </w:p>
        </w:tc>
        <w:tc>
          <w:tcPr>
            <w:tcW w:w="2512" w:type="dxa"/>
            <w:vAlign w:val="center"/>
          </w:tcPr>
          <w:p>
            <w:pPr>
              <w:pStyle w:val="191"/>
              <w:spacing w:line="240" w:lineRule="atLeast"/>
              <w:jc w:val="center"/>
              <w:rPr>
                <w:sz w:val="21"/>
                <w:szCs w:val="21"/>
                <w:lang w:eastAsia="en-US"/>
              </w:rPr>
            </w:pPr>
            <w:r>
              <w:rPr>
                <w:sz w:val="21"/>
                <w:szCs w:val="21"/>
                <w:lang w:eastAsia="en-US"/>
              </w:rPr>
              <w:t>4000mm*3500mm*4000mm</w:t>
            </w:r>
          </w:p>
          <w:p>
            <w:pPr>
              <w:pStyle w:val="191"/>
              <w:spacing w:line="240" w:lineRule="atLeast"/>
              <w:jc w:val="center"/>
              <w:rPr>
                <w:sz w:val="21"/>
                <w:szCs w:val="21"/>
                <w:lang w:eastAsia="en-US"/>
              </w:rPr>
            </w:pPr>
            <w:r>
              <w:rPr>
                <w:rFonts w:hAnsi="宋体"/>
                <w:sz w:val="21"/>
                <w:szCs w:val="21"/>
                <w:lang w:eastAsia="en-US"/>
              </w:rPr>
              <w:t>板材厚度</w:t>
            </w:r>
            <w:r>
              <w:rPr>
                <w:sz w:val="21"/>
                <w:szCs w:val="21"/>
                <w:lang w:eastAsia="en-US"/>
              </w:rPr>
              <w:t>δ≥0.35mm</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间</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restart"/>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2</w:t>
            </w:r>
          </w:p>
        </w:tc>
        <w:tc>
          <w:tcPr>
            <w:tcW w:w="1170" w:type="dxa"/>
            <w:vMerge w:val="restart"/>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粉料计量系统</w:t>
            </w:r>
          </w:p>
        </w:tc>
        <w:tc>
          <w:tcPr>
            <w:tcW w:w="1863"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粉料秤</w:t>
            </w:r>
          </w:p>
        </w:tc>
        <w:tc>
          <w:tcPr>
            <w:tcW w:w="2512"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2m³/1.5m³/δ4</w:t>
            </w:r>
          </w:p>
        </w:tc>
        <w:tc>
          <w:tcPr>
            <w:tcW w:w="738"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台</w:t>
            </w:r>
          </w:p>
        </w:tc>
        <w:tc>
          <w:tcPr>
            <w:tcW w:w="640"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2</w:t>
            </w:r>
          </w:p>
        </w:tc>
        <w:tc>
          <w:tcPr>
            <w:tcW w:w="1575"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不锈钢</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振动器</w:t>
            </w:r>
          </w:p>
        </w:tc>
        <w:tc>
          <w:tcPr>
            <w:tcW w:w="2512" w:type="dxa"/>
            <w:vAlign w:val="center"/>
          </w:tcPr>
          <w:p>
            <w:pPr>
              <w:pStyle w:val="191"/>
              <w:spacing w:line="240" w:lineRule="atLeast"/>
              <w:jc w:val="center"/>
              <w:rPr>
                <w:sz w:val="21"/>
                <w:szCs w:val="21"/>
                <w:lang w:eastAsia="en-US"/>
              </w:rPr>
            </w:pPr>
            <w:r>
              <w:rPr>
                <w:sz w:val="21"/>
                <w:szCs w:val="21"/>
                <w:lang w:eastAsia="en-US"/>
              </w:rPr>
              <w:t>N=0.03kW</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sz w:val="21"/>
                <w:szCs w:val="21"/>
                <w:lang w:eastAsia="en-US"/>
              </w:rPr>
              <w:t>ZD-1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卸料阀门</w:t>
            </w:r>
          </w:p>
        </w:tc>
        <w:tc>
          <w:tcPr>
            <w:tcW w:w="2512" w:type="dxa"/>
            <w:vAlign w:val="center"/>
          </w:tcPr>
          <w:p>
            <w:pPr>
              <w:pStyle w:val="191"/>
              <w:spacing w:line="240" w:lineRule="atLeast"/>
              <w:jc w:val="center"/>
              <w:rPr>
                <w:sz w:val="21"/>
                <w:szCs w:val="21"/>
                <w:lang w:eastAsia="en-US"/>
              </w:rPr>
            </w:pPr>
            <w:r>
              <w:rPr>
                <w:sz w:val="21"/>
                <w:szCs w:val="21"/>
                <w:lang w:eastAsia="en-US"/>
              </w:rPr>
              <w:t>DN400/300</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传感器</w:t>
            </w:r>
          </w:p>
        </w:tc>
        <w:tc>
          <w:tcPr>
            <w:tcW w:w="2512" w:type="dxa"/>
            <w:vAlign w:val="center"/>
          </w:tcPr>
          <w:p>
            <w:pPr>
              <w:pStyle w:val="191"/>
              <w:spacing w:line="240" w:lineRule="atLeast"/>
              <w:jc w:val="center"/>
              <w:rPr>
                <w:sz w:val="21"/>
                <w:szCs w:val="21"/>
                <w:lang w:eastAsia="en-US"/>
              </w:rPr>
            </w:pPr>
            <w:r>
              <w:rPr>
                <w:sz w:val="21"/>
                <w:szCs w:val="21"/>
                <w:lang w:eastAsia="en-US"/>
              </w:rPr>
              <w:t>500kg</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支</w:t>
            </w:r>
          </w:p>
        </w:tc>
        <w:tc>
          <w:tcPr>
            <w:tcW w:w="640" w:type="dxa"/>
            <w:vAlign w:val="center"/>
          </w:tcPr>
          <w:p>
            <w:pPr>
              <w:pStyle w:val="191"/>
              <w:spacing w:line="240" w:lineRule="atLeast"/>
              <w:jc w:val="center"/>
              <w:rPr>
                <w:sz w:val="21"/>
                <w:szCs w:val="21"/>
                <w:lang w:eastAsia="en-US"/>
              </w:rPr>
            </w:pPr>
            <w:r>
              <w:rPr>
                <w:sz w:val="21"/>
                <w:szCs w:val="21"/>
                <w:lang w:eastAsia="en-US"/>
              </w:rPr>
              <w:t>3</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托利多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3"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传感器</w:t>
            </w:r>
          </w:p>
        </w:tc>
        <w:tc>
          <w:tcPr>
            <w:tcW w:w="2512" w:type="dxa"/>
            <w:vAlign w:val="center"/>
          </w:tcPr>
          <w:p>
            <w:pPr>
              <w:pStyle w:val="191"/>
              <w:spacing w:line="240" w:lineRule="atLeast"/>
              <w:jc w:val="center"/>
              <w:rPr>
                <w:sz w:val="21"/>
                <w:szCs w:val="21"/>
                <w:lang w:eastAsia="en-US"/>
              </w:rPr>
            </w:pPr>
            <w:r>
              <w:rPr>
                <w:sz w:val="21"/>
                <w:szCs w:val="21"/>
                <w:lang w:eastAsia="en-US"/>
              </w:rPr>
              <w:t>300kg</w:t>
            </w:r>
            <w:r>
              <w:rPr>
                <w:rFonts w:hAnsi="宋体"/>
                <w:sz w:val="21"/>
                <w:szCs w:val="21"/>
                <w:lang w:eastAsia="en-US"/>
              </w:rPr>
              <w:t>，静态精度</w:t>
            </w:r>
            <w:r>
              <w:rPr>
                <w:sz w:val="21"/>
                <w:szCs w:val="21"/>
                <w:lang w:eastAsia="en-US"/>
              </w:rPr>
              <w:t>±1%</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支</w:t>
            </w:r>
          </w:p>
        </w:tc>
        <w:tc>
          <w:tcPr>
            <w:tcW w:w="640" w:type="dxa"/>
            <w:vAlign w:val="center"/>
          </w:tcPr>
          <w:p>
            <w:pPr>
              <w:pStyle w:val="191"/>
              <w:spacing w:line="240" w:lineRule="atLeast"/>
              <w:jc w:val="center"/>
              <w:rPr>
                <w:sz w:val="21"/>
                <w:szCs w:val="21"/>
                <w:lang w:eastAsia="en-US"/>
              </w:rPr>
            </w:pPr>
            <w:r>
              <w:rPr>
                <w:sz w:val="21"/>
                <w:szCs w:val="21"/>
                <w:lang w:eastAsia="en-US"/>
              </w:rPr>
              <w:t>3</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托利多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1"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称重仪表</w:t>
            </w:r>
          </w:p>
        </w:tc>
        <w:tc>
          <w:tcPr>
            <w:tcW w:w="2512" w:type="dxa"/>
            <w:vAlign w:val="center"/>
          </w:tcPr>
          <w:p>
            <w:pPr>
              <w:pStyle w:val="191"/>
              <w:spacing w:line="240" w:lineRule="atLeast"/>
              <w:jc w:val="center"/>
              <w:rPr>
                <w:sz w:val="21"/>
                <w:szCs w:val="21"/>
                <w:lang w:eastAsia="en-US"/>
              </w:rPr>
            </w:pPr>
            <w:r>
              <w:rPr>
                <w:sz w:val="21"/>
                <w:szCs w:val="21"/>
                <w:lang w:eastAsia="en-US"/>
              </w:rPr>
              <w:t>IND320</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托利多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7" w:hRule="exact"/>
          <w:jc w:val="center"/>
        </w:trPr>
        <w:tc>
          <w:tcPr>
            <w:tcW w:w="572" w:type="dxa"/>
            <w:vMerge w:val="restart"/>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3</w:t>
            </w:r>
          </w:p>
        </w:tc>
        <w:tc>
          <w:tcPr>
            <w:tcW w:w="1170" w:type="dxa"/>
            <w:vMerge w:val="restart"/>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液剂储存及计量系统</w:t>
            </w:r>
          </w:p>
        </w:tc>
        <w:tc>
          <w:tcPr>
            <w:tcW w:w="1863"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卸车泵</w:t>
            </w:r>
          </w:p>
        </w:tc>
        <w:tc>
          <w:tcPr>
            <w:tcW w:w="2512"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N=0.55kW</w:t>
            </w:r>
            <w:r>
              <w:rPr>
                <w:rFonts w:hAnsi="宋体" w:cs="Times New Roman"/>
                <w:kern w:val="0"/>
                <w:sz w:val="21"/>
                <w:lang w:eastAsia="en-US"/>
              </w:rPr>
              <w:t>，</w:t>
            </w:r>
            <w:r>
              <w:rPr>
                <w:rFonts w:cs="Times New Roman"/>
                <w:kern w:val="0"/>
                <w:sz w:val="21"/>
                <w:lang w:eastAsia="en-US"/>
              </w:rPr>
              <w:t xml:space="preserve">304 </w:t>
            </w:r>
            <w:r>
              <w:rPr>
                <w:rFonts w:hAnsi="宋体" w:cs="Times New Roman"/>
                <w:kern w:val="0"/>
                <w:sz w:val="21"/>
                <w:lang w:eastAsia="en-US"/>
              </w:rPr>
              <w:t>不锈钢</w:t>
            </w:r>
          </w:p>
        </w:tc>
        <w:tc>
          <w:tcPr>
            <w:tcW w:w="738"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台</w:t>
            </w:r>
          </w:p>
        </w:tc>
        <w:tc>
          <w:tcPr>
            <w:tcW w:w="640"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东方泵业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9"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螯合剂储罐</w:t>
            </w:r>
          </w:p>
        </w:tc>
        <w:tc>
          <w:tcPr>
            <w:tcW w:w="2512" w:type="dxa"/>
            <w:vAlign w:val="center"/>
          </w:tcPr>
          <w:p>
            <w:pPr>
              <w:pStyle w:val="191"/>
              <w:spacing w:line="240" w:lineRule="atLeast"/>
              <w:jc w:val="center"/>
              <w:rPr>
                <w:sz w:val="21"/>
                <w:szCs w:val="21"/>
                <w:lang w:eastAsia="en-US"/>
              </w:rPr>
            </w:pPr>
            <w:r>
              <w:rPr>
                <w:rFonts w:hAnsi="宋体"/>
                <w:sz w:val="21"/>
                <w:szCs w:val="21"/>
                <w:lang w:eastAsia="en-US"/>
              </w:rPr>
              <w:t>带搅拌器，</w:t>
            </w:r>
            <w:r>
              <w:rPr>
                <w:sz w:val="21"/>
                <w:szCs w:val="21"/>
                <w:lang w:eastAsia="en-US"/>
              </w:rPr>
              <w:t>V=2m³</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不锈钢</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5"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水箱</w:t>
            </w:r>
          </w:p>
        </w:tc>
        <w:tc>
          <w:tcPr>
            <w:tcW w:w="2512" w:type="dxa"/>
            <w:vAlign w:val="center"/>
          </w:tcPr>
          <w:p>
            <w:pPr>
              <w:pStyle w:val="191"/>
              <w:spacing w:line="240" w:lineRule="atLeast"/>
              <w:jc w:val="center"/>
              <w:rPr>
                <w:sz w:val="21"/>
                <w:szCs w:val="21"/>
                <w:lang w:eastAsia="en-US"/>
              </w:rPr>
            </w:pPr>
            <w:r>
              <w:rPr>
                <w:sz w:val="21"/>
                <w:szCs w:val="21"/>
                <w:lang w:eastAsia="en-US"/>
              </w:rPr>
              <w:t>V=2m</w:t>
            </w:r>
            <w:r>
              <w:rPr>
                <w:sz w:val="21"/>
                <w:szCs w:val="21"/>
                <w:vertAlign w:val="superscript"/>
                <w:lang w:eastAsia="en-US"/>
              </w:rPr>
              <w:t>3</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不锈钢</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31"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磁翻板液位计</w:t>
            </w:r>
          </w:p>
        </w:tc>
        <w:tc>
          <w:tcPr>
            <w:tcW w:w="2512" w:type="dxa"/>
            <w:vAlign w:val="center"/>
          </w:tcPr>
          <w:p>
            <w:pPr>
              <w:pStyle w:val="191"/>
              <w:spacing w:line="240" w:lineRule="atLeast"/>
              <w:jc w:val="center"/>
              <w:rPr>
                <w:sz w:val="21"/>
                <w:szCs w:val="21"/>
                <w:lang w:eastAsia="en-US"/>
              </w:rPr>
            </w:pPr>
            <w:r>
              <w:rPr>
                <w:sz w:val="21"/>
                <w:szCs w:val="21"/>
                <w:lang w:eastAsia="en-US"/>
              </w:rPr>
              <w:t>UHZ3021/</w:t>
            </w:r>
            <w:r>
              <w:rPr>
                <w:rFonts w:hAnsi="宋体"/>
                <w:sz w:val="21"/>
                <w:szCs w:val="21"/>
                <w:lang w:eastAsia="en-US"/>
              </w:rPr>
              <w:t>材质</w:t>
            </w:r>
            <w:r>
              <w:rPr>
                <w:sz w:val="21"/>
                <w:szCs w:val="21"/>
                <w:lang w:eastAsia="en-US"/>
              </w:rPr>
              <w:t xml:space="preserve"> 316</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3</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3"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药剂输送泵</w:t>
            </w:r>
          </w:p>
        </w:tc>
        <w:tc>
          <w:tcPr>
            <w:tcW w:w="2512" w:type="dxa"/>
            <w:vAlign w:val="center"/>
          </w:tcPr>
          <w:p>
            <w:pPr>
              <w:pStyle w:val="191"/>
              <w:spacing w:line="240" w:lineRule="atLeast"/>
              <w:jc w:val="center"/>
              <w:rPr>
                <w:sz w:val="21"/>
                <w:szCs w:val="21"/>
                <w:lang w:eastAsia="en-US"/>
              </w:rPr>
            </w:pPr>
            <w:r>
              <w:rPr>
                <w:sz w:val="21"/>
                <w:szCs w:val="21"/>
                <w:lang w:eastAsia="en-US"/>
              </w:rPr>
              <w:t>MS250/0.55</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4</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东方泵业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水泵</w:t>
            </w:r>
          </w:p>
        </w:tc>
        <w:tc>
          <w:tcPr>
            <w:tcW w:w="2512" w:type="dxa"/>
            <w:vAlign w:val="center"/>
          </w:tcPr>
          <w:p>
            <w:pPr>
              <w:pStyle w:val="191"/>
              <w:spacing w:line="240" w:lineRule="atLeast"/>
              <w:jc w:val="center"/>
              <w:rPr>
                <w:sz w:val="21"/>
                <w:szCs w:val="21"/>
                <w:lang w:eastAsia="en-US"/>
              </w:rPr>
            </w:pPr>
            <w:r>
              <w:rPr>
                <w:sz w:val="21"/>
                <w:szCs w:val="21"/>
                <w:lang w:eastAsia="en-US"/>
              </w:rPr>
              <w:t>MS250/0.55</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东方泵业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89"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药剂称重罐</w:t>
            </w:r>
          </w:p>
        </w:tc>
        <w:tc>
          <w:tcPr>
            <w:tcW w:w="2512" w:type="dxa"/>
            <w:vAlign w:val="center"/>
          </w:tcPr>
          <w:p>
            <w:pPr>
              <w:pStyle w:val="191"/>
              <w:spacing w:line="240" w:lineRule="atLeast"/>
              <w:jc w:val="center"/>
              <w:rPr>
                <w:sz w:val="21"/>
                <w:szCs w:val="21"/>
                <w:lang w:eastAsia="en-US"/>
              </w:rPr>
            </w:pPr>
            <w:r>
              <w:rPr>
                <w:rFonts w:hAnsi="宋体"/>
                <w:sz w:val="21"/>
                <w:szCs w:val="21"/>
                <w:lang w:eastAsia="en-US"/>
              </w:rPr>
              <w:t>材质</w:t>
            </w:r>
            <w:r>
              <w:rPr>
                <w:sz w:val="21"/>
                <w:szCs w:val="21"/>
                <w:lang w:eastAsia="en-US"/>
              </w:rPr>
              <w:t xml:space="preserve"> 304 </w:t>
            </w:r>
            <w:r>
              <w:rPr>
                <w:rFonts w:hAnsi="宋体"/>
                <w:sz w:val="21"/>
                <w:szCs w:val="21"/>
                <w:lang w:eastAsia="en-US"/>
              </w:rPr>
              <w:t>不锈钢</w:t>
            </w:r>
            <w:r>
              <w:rPr>
                <w:sz w:val="21"/>
                <w:szCs w:val="21"/>
                <w:lang w:eastAsia="en-US"/>
              </w:rPr>
              <w:t>/δ4</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sz w:val="21"/>
                <w:szCs w:val="21"/>
                <w:lang w:eastAsia="en-US"/>
              </w:rPr>
              <w:t>1.5m</w:t>
            </w:r>
            <w:r>
              <w:rPr>
                <w:sz w:val="21"/>
                <w:szCs w:val="21"/>
                <w:vertAlign w:val="superscript"/>
                <w:lang w:eastAsia="en-US"/>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5"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药剂称重传感器</w:t>
            </w:r>
          </w:p>
        </w:tc>
        <w:tc>
          <w:tcPr>
            <w:tcW w:w="2512" w:type="dxa"/>
            <w:vAlign w:val="center"/>
          </w:tcPr>
          <w:p>
            <w:pPr>
              <w:pStyle w:val="191"/>
              <w:spacing w:line="240" w:lineRule="atLeast"/>
              <w:jc w:val="center"/>
              <w:rPr>
                <w:sz w:val="21"/>
                <w:szCs w:val="21"/>
                <w:lang w:eastAsia="en-US"/>
              </w:rPr>
            </w:pPr>
            <w:r>
              <w:rPr>
                <w:sz w:val="21"/>
                <w:szCs w:val="21"/>
                <w:lang w:eastAsia="en-US"/>
              </w:rPr>
              <w:t>1000kg</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支</w:t>
            </w:r>
          </w:p>
        </w:tc>
        <w:tc>
          <w:tcPr>
            <w:tcW w:w="640" w:type="dxa"/>
            <w:vAlign w:val="center"/>
          </w:tcPr>
          <w:p>
            <w:pPr>
              <w:pStyle w:val="191"/>
              <w:spacing w:line="240" w:lineRule="atLeast"/>
              <w:jc w:val="center"/>
              <w:rPr>
                <w:sz w:val="21"/>
                <w:szCs w:val="21"/>
                <w:lang w:eastAsia="en-US"/>
              </w:rPr>
            </w:pPr>
            <w:r>
              <w:rPr>
                <w:sz w:val="21"/>
                <w:szCs w:val="21"/>
                <w:lang w:eastAsia="en-US"/>
              </w:rPr>
              <w:t>3</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托利多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药剂称重仪表</w:t>
            </w:r>
          </w:p>
        </w:tc>
        <w:tc>
          <w:tcPr>
            <w:tcW w:w="2512" w:type="dxa"/>
            <w:vAlign w:val="center"/>
          </w:tcPr>
          <w:p>
            <w:pPr>
              <w:pStyle w:val="191"/>
              <w:spacing w:line="240" w:lineRule="atLeast"/>
              <w:jc w:val="center"/>
              <w:rPr>
                <w:sz w:val="21"/>
                <w:szCs w:val="21"/>
                <w:lang w:eastAsia="en-US"/>
              </w:rPr>
            </w:pPr>
            <w:r>
              <w:rPr>
                <w:sz w:val="21"/>
                <w:szCs w:val="21"/>
                <w:lang w:eastAsia="en-US"/>
              </w:rPr>
              <w:t>IND320</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托利多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增压泵</w:t>
            </w:r>
          </w:p>
        </w:tc>
        <w:tc>
          <w:tcPr>
            <w:tcW w:w="2512" w:type="dxa"/>
            <w:vAlign w:val="center"/>
          </w:tcPr>
          <w:p>
            <w:pPr>
              <w:pStyle w:val="191"/>
              <w:spacing w:line="240" w:lineRule="atLeast"/>
              <w:jc w:val="center"/>
              <w:rPr>
                <w:sz w:val="21"/>
                <w:szCs w:val="21"/>
                <w:lang w:eastAsia="en-US"/>
              </w:rPr>
            </w:pPr>
            <w:r>
              <w:rPr>
                <w:sz w:val="21"/>
                <w:szCs w:val="21"/>
                <w:lang w:eastAsia="en-US"/>
              </w:rPr>
              <w:t>MS250/0.37</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东方泵业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85"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卸料阀门</w:t>
            </w:r>
          </w:p>
        </w:tc>
        <w:tc>
          <w:tcPr>
            <w:tcW w:w="2512" w:type="dxa"/>
            <w:vAlign w:val="center"/>
          </w:tcPr>
          <w:p>
            <w:pPr>
              <w:pStyle w:val="191"/>
              <w:spacing w:line="240" w:lineRule="atLeast"/>
              <w:jc w:val="center"/>
              <w:rPr>
                <w:sz w:val="21"/>
                <w:szCs w:val="21"/>
                <w:lang w:eastAsia="en-US"/>
              </w:rPr>
            </w:pPr>
            <w:r>
              <w:rPr>
                <w:sz w:val="21"/>
                <w:szCs w:val="21"/>
                <w:lang w:eastAsia="en-US"/>
              </w:rPr>
              <w:t>DN40</w:t>
            </w:r>
            <w:r>
              <w:rPr>
                <w:rFonts w:hAnsi="宋体"/>
                <w:sz w:val="21"/>
                <w:szCs w:val="21"/>
                <w:lang w:eastAsia="en-US"/>
              </w:rPr>
              <w:t>，</w:t>
            </w:r>
            <w:r>
              <w:rPr>
                <w:sz w:val="21"/>
                <w:szCs w:val="21"/>
                <w:lang w:eastAsia="en-US"/>
              </w:rPr>
              <w:t>Q991F</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恒信流体</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63"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潜污泵</w:t>
            </w:r>
          </w:p>
        </w:tc>
        <w:tc>
          <w:tcPr>
            <w:tcW w:w="2512" w:type="dxa"/>
            <w:vAlign w:val="center"/>
          </w:tcPr>
          <w:p>
            <w:pPr>
              <w:pStyle w:val="191"/>
              <w:spacing w:line="240" w:lineRule="atLeast"/>
              <w:jc w:val="center"/>
              <w:rPr>
                <w:sz w:val="21"/>
                <w:szCs w:val="21"/>
                <w:lang w:eastAsia="en-US"/>
              </w:rPr>
            </w:pPr>
            <w:r>
              <w:rPr>
                <w:sz w:val="21"/>
                <w:szCs w:val="21"/>
                <w:lang w:eastAsia="en-US"/>
              </w:rPr>
              <w:t>N=1.5kw</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东方泵业，不锈钢</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71"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药剂管路系统</w:t>
            </w:r>
          </w:p>
        </w:tc>
        <w:tc>
          <w:tcPr>
            <w:tcW w:w="2512" w:type="dxa"/>
            <w:vAlign w:val="center"/>
          </w:tcPr>
          <w:p>
            <w:pPr>
              <w:pStyle w:val="191"/>
              <w:spacing w:line="240" w:lineRule="atLeast"/>
              <w:jc w:val="center"/>
              <w:rPr>
                <w:sz w:val="21"/>
                <w:szCs w:val="21"/>
                <w:lang w:eastAsia="en-US"/>
              </w:rPr>
            </w:pPr>
            <w:r>
              <w:rPr>
                <w:sz w:val="21"/>
                <w:szCs w:val="21"/>
                <w:lang w:eastAsia="en-US"/>
              </w:rPr>
              <w:t>PPR</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72"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水路供给系统</w:t>
            </w:r>
          </w:p>
        </w:tc>
        <w:tc>
          <w:tcPr>
            <w:tcW w:w="2512" w:type="dxa"/>
            <w:vAlign w:val="center"/>
          </w:tcPr>
          <w:p>
            <w:pPr>
              <w:pStyle w:val="191"/>
              <w:spacing w:line="240" w:lineRule="atLeast"/>
              <w:jc w:val="center"/>
              <w:rPr>
                <w:sz w:val="21"/>
                <w:szCs w:val="21"/>
                <w:lang w:eastAsia="en-US"/>
              </w:rPr>
            </w:pPr>
            <w:r>
              <w:rPr>
                <w:sz w:val="21"/>
                <w:szCs w:val="21"/>
                <w:lang w:eastAsia="en-US"/>
              </w:rPr>
              <w:t>PPR</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38" w:hRule="exact"/>
          <w:jc w:val="center"/>
        </w:trPr>
        <w:tc>
          <w:tcPr>
            <w:tcW w:w="572" w:type="dxa"/>
            <w:vMerge w:val="restart"/>
            <w:vAlign w:val="center"/>
          </w:tcPr>
          <w:p>
            <w:pPr>
              <w:spacing w:line="240" w:lineRule="atLeast"/>
              <w:ind w:firstLine="0" w:firstLineChars="0"/>
              <w:jc w:val="center"/>
              <w:rPr>
                <w:rFonts w:cs="Times New Roman"/>
                <w:kern w:val="0"/>
                <w:sz w:val="21"/>
                <w:lang w:eastAsia="en-US"/>
              </w:rPr>
            </w:pPr>
            <w:bookmarkStart w:id="252" w:name="_Hlk11759311"/>
            <w:r>
              <w:rPr>
                <w:rFonts w:cs="Times New Roman"/>
                <w:kern w:val="0"/>
                <w:sz w:val="21"/>
                <w:lang w:eastAsia="en-US"/>
              </w:rPr>
              <w:t>4</w:t>
            </w:r>
          </w:p>
        </w:tc>
        <w:tc>
          <w:tcPr>
            <w:tcW w:w="1170" w:type="dxa"/>
            <w:vMerge w:val="restart"/>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空气动力系统</w:t>
            </w:r>
          </w:p>
        </w:tc>
        <w:tc>
          <w:tcPr>
            <w:tcW w:w="1863"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储气罐</w:t>
            </w:r>
          </w:p>
        </w:tc>
        <w:tc>
          <w:tcPr>
            <w:tcW w:w="2512"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Q235</w:t>
            </w:r>
            <w:r>
              <w:rPr>
                <w:rFonts w:hAnsi="宋体" w:cs="Times New Roman"/>
                <w:kern w:val="0"/>
                <w:sz w:val="21"/>
                <w:lang w:eastAsia="en-US"/>
              </w:rPr>
              <w:t>，</w:t>
            </w:r>
            <w:r>
              <w:rPr>
                <w:rFonts w:cs="Times New Roman"/>
                <w:kern w:val="0"/>
                <w:sz w:val="21"/>
                <w:lang w:eastAsia="en-US"/>
              </w:rPr>
              <w:t>V=1m</w:t>
            </w:r>
            <w:r>
              <w:rPr>
                <w:rFonts w:cs="Times New Roman"/>
                <w:kern w:val="0"/>
                <w:sz w:val="21"/>
                <w:vertAlign w:val="superscript"/>
                <w:lang w:eastAsia="en-US"/>
              </w:rPr>
              <w:t>3</w:t>
            </w:r>
          </w:p>
        </w:tc>
        <w:tc>
          <w:tcPr>
            <w:tcW w:w="738"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台</w:t>
            </w:r>
          </w:p>
        </w:tc>
        <w:tc>
          <w:tcPr>
            <w:tcW w:w="640"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2</w:t>
            </w:r>
          </w:p>
        </w:tc>
        <w:tc>
          <w:tcPr>
            <w:tcW w:w="1575"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S-1/8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空压机</w:t>
            </w:r>
          </w:p>
        </w:tc>
        <w:tc>
          <w:tcPr>
            <w:tcW w:w="2512" w:type="dxa"/>
            <w:vAlign w:val="center"/>
          </w:tcPr>
          <w:p>
            <w:pPr>
              <w:pStyle w:val="191"/>
              <w:spacing w:line="240" w:lineRule="atLeast"/>
              <w:jc w:val="center"/>
              <w:rPr>
                <w:sz w:val="21"/>
                <w:szCs w:val="21"/>
                <w:lang w:eastAsia="en-US"/>
              </w:rPr>
            </w:pPr>
            <w:r>
              <w:rPr>
                <w:sz w:val="21"/>
                <w:szCs w:val="21"/>
                <w:lang w:eastAsia="en-US"/>
              </w:rPr>
              <w:t>N=15kw</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sz w:val="21"/>
                <w:szCs w:val="21"/>
                <w:lang w:eastAsia="en-US"/>
              </w:rPr>
              <w:t>SE30AD-8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7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管路及附件</w:t>
            </w:r>
          </w:p>
        </w:tc>
        <w:tc>
          <w:tcPr>
            <w:tcW w:w="2512" w:type="dxa"/>
            <w:vAlign w:val="center"/>
          </w:tcPr>
          <w:p>
            <w:pPr>
              <w:pStyle w:val="191"/>
              <w:spacing w:line="240" w:lineRule="atLeast"/>
              <w:jc w:val="center"/>
              <w:rPr>
                <w:sz w:val="21"/>
                <w:szCs w:val="21"/>
                <w:lang w:eastAsia="en-US"/>
              </w:rPr>
            </w:pPr>
            <w:r>
              <w:rPr>
                <w:sz w:val="21"/>
                <w:szCs w:val="21"/>
                <w:lang w:eastAsia="en-US"/>
              </w:rPr>
              <w:t>DN25/DN12</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6" w:hRule="exact"/>
          <w:jc w:val="center"/>
        </w:trPr>
        <w:tc>
          <w:tcPr>
            <w:tcW w:w="572" w:type="dxa"/>
            <w:vMerge w:val="restart"/>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5</w:t>
            </w:r>
          </w:p>
        </w:tc>
        <w:tc>
          <w:tcPr>
            <w:tcW w:w="1170" w:type="dxa"/>
            <w:vMerge w:val="restart"/>
            <w:vAlign w:val="center"/>
          </w:tcPr>
          <w:p>
            <w:pPr>
              <w:spacing w:line="240" w:lineRule="atLeast"/>
              <w:ind w:firstLine="0" w:firstLineChars="0"/>
              <w:jc w:val="center"/>
              <w:rPr>
                <w:rFonts w:cs="Times New Roman"/>
                <w:kern w:val="0"/>
                <w:sz w:val="21"/>
                <w:lang w:eastAsia="zh-CN"/>
              </w:rPr>
            </w:pPr>
            <w:r>
              <w:rPr>
                <w:rFonts w:hAnsi="宋体" w:cs="Times New Roman"/>
                <w:kern w:val="0"/>
                <w:sz w:val="21"/>
                <w:lang w:eastAsia="zh-CN"/>
              </w:rPr>
              <w:t>固态、半固态废料输送及计量系统</w:t>
            </w:r>
          </w:p>
        </w:tc>
        <w:tc>
          <w:tcPr>
            <w:tcW w:w="1863"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固废接料斗</w:t>
            </w:r>
          </w:p>
        </w:tc>
        <w:tc>
          <w:tcPr>
            <w:tcW w:w="2512"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Q235</w:t>
            </w:r>
          </w:p>
        </w:tc>
        <w:tc>
          <w:tcPr>
            <w:tcW w:w="738"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台</w:t>
            </w:r>
          </w:p>
        </w:tc>
        <w:tc>
          <w:tcPr>
            <w:tcW w:w="640"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9"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固废称料斗</w:t>
            </w:r>
          </w:p>
        </w:tc>
        <w:tc>
          <w:tcPr>
            <w:tcW w:w="2512" w:type="dxa"/>
            <w:vAlign w:val="center"/>
          </w:tcPr>
          <w:p>
            <w:pPr>
              <w:pStyle w:val="191"/>
              <w:spacing w:line="240" w:lineRule="atLeast"/>
              <w:jc w:val="center"/>
              <w:rPr>
                <w:sz w:val="21"/>
                <w:szCs w:val="21"/>
                <w:lang w:eastAsia="en-US"/>
              </w:rPr>
            </w:pPr>
            <w:r>
              <w:rPr>
                <w:sz w:val="21"/>
                <w:szCs w:val="21"/>
                <w:lang w:eastAsia="en-US"/>
              </w:rPr>
              <w:t>5m³Q235</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5"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皮带输送机</w:t>
            </w:r>
          </w:p>
        </w:tc>
        <w:tc>
          <w:tcPr>
            <w:tcW w:w="2512" w:type="dxa"/>
            <w:vAlign w:val="center"/>
          </w:tcPr>
          <w:p>
            <w:pPr>
              <w:pStyle w:val="191"/>
              <w:spacing w:line="240" w:lineRule="atLeast"/>
              <w:jc w:val="center"/>
              <w:rPr>
                <w:sz w:val="21"/>
                <w:szCs w:val="21"/>
                <w:lang w:eastAsia="en-US"/>
              </w:rPr>
            </w:pPr>
            <w:r>
              <w:rPr>
                <w:sz w:val="21"/>
                <w:szCs w:val="21"/>
                <w:lang w:eastAsia="en-US"/>
              </w:rPr>
              <w:t>Q235</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压力传感器</w:t>
            </w:r>
          </w:p>
        </w:tc>
        <w:tc>
          <w:tcPr>
            <w:tcW w:w="2512" w:type="dxa"/>
            <w:vAlign w:val="center"/>
          </w:tcPr>
          <w:p>
            <w:pPr>
              <w:pStyle w:val="191"/>
              <w:spacing w:line="240" w:lineRule="atLeast"/>
              <w:jc w:val="center"/>
              <w:rPr>
                <w:sz w:val="21"/>
                <w:szCs w:val="21"/>
                <w:lang w:eastAsia="en-US"/>
              </w:rPr>
            </w:pPr>
            <w:r>
              <w:rPr>
                <w:sz w:val="21"/>
                <w:szCs w:val="21"/>
                <w:lang w:eastAsia="en-US"/>
              </w:rPr>
              <w:t>1000kg</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支</w:t>
            </w:r>
          </w:p>
        </w:tc>
        <w:tc>
          <w:tcPr>
            <w:tcW w:w="640" w:type="dxa"/>
            <w:vAlign w:val="center"/>
          </w:tcPr>
          <w:p>
            <w:pPr>
              <w:pStyle w:val="191"/>
              <w:spacing w:line="240" w:lineRule="atLeast"/>
              <w:jc w:val="center"/>
              <w:rPr>
                <w:sz w:val="21"/>
                <w:szCs w:val="21"/>
                <w:lang w:eastAsia="en-US"/>
              </w:rPr>
            </w:pPr>
            <w:r>
              <w:rPr>
                <w:sz w:val="21"/>
                <w:szCs w:val="21"/>
                <w:lang w:eastAsia="en-US"/>
              </w:rPr>
              <w:t>3</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托利多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6"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破碎机</w:t>
            </w:r>
          </w:p>
        </w:tc>
        <w:tc>
          <w:tcPr>
            <w:tcW w:w="2512" w:type="dxa"/>
            <w:vAlign w:val="center"/>
          </w:tcPr>
          <w:p>
            <w:pPr>
              <w:pStyle w:val="191"/>
              <w:spacing w:line="240" w:lineRule="atLeast"/>
              <w:jc w:val="center"/>
              <w:rPr>
                <w:sz w:val="21"/>
                <w:szCs w:val="21"/>
                <w:lang w:eastAsia="en-US"/>
              </w:rPr>
            </w:pPr>
            <w:r>
              <w:rPr>
                <w:sz w:val="21"/>
                <w:szCs w:val="21"/>
                <w:lang w:eastAsia="en-US"/>
              </w:rPr>
              <w:t>PE250X400</w:t>
            </w:r>
            <w:r>
              <w:rPr>
                <w:rFonts w:hAnsi="宋体"/>
                <w:sz w:val="21"/>
                <w:szCs w:val="21"/>
                <w:lang w:eastAsia="en-US"/>
              </w:rPr>
              <w:t>，</w:t>
            </w:r>
            <w:r>
              <w:rPr>
                <w:sz w:val="21"/>
                <w:szCs w:val="21"/>
                <w:lang w:eastAsia="en-US"/>
              </w:rPr>
              <w:t>N=18.5kW</w:t>
            </w:r>
            <w:r>
              <w:rPr>
                <w:rFonts w:hAnsi="宋体"/>
                <w:sz w:val="21"/>
                <w:szCs w:val="21"/>
                <w:lang w:eastAsia="en-US"/>
              </w:rPr>
              <w:t>，</w:t>
            </w:r>
          </w:p>
          <w:p>
            <w:pPr>
              <w:pStyle w:val="191"/>
              <w:spacing w:line="240" w:lineRule="atLeast"/>
              <w:jc w:val="center"/>
              <w:rPr>
                <w:sz w:val="21"/>
                <w:szCs w:val="21"/>
                <w:lang w:eastAsia="en-US"/>
              </w:rPr>
            </w:pPr>
            <w:r>
              <w:rPr>
                <w:rFonts w:hAnsi="宋体"/>
                <w:sz w:val="21"/>
                <w:szCs w:val="21"/>
                <w:lang w:eastAsia="en-US"/>
              </w:rPr>
              <w:t>出料粒径小于</w:t>
            </w:r>
            <w:r>
              <w:rPr>
                <w:sz w:val="21"/>
                <w:szCs w:val="21"/>
                <w:lang w:eastAsia="en-US"/>
              </w:rPr>
              <w:t xml:space="preserve"> 80</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上海山启</w:t>
            </w:r>
          </w:p>
        </w:tc>
      </w:tr>
      <w:bookmarkEnd w:id="252"/>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9" w:hRule="exact"/>
          <w:jc w:val="center"/>
        </w:trPr>
        <w:tc>
          <w:tcPr>
            <w:tcW w:w="572" w:type="dxa"/>
            <w:vMerge w:val="restart"/>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6</w:t>
            </w:r>
          </w:p>
        </w:tc>
        <w:tc>
          <w:tcPr>
            <w:tcW w:w="1170" w:type="dxa"/>
            <w:vMerge w:val="restart"/>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混合搅拌系统</w:t>
            </w:r>
          </w:p>
        </w:tc>
        <w:tc>
          <w:tcPr>
            <w:tcW w:w="1863"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混合机</w:t>
            </w:r>
          </w:p>
        </w:tc>
        <w:tc>
          <w:tcPr>
            <w:tcW w:w="2512"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MSO2000/1500</w:t>
            </w:r>
          </w:p>
        </w:tc>
        <w:tc>
          <w:tcPr>
            <w:tcW w:w="738"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台</w:t>
            </w:r>
          </w:p>
        </w:tc>
        <w:tc>
          <w:tcPr>
            <w:tcW w:w="640"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仕高玛</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5"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高压冲洗机</w:t>
            </w:r>
          </w:p>
        </w:tc>
        <w:tc>
          <w:tcPr>
            <w:tcW w:w="2512" w:type="dxa"/>
            <w:vAlign w:val="center"/>
          </w:tcPr>
          <w:p>
            <w:pPr>
              <w:pStyle w:val="191"/>
              <w:spacing w:line="240" w:lineRule="atLeast"/>
              <w:jc w:val="center"/>
              <w:rPr>
                <w:sz w:val="21"/>
                <w:szCs w:val="21"/>
                <w:lang w:eastAsia="en-US"/>
              </w:rPr>
            </w:pPr>
            <w:r>
              <w:rPr>
                <w:sz w:val="21"/>
                <w:szCs w:val="21"/>
                <w:lang w:eastAsia="en-US"/>
              </w:rPr>
              <w:t>N=3kw</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2</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东方泵业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31"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主体机架</w:t>
            </w:r>
          </w:p>
        </w:tc>
        <w:tc>
          <w:tcPr>
            <w:tcW w:w="2512" w:type="dxa"/>
            <w:vAlign w:val="center"/>
          </w:tcPr>
          <w:p>
            <w:pPr>
              <w:pStyle w:val="191"/>
              <w:spacing w:line="240" w:lineRule="atLeast"/>
              <w:jc w:val="center"/>
              <w:rPr>
                <w:sz w:val="21"/>
                <w:szCs w:val="21"/>
                <w:lang w:eastAsia="en-US"/>
              </w:rPr>
            </w:pPr>
            <w:r>
              <w:rPr>
                <w:rFonts w:hAnsi="宋体"/>
                <w:sz w:val="21"/>
                <w:szCs w:val="21"/>
                <w:lang w:eastAsia="en-US"/>
              </w:rPr>
              <w:t>型钢</w:t>
            </w:r>
            <w:r>
              <w:rPr>
                <w:sz w:val="21"/>
                <w:szCs w:val="21"/>
                <w:lang w:eastAsia="en-US"/>
              </w:rPr>
              <w:t>/Q235</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集料斗</w:t>
            </w:r>
          </w:p>
        </w:tc>
        <w:tc>
          <w:tcPr>
            <w:tcW w:w="2512" w:type="dxa"/>
            <w:vAlign w:val="center"/>
          </w:tcPr>
          <w:p>
            <w:pPr>
              <w:pStyle w:val="191"/>
              <w:spacing w:line="240" w:lineRule="atLeast"/>
              <w:jc w:val="center"/>
              <w:rPr>
                <w:sz w:val="21"/>
                <w:szCs w:val="21"/>
                <w:lang w:eastAsia="en-US"/>
              </w:rPr>
            </w:pPr>
            <w:r>
              <w:rPr>
                <w:sz w:val="21"/>
                <w:szCs w:val="21"/>
                <w:lang w:eastAsia="en-US"/>
              </w:rPr>
              <w:t>δ8</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84"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全自动成型机</w:t>
            </w:r>
          </w:p>
        </w:tc>
        <w:tc>
          <w:tcPr>
            <w:tcW w:w="2512" w:type="dxa"/>
            <w:vAlign w:val="center"/>
          </w:tcPr>
          <w:p>
            <w:pPr>
              <w:pStyle w:val="191"/>
              <w:spacing w:line="240" w:lineRule="atLeast"/>
              <w:jc w:val="center"/>
              <w:rPr>
                <w:sz w:val="21"/>
                <w:szCs w:val="21"/>
                <w:lang w:eastAsia="en-US"/>
              </w:rPr>
            </w:pPr>
            <w:r>
              <w:rPr>
                <w:sz w:val="21"/>
                <w:szCs w:val="21"/>
                <w:lang w:eastAsia="en-US"/>
              </w:rPr>
              <w:t>QT6-12</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扬州圆力</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1" w:hRule="exact"/>
          <w:jc w:val="center"/>
        </w:trPr>
        <w:tc>
          <w:tcPr>
            <w:tcW w:w="572" w:type="dxa"/>
            <w:vMerge w:val="restart"/>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7</w:t>
            </w:r>
          </w:p>
        </w:tc>
        <w:tc>
          <w:tcPr>
            <w:tcW w:w="1170" w:type="dxa"/>
            <w:vMerge w:val="restart"/>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除尘设备</w:t>
            </w:r>
          </w:p>
        </w:tc>
        <w:tc>
          <w:tcPr>
            <w:tcW w:w="1863"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仓顶除尘器</w:t>
            </w:r>
          </w:p>
        </w:tc>
        <w:tc>
          <w:tcPr>
            <w:tcW w:w="2512"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20m2</w:t>
            </w:r>
            <w:r>
              <w:rPr>
                <w:rFonts w:hAnsi="宋体" w:cs="Times New Roman"/>
                <w:kern w:val="0"/>
                <w:sz w:val="21"/>
                <w:lang w:eastAsia="en-US"/>
              </w:rPr>
              <w:t>，</w:t>
            </w:r>
            <w:r>
              <w:rPr>
                <w:rFonts w:cs="Times New Roman"/>
                <w:kern w:val="0"/>
                <w:sz w:val="21"/>
                <w:lang w:eastAsia="en-US"/>
              </w:rPr>
              <w:t>N=0.15kW</w:t>
            </w:r>
          </w:p>
        </w:tc>
        <w:tc>
          <w:tcPr>
            <w:tcW w:w="738"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台</w:t>
            </w:r>
          </w:p>
        </w:tc>
        <w:tc>
          <w:tcPr>
            <w:tcW w:w="640"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2</w:t>
            </w:r>
          </w:p>
        </w:tc>
        <w:tc>
          <w:tcPr>
            <w:tcW w:w="1575"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变频风机</w:t>
            </w:r>
          </w:p>
        </w:tc>
        <w:tc>
          <w:tcPr>
            <w:tcW w:w="2512" w:type="dxa"/>
            <w:vAlign w:val="center"/>
          </w:tcPr>
          <w:p>
            <w:pPr>
              <w:pStyle w:val="191"/>
              <w:spacing w:line="240" w:lineRule="atLeast"/>
              <w:jc w:val="center"/>
              <w:rPr>
                <w:sz w:val="21"/>
                <w:szCs w:val="21"/>
                <w:lang w:eastAsia="en-US"/>
              </w:rPr>
            </w:pPr>
            <w:r>
              <w:rPr>
                <w:rFonts w:hAnsi="宋体"/>
                <w:sz w:val="21"/>
                <w:szCs w:val="21"/>
                <w:lang w:eastAsia="en-US"/>
              </w:rPr>
              <w:t>风量不小于</w:t>
            </w:r>
            <w:r>
              <w:rPr>
                <w:sz w:val="21"/>
                <w:szCs w:val="21"/>
                <w:lang w:eastAsia="en-US"/>
              </w:rPr>
              <w:t xml:space="preserve"> 3 </w:t>
            </w:r>
            <w:r>
              <w:rPr>
                <w:rFonts w:hAnsi="宋体"/>
                <w:sz w:val="21"/>
                <w:szCs w:val="21"/>
                <w:lang w:eastAsia="en-US"/>
              </w:rPr>
              <w:t>万</w:t>
            </w:r>
            <w:r>
              <w:rPr>
                <w:sz w:val="21"/>
                <w:szCs w:val="21"/>
                <w:lang w:eastAsia="en-US"/>
              </w:rPr>
              <w:t xml:space="preserve"> m³/h</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变频器</w:t>
            </w:r>
          </w:p>
          <w:p>
            <w:pPr>
              <w:pStyle w:val="191"/>
              <w:spacing w:line="240" w:lineRule="atLeast"/>
              <w:jc w:val="center"/>
              <w:rPr>
                <w:sz w:val="21"/>
                <w:szCs w:val="21"/>
                <w:lang w:eastAsia="en-US"/>
              </w:rPr>
            </w:pPr>
            <w:r>
              <w:rPr>
                <w:sz w:val="21"/>
                <w:szCs w:val="21"/>
                <w:lang w:eastAsia="en-US"/>
              </w:rPr>
              <w:t>ABB</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61"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排气筒</w:t>
            </w:r>
          </w:p>
        </w:tc>
        <w:tc>
          <w:tcPr>
            <w:tcW w:w="2512" w:type="dxa"/>
            <w:vAlign w:val="center"/>
          </w:tcPr>
          <w:p>
            <w:pPr>
              <w:pStyle w:val="191"/>
              <w:spacing w:line="240" w:lineRule="atLeast"/>
              <w:jc w:val="center"/>
              <w:rPr>
                <w:sz w:val="21"/>
                <w:szCs w:val="21"/>
                <w:lang w:eastAsia="zh-CN"/>
              </w:rPr>
            </w:pPr>
            <w:r>
              <w:rPr>
                <w:rFonts w:hAnsi="宋体"/>
                <w:sz w:val="21"/>
                <w:szCs w:val="21"/>
                <w:lang w:eastAsia="zh-CN"/>
              </w:rPr>
              <w:t>直径</w:t>
            </w:r>
            <w:r>
              <w:rPr>
                <w:sz w:val="21"/>
                <w:szCs w:val="21"/>
                <w:lang w:eastAsia="zh-CN"/>
              </w:rPr>
              <w:t xml:space="preserve"> 0.65m</w:t>
            </w:r>
            <w:r>
              <w:rPr>
                <w:rFonts w:hAnsi="宋体"/>
                <w:sz w:val="21"/>
                <w:szCs w:val="21"/>
                <w:lang w:eastAsia="zh-CN"/>
              </w:rPr>
              <w:t>，高</w:t>
            </w:r>
            <w:r>
              <w:rPr>
                <w:sz w:val="21"/>
                <w:szCs w:val="21"/>
                <w:lang w:eastAsia="zh-CN"/>
              </w:rPr>
              <w:t xml:space="preserve"> 25m</w:t>
            </w:r>
            <w:r>
              <w:rPr>
                <w:rFonts w:hAnsi="宋体"/>
                <w:sz w:val="21"/>
                <w:szCs w:val="21"/>
                <w:lang w:eastAsia="zh-CN"/>
              </w:rPr>
              <w:t>，玻</w:t>
            </w:r>
          </w:p>
          <w:p>
            <w:pPr>
              <w:pStyle w:val="191"/>
              <w:spacing w:line="240" w:lineRule="atLeast"/>
              <w:jc w:val="center"/>
              <w:rPr>
                <w:sz w:val="21"/>
                <w:szCs w:val="21"/>
                <w:lang w:eastAsia="zh-CN"/>
              </w:rPr>
            </w:pPr>
            <w:r>
              <w:rPr>
                <w:rFonts w:hAnsi="宋体"/>
                <w:sz w:val="21"/>
                <w:szCs w:val="21"/>
                <w:lang w:eastAsia="zh-CN"/>
              </w:rPr>
              <w:t>璃钢</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除尘罩</w:t>
            </w:r>
          </w:p>
        </w:tc>
        <w:tc>
          <w:tcPr>
            <w:tcW w:w="2512" w:type="dxa"/>
            <w:vAlign w:val="center"/>
          </w:tcPr>
          <w:p>
            <w:pPr>
              <w:pStyle w:val="191"/>
              <w:spacing w:line="240" w:lineRule="atLeast"/>
              <w:jc w:val="center"/>
              <w:rPr>
                <w:sz w:val="21"/>
                <w:szCs w:val="21"/>
                <w:lang w:eastAsia="en-US"/>
              </w:rPr>
            </w:pPr>
            <w:r>
              <w:rPr>
                <w:rFonts w:hAnsi="宋体"/>
                <w:sz w:val="21"/>
                <w:szCs w:val="21"/>
                <w:lang w:eastAsia="en-US"/>
              </w:rPr>
              <w:t>玻璃钢</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spacing w:line="240" w:lineRule="atLeast"/>
              <w:ind w:firstLine="0" w:firstLineChars="0"/>
              <w:jc w:val="center"/>
              <w:rPr>
                <w:rFonts w:cs="Times New Roman"/>
                <w:kern w:val="0"/>
                <w:sz w:val="21"/>
                <w:lang w:eastAsia="en-US"/>
              </w:rPr>
            </w:pP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9"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混合机除尘器</w:t>
            </w:r>
          </w:p>
        </w:tc>
        <w:tc>
          <w:tcPr>
            <w:tcW w:w="2512" w:type="dxa"/>
            <w:vAlign w:val="center"/>
          </w:tcPr>
          <w:p>
            <w:pPr>
              <w:pStyle w:val="191"/>
              <w:spacing w:line="240" w:lineRule="atLeast"/>
              <w:jc w:val="center"/>
              <w:rPr>
                <w:sz w:val="21"/>
                <w:szCs w:val="21"/>
                <w:lang w:eastAsia="en-US"/>
              </w:rPr>
            </w:pPr>
            <w:r>
              <w:rPr>
                <w:sz w:val="21"/>
                <w:szCs w:val="21"/>
                <w:lang w:eastAsia="en-US"/>
              </w:rPr>
              <w:t>20m</w:t>
            </w:r>
            <w:r>
              <w:rPr>
                <w:sz w:val="21"/>
                <w:szCs w:val="21"/>
                <w:vertAlign w:val="superscript"/>
                <w:lang w:eastAsia="en-US"/>
              </w:rPr>
              <w:t>2</w:t>
            </w:r>
            <w:r>
              <w:rPr>
                <w:rFonts w:hAnsi="宋体"/>
                <w:sz w:val="21"/>
                <w:szCs w:val="21"/>
                <w:lang w:eastAsia="en-US"/>
              </w:rPr>
              <w:t>，</w:t>
            </w:r>
            <w:r>
              <w:rPr>
                <w:sz w:val="21"/>
                <w:szCs w:val="21"/>
                <w:lang w:eastAsia="en-US"/>
              </w:rPr>
              <w:t>N=1.65kW</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4"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固化车间净化除尘器</w:t>
            </w:r>
          </w:p>
        </w:tc>
        <w:tc>
          <w:tcPr>
            <w:tcW w:w="2512" w:type="dxa"/>
            <w:vAlign w:val="center"/>
          </w:tcPr>
          <w:p>
            <w:pPr>
              <w:pStyle w:val="191"/>
              <w:spacing w:line="240" w:lineRule="atLeast"/>
              <w:jc w:val="center"/>
              <w:rPr>
                <w:sz w:val="21"/>
                <w:szCs w:val="21"/>
                <w:lang w:eastAsia="en-US"/>
              </w:rPr>
            </w:pPr>
            <w:r>
              <w:rPr>
                <w:sz w:val="21"/>
                <w:szCs w:val="21"/>
                <w:lang w:eastAsia="en-US"/>
              </w:rPr>
              <w:t>500m³</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31" w:hRule="exact"/>
          <w:jc w:val="center"/>
        </w:trPr>
        <w:tc>
          <w:tcPr>
            <w:tcW w:w="572" w:type="dxa"/>
            <w:vMerge w:val="restart"/>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8</w:t>
            </w:r>
          </w:p>
        </w:tc>
        <w:tc>
          <w:tcPr>
            <w:tcW w:w="1170" w:type="dxa"/>
            <w:vMerge w:val="restart"/>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电器控制部分</w:t>
            </w:r>
          </w:p>
        </w:tc>
        <w:tc>
          <w:tcPr>
            <w:tcW w:w="1863"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电线电缆</w:t>
            </w:r>
          </w:p>
        </w:tc>
        <w:tc>
          <w:tcPr>
            <w:tcW w:w="2512"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江南电缆</w:t>
            </w:r>
          </w:p>
        </w:tc>
        <w:tc>
          <w:tcPr>
            <w:tcW w:w="738" w:type="dxa"/>
            <w:vAlign w:val="center"/>
          </w:tcPr>
          <w:p>
            <w:pPr>
              <w:spacing w:line="240" w:lineRule="atLeast"/>
              <w:ind w:firstLine="0" w:firstLineChars="0"/>
              <w:jc w:val="center"/>
              <w:rPr>
                <w:rFonts w:cs="Times New Roman"/>
                <w:kern w:val="0"/>
                <w:sz w:val="21"/>
                <w:lang w:eastAsia="en-US"/>
              </w:rPr>
            </w:pPr>
            <w:r>
              <w:rPr>
                <w:rFonts w:hAnsi="宋体" w:cs="Times New Roman"/>
                <w:kern w:val="0"/>
                <w:sz w:val="21"/>
                <w:lang w:eastAsia="en-US"/>
              </w:rPr>
              <w:t>套</w:t>
            </w:r>
          </w:p>
        </w:tc>
        <w:tc>
          <w:tcPr>
            <w:tcW w:w="640" w:type="dxa"/>
            <w:vAlign w:val="center"/>
          </w:tcPr>
          <w:p>
            <w:pPr>
              <w:spacing w:line="240" w:lineRule="atLeast"/>
              <w:ind w:firstLine="0" w:firstLineChars="0"/>
              <w:jc w:val="center"/>
              <w:rPr>
                <w:rFonts w:cs="Times New Roman"/>
                <w:kern w:val="0"/>
                <w:sz w:val="21"/>
                <w:lang w:eastAsia="en-US"/>
              </w:rPr>
            </w:pPr>
            <w:r>
              <w:rPr>
                <w:rFonts w:cs="Times New Roman"/>
                <w:kern w:val="0"/>
                <w:sz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zh-CN"/>
              </w:rPr>
            </w:pPr>
            <w:r>
              <w:rPr>
                <w:rFonts w:hAnsi="宋体"/>
                <w:sz w:val="21"/>
                <w:szCs w:val="21"/>
                <w:lang w:eastAsia="zh-CN"/>
              </w:rPr>
              <w:t>电缆桥架，穿管及附件</w:t>
            </w:r>
          </w:p>
        </w:tc>
        <w:tc>
          <w:tcPr>
            <w:tcW w:w="2512" w:type="dxa"/>
            <w:vAlign w:val="center"/>
          </w:tcPr>
          <w:p>
            <w:pPr>
              <w:spacing w:line="240" w:lineRule="atLeast"/>
              <w:ind w:firstLine="0" w:firstLineChars="0"/>
              <w:jc w:val="center"/>
              <w:rPr>
                <w:rFonts w:cs="Times New Roman"/>
                <w:kern w:val="0"/>
                <w:sz w:val="21"/>
                <w:lang w:eastAsia="zh-CN"/>
              </w:rPr>
            </w:pP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9"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控制柜</w:t>
            </w:r>
            <w:r>
              <w:rPr>
                <w:sz w:val="21"/>
                <w:szCs w:val="21"/>
                <w:lang w:eastAsia="en-US"/>
              </w:rPr>
              <w:t xml:space="preserve"> MCC</w:t>
            </w:r>
          </w:p>
        </w:tc>
        <w:tc>
          <w:tcPr>
            <w:tcW w:w="2512" w:type="dxa"/>
            <w:vAlign w:val="center"/>
          </w:tcPr>
          <w:p>
            <w:pPr>
              <w:pStyle w:val="191"/>
              <w:spacing w:line="240" w:lineRule="atLeast"/>
              <w:jc w:val="center"/>
              <w:rPr>
                <w:sz w:val="21"/>
                <w:szCs w:val="21"/>
                <w:lang w:eastAsia="en-US"/>
              </w:rPr>
            </w:pPr>
            <w:r>
              <w:rPr>
                <w:rFonts w:hAnsi="宋体"/>
                <w:sz w:val="21"/>
                <w:szCs w:val="21"/>
                <w:lang w:eastAsia="en-US"/>
              </w:rPr>
              <w:t>施耐德元件</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无锡科熔</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25"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控制单元</w:t>
            </w:r>
            <w:r>
              <w:rPr>
                <w:sz w:val="21"/>
                <w:szCs w:val="21"/>
                <w:lang w:eastAsia="en-US"/>
              </w:rPr>
              <w:t xml:space="preserve"> PLC</w:t>
            </w:r>
          </w:p>
        </w:tc>
        <w:tc>
          <w:tcPr>
            <w:tcW w:w="2512" w:type="dxa"/>
            <w:vAlign w:val="center"/>
          </w:tcPr>
          <w:p>
            <w:pPr>
              <w:pStyle w:val="191"/>
              <w:spacing w:line="240" w:lineRule="atLeast"/>
              <w:jc w:val="center"/>
              <w:rPr>
                <w:sz w:val="21"/>
                <w:szCs w:val="21"/>
                <w:lang w:eastAsia="en-US"/>
              </w:rPr>
            </w:pPr>
            <w:r>
              <w:rPr>
                <w:sz w:val="21"/>
                <w:szCs w:val="21"/>
                <w:lang w:eastAsia="en-US"/>
              </w:rPr>
              <w:t>S7-1200</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rFonts w:hAnsi="宋体"/>
                <w:sz w:val="21"/>
                <w:szCs w:val="21"/>
                <w:lang w:eastAsia="en-US"/>
              </w:rPr>
              <w:t>西门子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上位机</w:t>
            </w:r>
          </w:p>
        </w:tc>
        <w:tc>
          <w:tcPr>
            <w:tcW w:w="2512" w:type="dxa"/>
            <w:vAlign w:val="center"/>
          </w:tcPr>
          <w:p>
            <w:pPr>
              <w:pStyle w:val="191"/>
              <w:spacing w:line="240" w:lineRule="atLeast"/>
              <w:jc w:val="center"/>
              <w:rPr>
                <w:sz w:val="21"/>
                <w:szCs w:val="21"/>
                <w:lang w:eastAsia="en-US"/>
              </w:rPr>
            </w:pPr>
            <w:r>
              <w:rPr>
                <w:rFonts w:hAnsi="宋体"/>
                <w:sz w:val="21"/>
                <w:szCs w:val="21"/>
                <w:lang w:eastAsia="en-US"/>
              </w:rPr>
              <w:t>研华工控</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pStyle w:val="191"/>
              <w:spacing w:line="240" w:lineRule="atLeast"/>
              <w:jc w:val="center"/>
              <w:rPr>
                <w:sz w:val="21"/>
                <w:szCs w:val="21"/>
                <w:lang w:eastAsia="en-US"/>
              </w:rPr>
            </w:pPr>
            <w:r>
              <w:rPr>
                <w:sz w:val="21"/>
                <w:szCs w:val="21"/>
                <w:lang w:eastAsia="en-US"/>
              </w:rPr>
              <w:t xml:space="preserve">22 </w:t>
            </w:r>
            <w:r>
              <w:rPr>
                <w:rFonts w:hAnsi="宋体"/>
                <w:sz w:val="21"/>
                <w:szCs w:val="21"/>
                <w:lang w:eastAsia="en-US"/>
              </w:rPr>
              <w:t>寸显示屏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37"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激光打印机</w:t>
            </w:r>
          </w:p>
        </w:tc>
        <w:tc>
          <w:tcPr>
            <w:tcW w:w="2512" w:type="dxa"/>
            <w:vAlign w:val="center"/>
          </w:tcPr>
          <w:p>
            <w:pPr>
              <w:spacing w:line="240" w:lineRule="atLeast"/>
              <w:ind w:firstLine="0" w:firstLineChars="0"/>
              <w:jc w:val="center"/>
              <w:rPr>
                <w:rFonts w:cs="Times New Roman"/>
                <w:kern w:val="0"/>
                <w:sz w:val="21"/>
                <w:lang w:eastAsia="en-US"/>
              </w:rPr>
            </w:pP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60"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sz w:val="21"/>
                <w:szCs w:val="21"/>
                <w:lang w:eastAsia="en-US"/>
              </w:rPr>
              <w:t>UPS</w:t>
            </w:r>
          </w:p>
        </w:tc>
        <w:tc>
          <w:tcPr>
            <w:tcW w:w="2512" w:type="dxa"/>
            <w:vAlign w:val="center"/>
          </w:tcPr>
          <w:p>
            <w:pPr>
              <w:pStyle w:val="191"/>
              <w:spacing w:line="240" w:lineRule="atLeast"/>
              <w:jc w:val="center"/>
              <w:rPr>
                <w:sz w:val="21"/>
                <w:szCs w:val="21"/>
                <w:lang w:eastAsia="en-US"/>
              </w:rPr>
            </w:pPr>
            <w:r>
              <w:rPr>
                <w:sz w:val="21"/>
                <w:szCs w:val="21"/>
                <w:lang w:eastAsia="en-US"/>
              </w:rPr>
              <w:t xml:space="preserve">3KVA </w:t>
            </w:r>
            <w:r>
              <w:rPr>
                <w:rFonts w:hAnsi="宋体"/>
                <w:sz w:val="21"/>
                <w:szCs w:val="21"/>
                <w:lang w:eastAsia="en-US"/>
              </w:rPr>
              <w:t>不间断电源</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台</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6"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设备监控系统</w:t>
            </w:r>
          </w:p>
        </w:tc>
        <w:tc>
          <w:tcPr>
            <w:tcW w:w="2512" w:type="dxa"/>
            <w:vAlign w:val="center"/>
          </w:tcPr>
          <w:p>
            <w:pPr>
              <w:pStyle w:val="191"/>
              <w:spacing w:line="240" w:lineRule="atLeast"/>
              <w:jc w:val="center"/>
              <w:rPr>
                <w:sz w:val="21"/>
                <w:szCs w:val="21"/>
                <w:lang w:eastAsia="en-US"/>
              </w:rPr>
            </w:pPr>
            <w:r>
              <w:rPr>
                <w:sz w:val="21"/>
                <w:szCs w:val="21"/>
                <w:lang w:eastAsia="en-US"/>
              </w:rPr>
              <w:t xml:space="preserve">4 </w:t>
            </w:r>
            <w:r>
              <w:rPr>
                <w:rFonts w:hAnsi="宋体"/>
                <w:sz w:val="21"/>
                <w:szCs w:val="21"/>
                <w:lang w:eastAsia="en-US"/>
              </w:rPr>
              <w:t>点</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1</w:t>
            </w:r>
          </w:p>
        </w:tc>
        <w:tc>
          <w:tcPr>
            <w:tcW w:w="1575" w:type="dxa"/>
            <w:vAlign w:val="center"/>
          </w:tcPr>
          <w:p>
            <w:pPr>
              <w:spacing w:line="240" w:lineRule="atLeast"/>
              <w:ind w:firstLine="0" w:firstLineChars="0"/>
              <w:jc w:val="center"/>
              <w:rPr>
                <w:rFonts w:cs="Times New Roman"/>
                <w:kern w:val="0"/>
                <w:sz w:val="21"/>
                <w:lang w:eastAsia="en-US"/>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65" w:hRule="exact"/>
          <w:jc w:val="center"/>
        </w:trPr>
        <w:tc>
          <w:tcPr>
            <w:tcW w:w="572" w:type="dxa"/>
            <w:vMerge w:val="continue"/>
            <w:vAlign w:val="center"/>
          </w:tcPr>
          <w:p>
            <w:pPr>
              <w:widowControl/>
              <w:spacing w:line="240" w:lineRule="atLeast"/>
              <w:ind w:firstLine="0" w:firstLineChars="0"/>
              <w:jc w:val="left"/>
              <w:rPr>
                <w:rFonts w:cs="Times New Roman"/>
                <w:kern w:val="0"/>
                <w:sz w:val="21"/>
                <w:lang w:eastAsia="en-US"/>
              </w:rPr>
            </w:pPr>
          </w:p>
        </w:tc>
        <w:tc>
          <w:tcPr>
            <w:tcW w:w="1170" w:type="dxa"/>
            <w:vMerge w:val="continue"/>
            <w:vAlign w:val="center"/>
          </w:tcPr>
          <w:p>
            <w:pPr>
              <w:widowControl/>
              <w:spacing w:line="240" w:lineRule="atLeast"/>
              <w:ind w:firstLine="0" w:firstLineChars="0"/>
              <w:jc w:val="left"/>
              <w:rPr>
                <w:rFonts w:cs="Times New Roman"/>
                <w:kern w:val="0"/>
                <w:sz w:val="21"/>
                <w:lang w:eastAsia="en-US"/>
              </w:rPr>
            </w:pPr>
          </w:p>
        </w:tc>
        <w:tc>
          <w:tcPr>
            <w:tcW w:w="1863" w:type="dxa"/>
            <w:vAlign w:val="center"/>
          </w:tcPr>
          <w:p>
            <w:pPr>
              <w:pStyle w:val="191"/>
              <w:spacing w:line="240" w:lineRule="atLeast"/>
              <w:jc w:val="center"/>
              <w:rPr>
                <w:sz w:val="21"/>
                <w:szCs w:val="21"/>
                <w:lang w:eastAsia="en-US"/>
              </w:rPr>
            </w:pPr>
            <w:r>
              <w:rPr>
                <w:rFonts w:hAnsi="宋体"/>
                <w:sz w:val="21"/>
                <w:szCs w:val="21"/>
                <w:lang w:eastAsia="en-US"/>
              </w:rPr>
              <w:t>就地控制箱</w:t>
            </w:r>
          </w:p>
        </w:tc>
        <w:tc>
          <w:tcPr>
            <w:tcW w:w="2512" w:type="dxa"/>
            <w:vAlign w:val="center"/>
          </w:tcPr>
          <w:p>
            <w:pPr>
              <w:pStyle w:val="191"/>
              <w:spacing w:line="240" w:lineRule="atLeast"/>
              <w:jc w:val="center"/>
              <w:rPr>
                <w:sz w:val="21"/>
                <w:szCs w:val="21"/>
                <w:lang w:eastAsia="en-US"/>
              </w:rPr>
            </w:pPr>
            <w:r>
              <w:rPr>
                <w:rFonts w:hAnsi="宋体"/>
                <w:sz w:val="21"/>
                <w:szCs w:val="21"/>
                <w:lang w:eastAsia="en-US"/>
              </w:rPr>
              <w:t>施耐德元件</w:t>
            </w:r>
          </w:p>
        </w:tc>
        <w:tc>
          <w:tcPr>
            <w:tcW w:w="738" w:type="dxa"/>
            <w:vAlign w:val="center"/>
          </w:tcPr>
          <w:p>
            <w:pPr>
              <w:pStyle w:val="191"/>
              <w:spacing w:line="240" w:lineRule="atLeast"/>
              <w:jc w:val="center"/>
              <w:rPr>
                <w:sz w:val="21"/>
                <w:szCs w:val="21"/>
                <w:lang w:eastAsia="en-US"/>
              </w:rPr>
            </w:pPr>
            <w:r>
              <w:rPr>
                <w:rFonts w:hAnsi="宋体"/>
                <w:sz w:val="21"/>
                <w:szCs w:val="21"/>
                <w:lang w:eastAsia="en-US"/>
              </w:rPr>
              <w:t>套</w:t>
            </w:r>
          </w:p>
        </w:tc>
        <w:tc>
          <w:tcPr>
            <w:tcW w:w="640" w:type="dxa"/>
            <w:vAlign w:val="center"/>
          </w:tcPr>
          <w:p>
            <w:pPr>
              <w:pStyle w:val="191"/>
              <w:spacing w:line="240" w:lineRule="atLeast"/>
              <w:jc w:val="center"/>
              <w:rPr>
                <w:sz w:val="21"/>
                <w:szCs w:val="21"/>
                <w:lang w:eastAsia="en-US"/>
              </w:rPr>
            </w:pPr>
            <w:r>
              <w:rPr>
                <w:sz w:val="21"/>
                <w:szCs w:val="21"/>
                <w:lang w:eastAsia="en-US"/>
              </w:rPr>
              <w:t>3</w:t>
            </w:r>
          </w:p>
        </w:tc>
        <w:tc>
          <w:tcPr>
            <w:tcW w:w="1575" w:type="dxa"/>
            <w:vAlign w:val="center"/>
          </w:tcPr>
          <w:p>
            <w:pPr>
              <w:spacing w:line="240" w:lineRule="atLeast"/>
              <w:ind w:firstLine="0" w:firstLineChars="0"/>
              <w:jc w:val="center"/>
              <w:rPr>
                <w:rFonts w:cs="Times New Roman"/>
                <w:kern w:val="0"/>
                <w:sz w:val="21"/>
                <w:lang w:eastAsia="en-US"/>
              </w:rPr>
            </w:pPr>
          </w:p>
        </w:tc>
      </w:tr>
    </w:tbl>
    <w:p>
      <w:pPr>
        <w:ind w:firstLine="480"/>
        <w:rPr>
          <w:rFonts w:asciiTheme="minorEastAsia" w:hAnsiTheme="minorEastAsia" w:eastAsiaTheme="minorEastAsia"/>
          <w:szCs w:val="24"/>
        </w:rPr>
      </w:pPr>
    </w:p>
    <w:p>
      <w:pPr>
        <w:pStyle w:val="5"/>
      </w:pPr>
      <w:bookmarkStart w:id="253" w:name="_Toc13760156"/>
      <w:bookmarkStart w:id="254" w:name="_Toc503368893"/>
      <w:r>
        <w:t>4.</w:t>
      </w:r>
      <w:r>
        <w:rPr>
          <w:rFonts w:hint="eastAsia"/>
        </w:rPr>
        <w:t>7.3产污情况</w:t>
      </w:r>
      <w:bookmarkEnd w:id="253"/>
      <w:bookmarkEnd w:id="254"/>
    </w:p>
    <w:p>
      <w:pPr>
        <w:ind w:firstLine="480"/>
      </w:pPr>
      <w:r>
        <w:rPr>
          <w:rFonts w:hint="eastAsia"/>
        </w:rPr>
        <w:t>①有组织废气</w:t>
      </w:r>
    </w:p>
    <w:p>
      <w:pPr>
        <w:ind w:firstLine="480"/>
      </w:pPr>
      <w:r>
        <w:rPr>
          <w:rFonts w:hint="eastAsia"/>
        </w:rPr>
        <w:t>稳定化</w:t>
      </w:r>
      <w:r>
        <w:t>/</w:t>
      </w:r>
      <w:r>
        <w:rPr>
          <w:rFonts w:hint="eastAsia"/>
        </w:rPr>
        <w:t>固化车间产生的废气主要为入固化车间飞灰及固化剂转运点、搅拌机进料时所产生的含尘废气，为了防止废气中的粉尘逸散至大气中，特别是防止其中的飞灰逸散至大气中，本项目在稳定化</w:t>
      </w:r>
      <w:r>
        <w:t>/</w:t>
      </w:r>
      <w:r>
        <w:rPr>
          <w:rFonts w:hint="eastAsia"/>
        </w:rPr>
        <w:t>固化车间各转运点及搅拌机进料口处安装集气罩，集气罩收集后的废气</w:t>
      </w:r>
      <w:r>
        <w:t>G4</w:t>
      </w:r>
      <w:r>
        <w:rPr>
          <w:rFonts w:hint="eastAsia"/>
        </w:rPr>
        <w:t>通过引风系统统一收集后经布袋除尘器除尘，除尘后的废气通过</w:t>
      </w:r>
      <w:r>
        <w:t>20m</w:t>
      </w:r>
      <w:r>
        <w:rPr>
          <w:rFonts w:hint="eastAsia"/>
        </w:rPr>
        <w:t>排气筒排放，集气罩的集气效率按</w:t>
      </w:r>
      <w:r>
        <w:t>98%</w:t>
      </w:r>
      <w:r>
        <w:rPr>
          <w:rFonts w:hint="eastAsia"/>
        </w:rPr>
        <w:t>计，布袋除尘器的除尘效率按</w:t>
      </w:r>
      <w:r>
        <w:t>99%</w:t>
      </w:r>
      <w:r>
        <w:rPr>
          <w:rFonts w:hint="eastAsia"/>
        </w:rPr>
        <w:t>考虑，总除尘效率为</w:t>
      </w:r>
      <w:r>
        <w:t>97%</w:t>
      </w:r>
      <w:r>
        <w:rPr>
          <w:rFonts w:hint="eastAsia"/>
        </w:rPr>
        <w:t>，布袋除尘器收下的粉尘直接返回搅拌机进行固化处理。</w:t>
      </w:r>
    </w:p>
    <w:p>
      <w:pPr>
        <w:ind w:firstLine="480"/>
        <w:outlineLvl w:val="0"/>
      </w:pPr>
      <w:r>
        <w:rPr>
          <w:rFonts w:hint="eastAsia"/>
        </w:rPr>
        <w:t>②无组织废气</w:t>
      </w:r>
    </w:p>
    <w:p>
      <w:pPr>
        <w:ind w:firstLine="480"/>
      </w:pPr>
      <w:r>
        <w:rPr>
          <w:rFonts w:hint="eastAsia"/>
        </w:rPr>
        <w:t>固废车间在危废暂存转移时会产生少量无组织排放废气，故主要污染物为粉尘。</w:t>
      </w:r>
    </w:p>
    <w:p>
      <w:pPr>
        <w:ind w:firstLine="480"/>
      </w:pPr>
      <w:r>
        <w:rPr>
          <w:rFonts w:hint="eastAsia"/>
        </w:rPr>
        <w:t>本工段不产生废水及固废。</w:t>
      </w:r>
    </w:p>
    <w:p>
      <w:pPr>
        <w:ind w:firstLine="480"/>
        <w:rPr>
          <w:szCs w:val="24"/>
        </w:rPr>
      </w:pPr>
      <w:r>
        <w:rPr>
          <w:rFonts w:hint="eastAsia"/>
        </w:rPr>
        <w:t>本工段</w:t>
      </w:r>
      <w:r>
        <w:rPr>
          <w:rFonts w:hint="eastAsia"/>
          <w:szCs w:val="24"/>
        </w:rPr>
        <w:t>“三废”污染源情况见表</w:t>
      </w:r>
      <w:r>
        <w:t>4.</w:t>
      </w:r>
      <w:r>
        <w:rPr>
          <w:rFonts w:hint="eastAsia"/>
        </w:rPr>
        <w:t>7—3</w:t>
      </w:r>
      <w:r>
        <w:rPr>
          <w:rFonts w:hint="eastAsia"/>
          <w:szCs w:val="24"/>
        </w:rPr>
        <w:t>和表</w:t>
      </w:r>
      <w:r>
        <w:t>4.</w:t>
      </w:r>
      <w:r>
        <w:rPr>
          <w:rFonts w:hint="eastAsia"/>
        </w:rPr>
        <w:t>7—4</w:t>
      </w:r>
      <w:r>
        <w:rPr>
          <w:rFonts w:hint="eastAsia"/>
          <w:szCs w:val="24"/>
        </w:rPr>
        <w:t>。</w:t>
      </w:r>
    </w:p>
    <w:p>
      <w:pPr>
        <w:ind w:firstLine="480"/>
        <w:rPr>
          <w:szCs w:val="20"/>
        </w:rPr>
      </w:pPr>
      <w:r>
        <w:rPr>
          <w:rFonts w:hint="eastAsia"/>
        </w:rPr>
        <w:t>表</w:t>
      </w:r>
      <w:r>
        <w:t>4.</w:t>
      </w:r>
      <w:r>
        <w:rPr>
          <w:rFonts w:hint="eastAsia"/>
        </w:rPr>
        <w:t>7—3             固化“三废”污染源情况</w:t>
      </w:r>
    </w:p>
    <w:tbl>
      <w:tblPr>
        <w:tblStyle w:val="88"/>
        <w:tblW w:w="5000" w:type="pct"/>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59"/>
        <w:gridCol w:w="680"/>
        <w:gridCol w:w="2166"/>
        <w:gridCol w:w="987"/>
        <w:gridCol w:w="2495"/>
        <w:gridCol w:w="997"/>
        <w:gridCol w:w="1870"/>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621"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hAnsi="宋体"/>
                <w:sz w:val="21"/>
              </w:rPr>
              <w:t>类别</w:t>
            </w:r>
          </w:p>
        </w:tc>
        <w:tc>
          <w:tcPr>
            <w:tcW w:w="641"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hAnsi="宋体"/>
                <w:sz w:val="21"/>
              </w:rPr>
              <w:t>代号</w:t>
            </w:r>
          </w:p>
        </w:tc>
        <w:tc>
          <w:tcPr>
            <w:tcW w:w="2041"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hAnsi="宋体"/>
                <w:sz w:val="21"/>
              </w:rPr>
              <w:t>污染物名称</w:t>
            </w:r>
          </w:p>
        </w:tc>
        <w:tc>
          <w:tcPr>
            <w:tcW w:w="930"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hAnsi="宋体"/>
                <w:sz w:val="21"/>
              </w:rPr>
              <w:t>产生量</w:t>
            </w:r>
          </w:p>
        </w:tc>
        <w:tc>
          <w:tcPr>
            <w:tcW w:w="2351"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hAnsi="宋体"/>
                <w:sz w:val="21"/>
              </w:rPr>
              <w:t>主要成分</w:t>
            </w:r>
          </w:p>
        </w:tc>
        <w:tc>
          <w:tcPr>
            <w:tcW w:w="940"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hAnsi="宋体"/>
                <w:sz w:val="21"/>
              </w:rPr>
              <w:t>排放</w:t>
            </w:r>
          </w:p>
          <w:p>
            <w:pPr>
              <w:snapToGrid w:val="0"/>
              <w:spacing w:line="240" w:lineRule="atLeast"/>
              <w:ind w:firstLine="0" w:firstLineChars="0"/>
              <w:jc w:val="center"/>
              <w:rPr>
                <w:sz w:val="21"/>
              </w:rPr>
            </w:pPr>
            <w:r>
              <w:rPr>
                <w:rFonts w:hint="eastAsia" w:hAnsi="宋体"/>
                <w:sz w:val="21"/>
              </w:rPr>
              <w:t>规律</w:t>
            </w:r>
          </w:p>
        </w:tc>
        <w:tc>
          <w:tcPr>
            <w:tcW w:w="1762"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hAnsi="宋体"/>
                <w:sz w:val="21"/>
              </w:rPr>
              <w:t>处理措施</w:t>
            </w:r>
          </w:p>
          <w:p>
            <w:pPr>
              <w:snapToGrid w:val="0"/>
              <w:spacing w:line="240" w:lineRule="atLeast"/>
              <w:ind w:firstLine="0" w:firstLineChars="0"/>
              <w:jc w:val="center"/>
              <w:rPr>
                <w:sz w:val="21"/>
              </w:rPr>
            </w:pPr>
            <w:r>
              <w:rPr>
                <w:rFonts w:hint="eastAsia" w:hAnsi="宋体"/>
                <w:sz w:val="21"/>
              </w:rPr>
              <w:t>及去向</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3" w:hRule="atLeast"/>
        </w:trPr>
        <w:tc>
          <w:tcPr>
            <w:tcW w:w="621" w:type="dxa"/>
            <w:tcBorders>
              <w:top w:val="single" w:color="000000" w:sz="12" w:space="0"/>
            </w:tcBorders>
            <w:vAlign w:val="center"/>
          </w:tcPr>
          <w:p>
            <w:pPr>
              <w:snapToGrid w:val="0"/>
              <w:spacing w:line="240" w:lineRule="atLeast"/>
              <w:ind w:firstLine="0" w:firstLineChars="0"/>
              <w:jc w:val="center"/>
              <w:rPr>
                <w:sz w:val="21"/>
                <w:lang w:val="pt-BR"/>
              </w:rPr>
            </w:pPr>
            <w:r>
              <w:rPr>
                <w:rFonts w:hint="eastAsia"/>
                <w:sz w:val="21"/>
                <w:lang w:val="pt-BR"/>
              </w:rPr>
              <w:t>废气</w:t>
            </w:r>
          </w:p>
        </w:tc>
        <w:tc>
          <w:tcPr>
            <w:tcW w:w="641"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sz w:val="21"/>
              </w:rPr>
              <w:t>G4</w:t>
            </w:r>
          </w:p>
        </w:tc>
        <w:tc>
          <w:tcPr>
            <w:tcW w:w="2041"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sz w:val="21"/>
              </w:rPr>
              <w:t>转运及上料系统</w:t>
            </w:r>
          </w:p>
          <w:p>
            <w:pPr>
              <w:snapToGrid w:val="0"/>
              <w:spacing w:line="240" w:lineRule="atLeast"/>
              <w:ind w:firstLine="0" w:firstLineChars="0"/>
              <w:jc w:val="center"/>
              <w:rPr>
                <w:sz w:val="21"/>
              </w:rPr>
            </w:pPr>
            <w:r>
              <w:rPr>
                <w:rFonts w:hint="eastAsia"/>
                <w:sz w:val="21"/>
              </w:rPr>
              <w:t>排气</w:t>
            </w:r>
          </w:p>
        </w:tc>
        <w:tc>
          <w:tcPr>
            <w:tcW w:w="930"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sz w:val="21"/>
              </w:rPr>
              <w:t>15</w:t>
            </w:r>
            <w:r>
              <w:rPr>
                <w:sz w:val="21"/>
              </w:rPr>
              <w:t>000</w:t>
            </w:r>
          </w:p>
          <w:p>
            <w:pPr>
              <w:snapToGrid w:val="0"/>
              <w:spacing w:line="240" w:lineRule="atLeast"/>
              <w:ind w:firstLine="0" w:firstLineChars="0"/>
              <w:jc w:val="center"/>
              <w:rPr>
                <w:sz w:val="21"/>
              </w:rPr>
            </w:pPr>
            <w:r>
              <w:rPr>
                <w:sz w:val="21"/>
              </w:rPr>
              <w:t>Nm</w:t>
            </w:r>
            <w:r>
              <w:rPr>
                <w:sz w:val="21"/>
                <w:vertAlign w:val="superscript"/>
              </w:rPr>
              <w:t>3</w:t>
            </w:r>
            <w:r>
              <w:rPr>
                <w:sz w:val="21"/>
              </w:rPr>
              <w:t>/h</w:t>
            </w:r>
          </w:p>
        </w:tc>
        <w:tc>
          <w:tcPr>
            <w:tcW w:w="2351" w:type="dxa"/>
            <w:tcBorders>
              <w:top w:val="single" w:color="000000" w:sz="12" w:space="0"/>
              <w:bottom w:val="single" w:color="000000" w:sz="12" w:space="0"/>
            </w:tcBorders>
            <w:vAlign w:val="center"/>
          </w:tcPr>
          <w:p>
            <w:pPr>
              <w:snapToGrid w:val="0"/>
              <w:spacing w:line="240" w:lineRule="atLeast"/>
              <w:ind w:firstLine="0" w:firstLineChars="0"/>
              <w:jc w:val="center"/>
              <w:rPr>
                <w:sz w:val="21"/>
                <w:vertAlign w:val="superscript"/>
              </w:rPr>
            </w:pPr>
            <w:r>
              <w:rPr>
                <w:rFonts w:hint="eastAsia"/>
                <w:sz w:val="21"/>
              </w:rPr>
              <w:t>粉尘：</w:t>
            </w:r>
            <w:r>
              <w:rPr>
                <w:sz w:val="21"/>
              </w:rPr>
              <w:t>1000mg/Nm</w:t>
            </w:r>
            <w:r>
              <w:rPr>
                <w:sz w:val="21"/>
                <w:vertAlign w:val="superscript"/>
              </w:rPr>
              <w:t>3</w:t>
            </w:r>
          </w:p>
        </w:tc>
        <w:tc>
          <w:tcPr>
            <w:tcW w:w="940" w:type="dxa"/>
            <w:tcBorders>
              <w:top w:val="single" w:color="000000" w:sz="12" w:space="0"/>
              <w:bottom w:val="single" w:color="000000" w:sz="12" w:space="0"/>
            </w:tcBorders>
            <w:vAlign w:val="center"/>
          </w:tcPr>
          <w:p>
            <w:pPr>
              <w:snapToGrid w:val="0"/>
              <w:spacing w:line="240" w:lineRule="atLeast"/>
              <w:ind w:firstLine="0" w:firstLineChars="0"/>
              <w:jc w:val="center"/>
              <w:rPr>
                <w:rFonts w:hAnsi="宋体"/>
                <w:sz w:val="21"/>
              </w:rPr>
            </w:pPr>
            <w:r>
              <w:rPr>
                <w:rFonts w:hint="eastAsia"/>
                <w:sz w:val="21"/>
              </w:rPr>
              <w:t>连续</w:t>
            </w:r>
          </w:p>
        </w:tc>
        <w:tc>
          <w:tcPr>
            <w:tcW w:w="1762" w:type="dxa"/>
            <w:tcBorders>
              <w:top w:val="single" w:color="000000" w:sz="12" w:space="0"/>
              <w:bottom w:val="single" w:color="000000" w:sz="12" w:space="0"/>
            </w:tcBorders>
            <w:vAlign w:val="center"/>
          </w:tcPr>
          <w:p>
            <w:pPr>
              <w:snapToGrid w:val="0"/>
              <w:spacing w:line="240" w:lineRule="atLeast"/>
              <w:ind w:firstLine="0" w:firstLineChars="0"/>
              <w:jc w:val="center"/>
              <w:rPr>
                <w:sz w:val="21"/>
              </w:rPr>
            </w:pPr>
            <w:r>
              <w:rPr>
                <w:rFonts w:hint="eastAsia"/>
                <w:sz w:val="21"/>
              </w:rPr>
              <w:t>布袋除尘器</w:t>
            </w:r>
          </w:p>
          <w:p>
            <w:pPr>
              <w:snapToGrid w:val="0"/>
              <w:spacing w:line="240" w:lineRule="atLeast"/>
              <w:ind w:firstLine="0" w:firstLineChars="0"/>
              <w:jc w:val="center"/>
              <w:rPr>
                <w:sz w:val="21"/>
                <w:lang w:val="pt-BR"/>
              </w:rPr>
            </w:pPr>
            <w:r>
              <w:rPr>
                <w:sz w:val="21"/>
                <w:lang w:val="pt-BR"/>
              </w:rPr>
              <w:t>H=20m</w:t>
            </w:r>
          </w:p>
          <w:p>
            <w:pPr>
              <w:snapToGrid w:val="0"/>
              <w:spacing w:line="240" w:lineRule="atLeast"/>
              <w:ind w:firstLine="0" w:firstLineChars="0"/>
              <w:jc w:val="center"/>
              <w:rPr>
                <w:sz w:val="21"/>
                <w:lang w:val="pt-BR"/>
              </w:rPr>
            </w:pPr>
            <w:r>
              <w:rPr>
                <w:sz w:val="21"/>
                <w:lang w:val="pt-BR"/>
              </w:rPr>
              <w:t>D=800mm</w:t>
            </w:r>
          </w:p>
          <w:p>
            <w:pPr>
              <w:snapToGrid w:val="0"/>
              <w:spacing w:line="240" w:lineRule="atLeast"/>
              <w:ind w:firstLine="0" w:firstLineChars="0"/>
              <w:jc w:val="center"/>
              <w:rPr>
                <w:sz w:val="21"/>
              </w:rPr>
            </w:pPr>
            <w:r>
              <w:rPr>
                <w:sz w:val="21"/>
                <w:lang w:val="pt-BR"/>
              </w:rPr>
              <w:t>T=20</w:t>
            </w:r>
            <w:r>
              <w:rPr>
                <w:rFonts w:hint="eastAsia" w:ascii="宋体" w:hAnsi="宋体"/>
                <w:sz w:val="21"/>
                <w:lang w:val="pt-BR"/>
              </w:rPr>
              <w:t>℃</w:t>
            </w:r>
          </w:p>
        </w:tc>
      </w:tr>
    </w:tbl>
    <w:p>
      <w:pPr>
        <w:autoSpaceDE w:val="0"/>
        <w:autoSpaceDN w:val="0"/>
        <w:ind w:firstLine="480"/>
      </w:pPr>
    </w:p>
    <w:p>
      <w:pPr>
        <w:autoSpaceDE w:val="0"/>
        <w:autoSpaceDN w:val="0"/>
        <w:ind w:firstLine="480"/>
        <w:rPr>
          <w:rFonts w:cs="Times New Roman"/>
          <w:szCs w:val="20"/>
        </w:rPr>
      </w:pPr>
      <w:r>
        <w:rPr>
          <w:rFonts w:hint="eastAsia"/>
        </w:rPr>
        <w:t>表</w:t>
      </w:r>
      <w:r>
        <w:t>4.</w:t>
      </w:r>
      <w:r>
        <w:rPr>
          <w:rFonts w:hint="eastAsia"/>
        </w:rPr>
        <w:t>7—4             固化车间无组织废气产生情况</w:t>
      </w:r>
    </w:p>
    <w:tbl>
      <w:tblPr>
        <w:tblStyle w:val="88"/>
        <w:tblW w:w="5000" w:type="pct"/>
        <w:tblInd w:w="0" w:type="dxa"/>
        <w:tblLayout w:type="fixed"/>
        <w:tblCellMar>
          <w:top w:w="0" w:type="dxa"/>
          <w:left w:w="108" w:type="dxa"/>
          <w:bottom w:w="0" w:type="dxa"/>
          <w:right w:w="108" w:type="dxa"/>
        </w:tblCellMar>
      </w:tblPr>
      <w:tblGrid>
        <w:gridCol w:w="3629"/>
        <w:gridCol w:w="3113"/>
        <w:gridCol w:w="3112"/>
      </w:tblGrid>
      <w:tr>
        <w:tblPrEx>
          <w:tblCellMar>
            <w:top w:w="0" w:type="dxa"/>
            <w:left w:w="108" w:type="dxa"/>
            <w:bottom w:w="0" w:type="dxa"/>
            <w:right w:w="108" w:type="dxa"/>
          </w:tblCellMar>
        </w:tblPrEx>
        <w:trPr>
          <w:trHeight w:val="270" w:hRule="atLeast"/>
        </w:trPr>
        <w:tc>
          <w:tcPr>
            <w:tcW w:w="3419"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污染物名称</w:t>
            </w:r>
          </w:p>
        </w:tc>
        <w:tc>
          <w:tcPr>
            <w:tcW w:w="5867" w:type="dxa"/>
            <w:gridSpan w:val="2"/>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hAnsi="宋体"/>
                <w:sz w:val="21"/>
              </w:rPr>
              <w:t>主要成分</w:t>
            </w:r>
          </w:p>
        </w:tc>
      </w:tr>
      <w:tr>
        <w:tblPrEx>
          <w:tblCellMar>
            <w:top w:w="0" w:type="dxa"/>
            <w:left w:w="108" w:type="dxa"/>
            <w:bottom w:w="0" w:type="dxa"/>
            <w:right w:w="108" w:type="dxa"/>
          </w:tblCellMar>
        </w:tblPrEx>
        <w:trPr>
          <w:trHeight w:val="210" w:hRule="atLeast"/>
        </w:trPr>
        <w:tc>
          <w:tcPr>
            <w:tcW w:w="3419"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名称</w:t>
            </w:r>
          </w:p>
        </w:tc>
        <w:tc>
          <w:tcPr>
            <w:tcW w:w="2933"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速率</w:t>
            </w:r>
            <w:r>
              <w:rPr>
                <w:rFonts w:hAnsi="宋体"/>
                <w:sz w:val="21"/>
              </w:rPr>
              <w:t>(kg/h)</w:t>
            </w:r>
          </w:p>
        </w:tc>
      </w:tr>
      <w:tr>
        <w:tblPrEx>
          <w:tblCellMar>
            <w:top w:w="0" w:type="dxa"/>
            <w:left w:w="108" w:type="dxa"/>
            <w:bottom w:w="0" w:type="dxa"/>
            <w:right w:w="108" w:type="dxa"/>
          </w:tblCellMar>
        </w:tblPrEx>
        <w:trPr>
          <w:trHeight w:val="479" w:hRule="atLeast"/>
        </w:trPr>
        <w:tc>
          <w:tcPr>
            <w:tcW w:w="3419" w:type="dxa"/>
            <w:tcBorders>
              <w:top w:val="single" w:color="auto" w:sz="12" w:space="0"/>
              <w:left w:val="nil"/>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处置场固化车间</w:t>
            </w:r>
          </w:p>
          <w:p>
            <w:pPr>
              <w:snapToGrid w:val="0"/>
              <w:spacing w:line="240" w:lineRule="atLeast"/>
              <w:ind w:firstLine="0" w:firstLineChars="0"/>
              <w:jc w:val="center"/>
              <w:rPr>
                <w:sz w:val="21"/>
              </w:rPr>
            </w:pPr>
            <w:r>
              <w:rPr>
                <w:rFonts w:hint="eastAsia"/>
                <w:sz w:val="21"/>
              </w:rPr>
              <w:t>无组织废气</w:t>
            </w:r>
          </w:p>
        </w:tc>
        <w:tc>
          <w:tcPr>
            <w:tcW w:w="2934" w:type="dxa"/>
            <w:tcBorders>
              <w:top w:val="single" w:color="auto" w:sz="12"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粉尘</w:t>
            </w:r>
          </w:p>
        </w:tc>
        <w:tc>
          <w:tcPr>
            <w:tcW w:w="2933" w:type="dxa"/>
            <w:tcBorders>
              <w:top w:val="single" w:color="auto" w:sz="12" w:space="0"/>
              <w:left w:val="dotted" w:color="auto" w:sz="4" w:space="0"/>
              <w:bottom w:val="single" w:color="auto" w:sz="12" w:space="0"/>
              <w:right w:val="nil"/>
            </w:tcBorders>
            <w:vAlign w:val="center"/>
          </w:tcPr>
          <w:p>
            <w:pPr>
              <w:snapToGrid w:val="0"/>
              <w:spacing w:line="240" w:lineRule="atLeast"/>
              <w:ind w:firstLine="0" w:firstLineChars="0"/>
              <w:jc w:val="center"/>
              <w:rPr>
                <w:sz w:val="21"/>
              </w:rPr>
            </w:pPr>
            <w:r>
              <w:rPr>
                <w:sz w:val="21"/>
              </w:rPr>
              <w:t>0.</w:t>
            </w:r>
            <w:r>
              <w:rPr>
                <w:rFonts w:hint="eastAsia"/>
                <w:sz w:val="21"/>
              </w:rPr>
              <w:t>23</w:t>
            </w:r>
          </w:p>
        </w:tc>
      </w:tr>
    </w:tbl>
    <w:p>
      <w:pPr>
        <w:pStyle w:val="161"/>
        <w:ind w:firstLine="480"/>
      </w:pPr>
    </w:p>
    <w:p>
      <w:pPr>
        <w:pStyle w:val="4"/>
        <w:rPr>
          <w:lang w:val="zh-CN"/>
        </w:rPr>
      </w:pPr>
      <w:bookmarkStart w:id="255" w:name="_Toc13760157"/>
      <w:r>
        <w:rPr>
          <w:rFonts w:hint="eastAsia"/>
        </w:rPr>
        <w:t>4.8改扩建</w:t>
      </w:r>
      <w:r>
        <w:rPr>
          <w:rFonts w:hint="eastAsia"/>
          <w:lang w:val="zh-CN"/>
        </w:rPr>
        <w:t>后公辅工程方案</w:t>
      </w:r>
      <w:bookmarkEnd w:id="255"/>
    </w:p>
    <w:p>
      <w:pPr>
        <w:pStyle w:val="5"/>
        <w:rPr>
          <w:rFonts w:asciiTheme="minorEastAsia" w:hAnsiTheme="minorEastAsia" w:eastAsiaTheme="minorEastAsia"/>
        </w:rPr>
      </w:pPr>
      <w:bookmarkStart w:id="256" w:name="_Toc13760158"/>
      <w:r>
        <w:rPr>
          <w:rFonts w:hint="eastAsia"/>
          <w:lang w:val="zh-CN"/>
        </w:rPr>
        <w:t>4.8.1污水处理设置方案</w:t>
      </w:r>
      <w:bookmarkEnd w:id="256"/>
    </w:p>
    <w:p>
      <w:pPr>
        <w:ind w:firstLine="480"/>
      </w:pPr>
      <w:r>
        <w:rPr>
          <w:rFonts w:hint="eastAsia"/>
        </w:rPr>
        <w:t>与之前批复环评相比，改扩建后项目全厂污水处理工艺和方案没变化，生活污水经化粪池预处理后，送至全厂污水处理站进行处理；</w:t>
      </w:r>
      <w:r>
        <w:rPr>
          <w:rFonts w:cs="Times New Roman"/>
          <w:szCs w:val="24"/>
        </w:rPr>
        <w:t>本项目物化车间澄清池排水和沉淀池废水经“絮凝沉淀”处理后</w:t>
      </w:r>
      <w:r>
        <w:rPr>
          <w:rFonts w:hint="eastAsia" w:cs="Times New Roman"/>
          <w:szCs w:val="24"/>
        </w:rPr>
        <w:t>排水、</w:t>
      </w:r>
      <w:r>
        <w:rPr>
          <w:rFonts w:cs="Times New Roman"/>
          <w:szCs w:val="24"/>
        </w:rPr>
        <w:t>焚烧车间喷淋洗涤塔排水由本车间污水处理模块经“絮凝沉淀”处理后排水、冲洗废水、安全填埋场渗滤液</w:t>
      </w:r>
      <w:r>
        <w:rPr>
          <w:rFonts w:hint="eastAsia" w:cs="Times New Roman"/>
          <w:szCs w:val="24"/>
        </w:rPr>
        <w:t>、</w:t>
      </w:r>
      <w:r>
        <w:rPr>
          <w:rFonts w:cs="Times New Roman"/>
          <w:szCs w:val="24"/>
        </w:rPr>
        <w:t>物化车间酸雾吸收塔排水</w:t>
      </w:r>
      <w:r>
        <w:rPr>
          <w:rFonts w:hint="eastAsia" w:cs="Times New Roman"/>
          <w:szCs w:val="24"/>
        </w:rPr>
        <w:t>、</w:t>
      </w:r>
      <w:r>
        <w:rPr>
          <w:rFonts w:cs="Times New Roman"/>
          <w:szCs w:val="24"/>
        </w:rPr>
        <w:t>循环水系统排水</w:t>
      </w:r>
      <w:r>
        <w:rPr>
          <w:rFonts w:hint="eastAsia" w:cs="Times New Roman"/>
          <w:szCs w:val="24"/>
        </w:rPr>
        <w:t>、</w:t>
      </w:r>
      <w:r>
        <w:rPr>
          <w:rFonts w:cs="Times New Roman"/>
          <w:szCs w:val="24"/>
        </w:rPr>
        <w:t>余热锅炉排水及软化水系统排水</w:t>
      </w:r>
      <w:r>
        <w:rPr>
          <w:rFonts w:hint="eastAsia" w:cs="Times New Roman"/>
          <w:szCs w:val="24"/>
        </w:rPr>
        <w:t>、</w:t>
      </w:r>
      <w:r>
        <w:rPr>
          <w:rFonts w:cs="Times New Roman"/>
          <w:szCs w:val="24"/>
        </w:rPr>
        <w:t>污水处理站排浓水</w:t>
      </w:r>
      <w:r>
        <w:rPr>
          <w:rFonts w:hint="eastAsia" w:cs="Times New Roman"/>
          <w:szCs w:val="24"/>
        </w:rPr>
        <w:t>进污水处理站</w:t>
      </w:r>
      <w:r>
        <w:rPr>
          <w:rFonts w:cs="Times New Roman"/>
          <w:szCs w:val="24"/>
        </w:rPr>
        <w:t>采用“Fenton+强制循环蒸发”的方法进行处理，处理后的冷凝液与化验用水以及生活污水送至污水处理站，经“絮凝沉淀+水解酸化+MBR+回用系统”处理后，出水部分回用至固化车间，其余回用至焚烧车间，浓水送至</w:t>
      </w:r>
      <w:r>
        <w:rPr>
          <w:rFonts w:hint="eastAsia" w:cs="Times New Roman"/>
          <w:szCs w:val="24"/>
        </w:rPr>
        <w:t>固化</w:t>
      </w:r>
      <w:r>
        <w:rPr>
          <w:rFonts w:cs="Times New Roman"/>
          <w:szCs w:val="24"/>
        </w:rPr>
        <w:t>车间。</w:t>
      </w:r>
      <w:r>
        <w:rPr>
          <w:rFonts w:cs="Times New Roman"/>
          <w:szCs w:val="24"/>
          <w:lang w:val="pt-BR"/>
        </w:rPr>
        <w:t>本项目处理后的废水全部回用于各生产工段，全厂无废水外排。</w:t>
      </w:r>
      <w:r>
        <w:rPr>
          <w:rFonts w:hint="eastAsia"/>
        </w:rPr>
        <w:t>污水处理站规模扩大为500m</w:t>
      </w:r>
      <w:r>
        <w:rPr>
          <w:rFonts w:hint="eastAsia"/>
          <w:vertAlign w:val="superscript"/>
        </w:rPr>
        <w:t>3</w:t>
      </w:r>
      <w:r>
        <w:rPr>
          <w:rFonts w:hint="eastAsia"/>
        </w:rPr>
        <w:t>/d。</w:t>
      </w:r>
      <w:r>
        <w:rPr>
          <w:rFonts w:hint="eastAsia" w:asciiTheme="minorEastAsia" w:hAnsiTheme="minorEastAsia" w:eastAsiaTheme="minorEastAsia"/>
        </w:rPr>
        <w:t>本次针对改扩建</w:t>
      </w:r>
      <w:r>
        <w:rPr>
          <w:rFonts w:hint="eastAsia"/>
        </w:rPr>
        <w:t>后全厂污水处理设置方案进行介绍及评价。</w:t>
      </w:r>
    </w:p>
    <w:p>
      <w:pPr>
        <w:pStyle w:val="161"/>
        <w:ind w:firstLine="480"/>
        <w:outlineLvl w:val="0"/>
      </w:pPr>
      <w:bookmarkStart w:id="257" w:name="_Toc13760159"/>
      <w:bookmarkStart w:id="258" w:name="_Toc13582118"/>
      <w:r>
        <w:rPr>
          <w:rFonts w:hint="eastAsia" w:hAnsi="宋体"/>
        </w:rPr>
        <w:t>⑴</w:t>
      </w:r>
      <w:r>
        <w:rPr>
          <w:rFonts w:hint="eastAsia"/>
        </w:rPr>
        <w:t>生活污水排水系统</w:t>
      </w:r>
      <w:bookmarkEnd w:id="257"/>
      <w:bookmarkEnd w:id="258"/>
    </w:p>
    <w:p>
      <w:pPr>
        <w:ind w:firstLine="480"/>
      </w:pPr>
      <w:r>
        <w:rPr>
          <w:rFonts w:hint="eastAsia"/>
        </w:rPr>
        <w:t>本系统主要用于收集各装置区建筑物内卫生间、厕所、浴室、餐厅等设施的生活污水。危废综合处置厂的生活污水收集经装置区内的化粪池预处理后，</w:t>
      </w:r>
      <w:r>
        <w:rPr>
          <w:rFonts w:hint="eastAsia"/>
          <w:szCs w:val="24"/>
        </w:rPr>
        <w:t>送至全厂污水处理站进行处理</w:t>
      </w:r>
      <w:r>
        <w:rPr>
          <w:rFonts w:hint="eastAsia"/>
        </w:rPr>
        <w:t>；安全填埋场产生的生活污水排入厂区设置的防渗化粪池，定期由吸污车进行清理运输至全厂污水处理站进行处理。全厂生活污水产生量为</w:t>
      </w:r>
      <w:r>
        <w:t>9.92m</w:t>
      </w:r>
      <w:r>
        <w:rPr>
          <w:vertAlign w:val="superscript"/>
        </w:rPr>
        <w:t>3</w:t>
      </w:r>
      <w:r>
        <w:t>/d</w:t>
      </w:r>
      <w:r>
        <w:rPr>
          <w:rFonts w:hint="eastAsia"/>
        </w:rPr>
        <w:t>。</w:t>
      </w:r>
    </w:p>
    <w:p>
      <w:pPr>
        <w:pStyle w:val="161"/>
        <w:ind w:firstLine="480"/>
        <w:outlineLvl w:val="0"/>
      </w:pPr>
      <w:bookmarkStart w:id="259" w:name="_Toc13760160"/>
      <w:bookmarkStart w:id="260" w:name="_Toc13582119"/>
      <w:r>
        <w:rPr>
          <w:rFonts w:hint="eastAsia" w:hAnsi="宋体"/>
        </w:rPr>
        <w:t>⑵</w:t>
      </w:r>
      <w:r>
        <w:rPr>
          <w:rFonts w:hint="eastAsia"/>
        </w:rPr>
        <w:t>化验废水排水系统</w:t>
      </w:r>
      <w:bookmarkEnd w:id="259"/>
      <w:bookmarkEnd w:id="260"/>
    </w:p>
    <w:p>
      <w:pPr>
        <w:ind w:firstLine="480"/>
      </w:pPr>
      <w:r>
        <w:rPr>
          <w:rFonts w:hint="eastAsia"/>
        </w:rPr>
        <w:t>项目设有分析中心，内设化验室对危险废物的成分、热值、重金属含量以及水质进行分析。由于化验室的特点，造成此部分水量复杂多变，污染物浓度较高，废水中主要污染物为</w:t>
      </w:r>
      <w:r>
        <w:t>COD</w:t>
      </w:r>
      <w:r>
        <w:rPr>
          <w:rFonts w:hint="eastAsia"/>
        </w:rPr>
        <w:t>、重金属、石油类等。实验室有毒的化学品废水为3</w:t>
      </w:r>
      <w:r>
        <w:t>.0m</w:t>
      </w:r>
      <w:r>
        <w:rPr>
          <w:vertAlign w:val="superscript"/>
        </w:rPr>
        <w:t>3</w:t>
      </w:r>
      <w:r>
        <w:t>/d</w:t>
      </w:r>
      <w:r>
        <w:rPr>
          <w:rFonts w:hint="eastAsia"/>
        </w:rPr>
        <w:t>，收集后送至本项目厂区污水处理站进行处理。</w:t>
      </w:r>
    </w:p>
    <w:p>
      <w:pPr>
        <w:pStyle w:val="161"/>
        <w:ind w:firstLine="480"/>
        <w:outlineLvl w:val="0"/>
      </w:pPr>
      <w:bookmarkStart w:id="261" w:name="_Toc13760161"/>
      <w:bookmarkStart w:id="262" w:name="_Toc13582120"/>
      <w:r>
        <w:rPr>
          <w:rFonts w:hint="eastAsia" w:hAnsi="宋体"/>
        </w:rPr>
        <w:t>⑶</w:t>
      </w:r>
      <w:r>
        <w:rPr>
          <w:rFonts w:hint="eastAsia"/>
        </w:rPr>
        <w:t>冲洗废水排水系统</w:t>
      </w:r>
      <w:bookmarkEnd w:id="261"/>
      <w:bookmarkEnd w:id="262"/>
    </w:p>
    <w:p>
      <w:pPr>
        <w:ind w:firstLine="480"/>
      </w:pPr>
      <w:r>
        <w:rPr>
          <w:rFonts w:hint="eastAsia"/>
        </w:rPr>
        <w:t>冲洗废水主要包括地面清洗水、洗车废水和容器冲洗水。由于运输中的抛洒和烟气污染物进入大气候的扩散沉降，厂内道路、场地冲洗排水中含有悬浮物和少量重金属；危险废物运输车辆卸料后必须冲洗才能出场，洗车废水中含有石油类、悬浮物、重金属、有机物等；场内包装桶需要清洗，废水中含有石油类、悬浮物、重金属、有机物等。危废综合处置厂的冲洗废水收集后直接送至全厂污水处理站，安全填埋场产生的冲洗废水排入安全填埋场洗车台处设置的容积为</w:t>
      </w:r>
      <w:r>
        <w:t>100m</w:t>
      </w:r>
      <w:r>
        <w:rPr>
          <w:vertAlign w:val="superscript"/>
        </w:rPr>
        <w:t>3</w:t>
      </w:r>
      <w:r>
        <w:rPr>
          <w:rFonts w:hint="eastAsia"/>
        </w:rPr>
        <w:t>的防渗暂存池，定期由吸污车进行清理运输至全厂污水处理站，先进行</w:t>
      </w:r>
      <w:r>
        <w:t>“Fenton+强制循环蒸发”</w:t>
      </w:r>
      <w:r>
        <w:rPr>
          <w:rFonts w:hint="eastAsia"/>
        </w:rPr>
        <w:t>处理，再</w:t>
      </w:r>
      <w:r>
        <w:t>经“絮凝沉淀+水解酸化+MBR+回用系统”处理</w:t>
      </w:r>
      <w:r>
        <w:rPr>
          <w:rFonts w:hint="eastAsia"/>
        </w:rPr>
        <w:t>。全厂冲洗废水产生量为30.0</w:t>
      </w:r>
      <w:r>
        <w:t>m</w:t>
      </w:r>
      <w:r>
        <w:rPr>
          <w:vertAlign w:val="superscript"/>
        </w:rPr>
        <w:t>3</w:t>
      </w:r>
      <w:r>
        <w:t>/d</w:t>
      </w:r>
      <w:r>
        <w:rPr>
          <w:rFonts w:hint="eastAsia"/>
        </w:rPr>
        <w:t>。</w:t>
      </w:r>
    </w:p>
    <w:p>
      <w:pPr>
        <w:pStyle w:val="161"/>
        <w:ind w:firstLine="480"/>
        <w:outlineLvl w:val="0"/>
      </w:pPr>
      <w:bookmarkStart w:id="263" w:name="_Toc13760162"/>
      <w:bookmarkStart w:id="264" w:name="_Toc13582121"/>
      <w:r>
        <w:rPr>
          <w:rFonts w:hint="eastAsia" w:hAnsi="宋体"/>
        </w:rPr>
        <w:t>⑷</w:t>
      </w:r>
      <w:r>
        <w:rPr>
          <w:rFonts w:hint="eastAsia"/>
        </w:rPr>
        <w:t>填埋场渗滤液排水系统</w:t>
      </w:r>
      <w:bookmarkEnd w:id="263"/>
      <w:bookmarkEnd w:id="264"/>
    </w:p>
    <w:p>
      <w:pPr>
        <w:ind w:firstLine="480"/>
      </w:pPr>
      <w:r>
        <w:rPr>
          <w:rFonts w:hint="eastAsia"/>
        </w:rPr>
        <w:t>本项目全厂渗滤液产生量为</w:t>
      </w:r>
      <w:r>
        <w:t>8.6m</w:t>
      </w:r>
      <w:r>
        <w:rPr>
          <w:vertAlign w:val="superscript"/>
        </w:rPr>
        <w:t>3</w:t>
      </w:r>
      <w:r>
        <w:t>/d</w:t>
      </w:r>
      <w:r>
        <w:rPr>
          <w:rFonts w:hint="eastAsia"/>
        </w:rPr>
        <w:t>，该部分废水由罐车送至全厂污水处理站进行处理。先进行</w:t>
      </w:r>
      <w:r>
        <w:t>“Fenton+强制循环蒸发”</w:t>
      </w:r>
      <w:r>
        <w:rPr>
          <w:rFonts w:hint="eastAsia"/>
        </w:rPr>
        <w:t>处理，再</w:t>
      </w:r>
      <w:r>
        <w:t>经“絮凝沉淀+水解酸化+MBR+回用系统”处理</w:t>
      </w:r>
      <w:r>
        <w:rPr>
          <w:rFonts w:hint="eastAsia"/>
        </w:rPr>
        <w:t>。</w:t>
      </w:r>
    </w:p>
    <w:p>
      <w:pPr>
        <w:pStyle w:val="161"/>
        <w:ind w:firstLine="480"/>
        <w:outlineLvl w:val="0"/>
      </w:pPr>
      <w:bookmarkStart w:id="265" w:name="_Toc13582122"/>
      <w:bookmarkStart w:id="266" w:name="_Toc13760163"/>
      <w:r>
        <w:rPr>
          <w:rFonts w:hint="eastAsia" w:hAnsi="宋体"/>
        </w:rPr>
        <w:t>⑸</w:t>
      </w:r>
      <w:r>
        <w:rPr>
          <w:rFonts w:hint="eastAsia"/>
        </w:rPr>
        <w:t>生产废水排水系统</w:t>
      </w:r>
      <w:bookmarkEnd w:id="265"/>
      <w:bookmarkEnd w:id="266"/>
    </w:p>
    <w:p>
      <w:pPr>
        <w:ind w:firstLine="480"/>
      </w:pPr>
      <w:r>
        <w:rPr>
          <w:rFonts w:hint="eastAsia"/>
        </w:rPr>
        <w:t>生产废水排水系统主要收集物化车间、</w:t>
      </w:r>
      <w:r>
        <w:rPr>
          <w:rFonts w:hint="eastAsia"/>
          <w:szCs w:val="24"/>
        </w:rPr>
        <w:t>软化水站、循环水系统、余热锅炉和焚烧车间的排水。</w:t>
      </w:r>
    </w:p>
    <w:p>
      <w:pPr>
        <w:ind w:firstLine="480"/>
      </w:pPr>
      <w:r>
        <w:rPr>
          <w:rFonts w:hint="eastAsia"/>
        </w:rPr>
        <w:t>物化车间的酸雾吸收塔排水1.89</w:t>
      </w:r>
      <w:r>
        <w:t>m</w:t>
      </w:r>
      <w:r>
        <w:rPr>
          <w:vertAlign w:val="superscript"/>
        </w:rPr>
        <w:t>3</w:t>
      </w:r>
      <w:r>
        <w:t>/d</w:t>
      </w:r>
      <w:r>
        <w:rPr>
          <w:rFonts w:hint="eastAsia"/>
        </w:rPr>
        <w:t>送至污水处理站处理，澄清池排水41.948</w:t>
      </w:r>
      <w:r>
        <w:t>m</w:t>
      </w:r>
      <w:r>
        <w:rPr>
          <w:vertAlign w:val="superscript"/>
        </w:rPr>
        <w:t>3</w:t>
      </w:r>
      <w:r>
        <w:t>/d</w:t>
      </w:r>
      <w:r>
        <w:rPr>
          <w:rFonts w:hint="eastAsia"/>
        </w:rPr>
        <w:t>和沉淀池废水9.702</w:t>
      </w:r>
      <w:r>
        <w:t>m</w:t>
      </w:r>
      <w:r>
        <w:rPr>
          <w:vertAlign w:val="superscript"/>
        </w:rPr>
        <w:t>3</w:t>
      </w:r>
      <w:r>
        <w:t>/d</w:t>
      </w:r>
      <w:r>
        <w:rPr>
          <w:rFonts w:hint="eastAsia"/>
        </w:rPr>
        <w:t>经本车间污水处理模块处理、软化水站排污水3.63</w:t>
      </w:r>
      <w:r>
        <w:t>m</w:t>
      </w:r>
      <w:r>
        <w:rPr>
          <w:vertAlign w:val="superscript"/>
        </w:rPr>
        <w:t>3</w:t>
      </w:r>
      <w:r>
        <w:t>/d</w:t>
      </w:r>
      <w:r>
        <w:rPr>
          <w:rFonts w:hint="eastAsia"/>
        </w:rPr>
        <w:t>、循环水系统排污水12.00</w:t>
      </w:r>
      <w:r>
        <w:t>m</w:t>
      </w:r>
      <w:r>
        <w:rPr>
          <w:vertAlign w:val="superscript"/>
        </w:rPr>
        <w:t>3</w:t>
      </w:r>
      <w:r>
        <w:t>/d</w:t>
      </w:r>
      <w:r>
        <w:rPr>
          <w:rFonts w:hint="eastAsia"/>
        </w:rPr>
        <w:t>、余热锅炉排水11.50</w:t>
      </w:r>
      <w:r>
        <w:t>m</w:t>
      </w:r>
      <w:r>
        <w:rPr>
          <w:vertAlign w:val="superscript"/>
        </w:rPr>
        <w:t>3</w:t>
      </w:r>
      <w:r>
        <w:t>/d</w:t>
      </w:r>
      <w:r>
        <w:rPr>
          <w:rFonts w:hint="eastAsia"/>
        </w:rPr>
        <w:t>、喷淋洗涤塔排水排水29.00</w:t>
      </w:r>
      <w:r>
        <w:t>m</w:t>
      </w:r>
      <w:r>
        <w:rPr>
          <w:vertAlign w:val="superscript"/>
        </w:rPr>
        <w:t>3</w:t>
      </w:r>
      <w:r>
        <w:t>/d</w:t>
      </w:r>
      <w:r>
        <w:rPr>
          <w:rFonts w:hint="eastAsia"/>
        </w:rPr>
        <w:t>送至厂区污水处理站的强制蒸发系统；之后再</w:t>
      </w:r>
      <w:r>
        <w:t>经“絮凝沉淀+水解酸化+MBR+回用系统”处理后</w:t>
      </w:r>
      <w:r>
        <w:rPr>
          <w:rFonts w:hint="eastAsia"/>
        </w:rPr>
        <w:t>回用。</w:t>
      </w:r>
    </w:p>
    <w:p>
      <w:pPr>
        <w:pStyle w:val="161"/>
        <w:ind w:firstLine="480"/>
        <w:outlineLvl w:val="0"/>
      </w:pPr>
      <w:bookmarkStart w:id="267" w:name="_Toc13760164"/>
      <w:bookmarkStart w:id="268" w:name="_Toc13582123"/>
      <w:r>
        <w:rPr>
          <w:rFonts w:hint="eastAsia" w:hAnsi="宋体"/>
        </w:rPr>
        <w:t>⑹</w:t>
      </w:r>
      <w:r>
        <w:rPr>
          <w:rFonts w:hint="eastAsia"/>
        </w:rPr>
        <w:t>厂区污水处理站排水系统</w:t>
      </w:r>
      <w:bookmarkEnd w:id="267"/>
      <w:bookmarkEnd w:id="268"/>
    </w:p>
    <w:p>
      <w:pPr>
        <w:ind w:firstLine="480"/>
      </w:pPr>
      <w:r>
        <w:rPr>
          <w:rFonts w:hint="eastAsia"/>
        </w:rPr>
        <w:t>厂区污水处理站收集处理强制蒸发系统的浓水、化验废水、冲洗废水、填埋场渗滤液、</w:t>
      </w:r>
      <w:r>
        <w:t>物化车间酸雾吸收塔排水</w:t>
      </w:r>
      <w:r>
        <w:rPr>
          <w:rFonts w:hint="eastAsia"/>
        </w:rPr>
        <w:t>、</w:t>
      </w:r>
      <w:r>
        <w:t>循环水系统排水</w:t>
      </w:r>
      <w:r>
        <w:rPr>
          <w:rFonts w:hint="eastAsia"/>
        </w:rPr>
        <w:t>、</w:t>
      </w:r>
      <w:r>
        <w:t>余热锅炉排水及软化水系统排水以及生活污水</w:t>
      </w:r>
      <w:r>
        <w:rPr>
          <w:rFonts w:hint="eastAsia"/>
        </w:rPr>
        <w:t>共151.19</w:t>
      </w:r>
      <w:r>
        <w:t>m</w:t>
      </w:r>
      <w:r>
        <w:rPr>
          <w:vertAlign w:val="superscript"/>
        </w:rPr>
        <w:t>3</w:t>
      </w:r>
      <w:r>
        <w:t>/d</w:t>
      </w:r>
      <w:r>
        <w:rPr>
          <w:rFonts w:hint="eastAsia"/>
        </w:rPr>
        <w:t>，</w:t>
      </w:r>
      <w:r>
        <w:rPr>
          <w:rFonts w:hint="eastAsia"/>
          <w:szCs w:val="24"/>
        </w:rPr>
        <w:t>处理后的厂区污水处理站出水部分回用至固化车间，部分回用至焚烧车间，排浓水送至固化车间</w:t>
      </w:r>
      <w:r>
        <w:rPr>
          <w:rFonts w:hint="eastAsia"/>
        </w:rPr>
        <w:t>。</w:t>
      </w:r>
    </w:p>
    <w:p>
      <w:pPr>
        <w:pStyle w:val="161"/>
        <w:ind w:firstLine="480"/>
        <w:outlineLvl w:val="0"/>
      </w:pPr>
      <w:bookmarkStart w:id="269" w:name="_Toc13760165"/>
      <w:bookmarkStart w:id="270" w:name="_Toc13582124"/>
      <w:r>
        <w:rPr>
          <w:rFonts w:hint="eastAsia" w:hAnsi="宋体"/>
        </w:rPr>
        <w:t>⑺</w:t>
      </w:r>
      <w:r>
        <w:rPr>
          <w:rFonts w:hint="eastAsia"/>
        </w:rPr>
        <w:t>污染雨水排水系统</w:t>
      </w:r>
      <w:bookmarkEnd w:id="269"/>
      <w:bookmarkEnd w:id="270"/>
    </w:p>
    <w:p>
      <w:pPr>
        <w:ind w:firstLine="480"/>
      </w:pPr>
      <w:r>
        <w:rPr>
          <w:rFonts w:hint="eastAsia"/>
        </w:rPr>
        <w:t>本系统主要用于收集装置污染区域内的地面初期雨水。</w:t>
      </w:r>
    </w:p>
    <w:p>
      <w:pPr>
        <w:ind w:firstLine="480"/>
        <w:rPr>
          <w:szCs w:val="24"/>
        </w:rPr>
      </w:pPr>
      <w:r>
        <w:rPr>
          <w:rFonts w:hint="eastAsia"/>
          <w:szCs w:val="24"/>
        </w:rPr>
        <w:t>装置污染区的初期污染雨水，应收集后排至厂区设置的一</w:t>
      </w:r>
      <w:r>
        <w:rPr>
          <w:rFonts w:cs="Times New Roman"/>
          <w:szCs w:val="24"/>
        </w:rPr>
        <w:t>座1406.25m</w:t>
      </w:r>
      <w:r>
        <w:rPr>
          <w:rFonts w:cs="Times New Roman"/>
          <w:szCs w:val="24"/>
          <w:vertAlign w:val="superscript"/>
        </w:rPr>
        <w:t>3</w:t>
      </w:r>
      <w:r>
        <w:rPr>
          <w:rFonts w:cs="Times New Roman"/>
          <w:szCs w:val="24"/>
        </w:rPr>
        <w:t>的</w:t>
      </w:r>
      <w:r>
        <w:rPr>
          <w:rFonts w:hint="eastAsia"/>
          <w:szCs w:val="24"/>
        </w:rPr>
        <w:t>事故及雨水池。装置污染区的后期清净雨水通过溢流井，自动切换到清净雨水系统。为保证消防工况下装置雨水管网排水能力的可靠性，各装置界区内的初期雨水管和雨水排出管应按事故及消防工况下的排水量校核管径。</w:t>
      </w:r>
    </w:p>
    <w:p>
      <w:pPr>
        <w:pStyle w:val="161"/>
        <w:ind w:firstLine="480"/>
        <w:outlineLvl w:val="0"/>
      </w:pPr>
      <w:bookmarkStart w:id="271" w:name="_Toc13582125"/>
      <w:bookmarkStart w:id="272" w:name="_Toc13760166"/>
      <w:r>
        <w:rPr>
          <w:rFonts w:hint="eastAsia" w:hAnsi="宋体"/>
        </w:rPr>
        <w:t>⑻</w:t>
      </w:r>
      <w:r>
        <w:rPr>
          <w:rFonts w:hint="eastAsia"/>
        </w:rPr>
        <w:t>雨水排水系统</w:t>
      </w:r>
      <w:bookmarkEnd w:id="271"/>
      <w:bookmarkEnd w:id="272"/>
    </w:p>
    <w:p>
      <w:pPr>
        <w:ind w:firstLine="480"/>
      </w:pPr>
      <w:r>
        <w:rPr>
          <w:rFonts w:hint="eastAsia"/>
        </w:rPr>
        <w:t>本系统收集全厂未污染的雨水，以重力流形式分散、就近排入全厂雨水排水管系统。该系统根据各装置的汇流面积，经计算确定集中以管道重力流排至全厂雨水排水系统。</w:t>
      </w:r>
    </w:p>
    <w:p>
      <w:pPr>
        <w:ind w:firstLine="480"/>
      </w:pPr>
      <w:r>
        <w:rPr>
          <w:rFonts w:hint="eastAsia"/>
        </w:rPr>
        <w:t>污染区和非污染区的雨水沟设计，应用雨水量和该装置消防排水量设计。</w:t>
      </w:r>
    </w:p>
    <w:p>
      <w:pPr>
        <w:pStyle w:val="161"/>
        <w:ind w:firstLine="480"/>
        <w:outlineLvl w:val="0"/>
      </w:pPr>
      <w:bookmarkStart w:id="273" w:name="_Toc13760167"/>
      <w:bookmarkStart w:id="274" w:name="_Toc13582126"/>
      <w:r>
        <w:rPr>
          <w:rFonts w:hint="eastAsia"/>
        </w:rPr>
        <w:t>⑼事故水收集系统</w:t>
      </w:r>
      <w:bookmarkEnd w:id="273"/>
      <w:bookmarkEnd w:id="274"/>
    </w:p>
    <w:p>
      <w:pPr>
        <w:ind w:firstLine="480"/>
      </w:pPr>
      <w:r>
        <w:rPr>
          <w:rFonts w:hint="eastAsia"/>
        </w:rPr>
        <w:t>本项目危废综合处置厂区设</w:t>
      </w:r>
      <w:r>
        <w:t>1</w:t>
      </w:r>
      <w:r>
        <w:rPr>
          <w:rFonts w:hint="eastAsia"/>
        </w:rPr>
        <w:t>座</w:t>
      </w:r>
      <w:r>
        <w:rPr>
          <w:rFonts w:cs="Times New Roman"/>
          <w:szCs w:val="24"/>
        </w:rPr>
        <w:t>1406.25m</w:t>
      </w:r>
      <w:r>
        <w:rPr>
          <w:rFonts w:cs="Times New Roman"/>
          <w:szCs w:val="24"/>
          <w:vertAlign w:val="superscript"/>
        </w:rPr>
        <w:t>3</w:t>
      </w:r>
      <w:r>
        <w:rPr>
          <w:rFonts w:hint="eastAsia"/>
        </w:rPr>
        <w:t>的全厂事故及雨水收集池。</w:t>
      </w:r>
    </w:p>
    <w:p>
      <w:pPr>
        <w:ind w:firstLine="480"/>
      </w:pPr>
      <w:r>
        <w:rPr>
          <w:rFonts w:hint="eastAsia"/>
        </w:rPr>
        <w:t>本项目危废综合处置厂区设置</w:t>
      </w:r>
      <w:r>
        <w:t>1</w:t>
      </w:r>
      <w:r>
        <w:rPr>
          <w:rFonts w:hint="eastAsia"/>
        </w:rPr>
        <w:t>座焚烧车间废水收集池，收集本项目焚烧车间非满负荷运行的情况下该车间未能回用的厂区排水。</w:t>
      </w:r>
    </w:p>
    <w:p>
      <w:pPr>
        <w:pStyle w:val="5"/>
        <w:rPr>
          <w:rFonts w:asciiTheme="minorEastAsia" w:hAnsiTheme="minorEastAsia" w:eastAsiaTheme="minorEastAsia"/>
        </w:rPr>
      </w:pPr>
      <w:bookmarkStart w:id="275" w:name="_Toc13760168"/>
      <w:r>
        <w:rPr>
          <w:rFonts w:hint="eastAsia"/>
          <w:lang w:val="zh-CN"/>
        </w:rPr>
        <w:t>4.8.2供气及供热方案</w:t>
      </w:r>
      <w:bookmarkEnd w:id="275"/>
    </w:p>
    <w:p>
      <w:pPr>
        <w:pStyle w:val="178"/>
        <w:snapToGrid w:val="0"/>
        <w:ind w:firstLine="480"/>
        <w:jc w:val="both"/>
        <w:rPr>
          <w:rFonts w:ascii="Times New Roman" w:hAnsi="Times New Roman"/>
        </w:rPr>
      </w:pPr>
      <w:r>
        <w:rPr>
          <w:rFonts w:hint="eastAsia" w:ascii="Times New Roman" w:hAnsi="Times New Roman"/>
        </w:rPr>
        <w:t>改扩建项目全厂蒸汽来源为焚烧工段的余热锅炉，主要用于除氧器、助燃空气预热，焚烧车间烟气加热器等。项目全厂蒸汽平衡表见表4.8—2，全厂蒸汽平衡图见图4.8—2。</w:t>
      </w:r>
    </w:p>
    <w:p>
      <w:pPr>
        <w:pStyle w:val="178"/>
        <w:snapToGrid w:val="0"/>
        <w:ind w:firstLine="480"/>
        <w:jc w:val="both"/>
        <w:rPr>
          <w:rFonts w:ascii="Times New Roman" w:hAnsi="Times New Roman"/>
        </w:rPr>
      </w:pPr>
      <w:r>
        <w:rPr>
          <w:rFonts w:hint="eastAsia" w:ascii="Times New Roman" w:hAnsi="Times New Roman"/>
        </w:rPr>
        <w:t>本项目设置一座10</w:t>
      </w:r>
      <w:r>
        <w:rPr>
          <w:rFonts w:ascii="Times New Roman" w:hAnsi="Times New Roman"/>
        </w:rPr>
        <w:t>t/h</w:t>
      </w:r>
      <w:r>
        <w:rPr>
          <w:rFonts w:hint="eastAsia" w:ascii="Times New Roman" w:hAnsi="Times New Roman"/>
        </w:rPr>
        <w:t>的备用燃气锅炉，当本项目焚烧车间非正常运行时，全厂供热供汽由备用燃气锅炉进行供给。</w:t>
      </w:r>
    </w:p>
    <w:p>
      <w:pPr>
        <w:pStyle w:val="178"/>
        <w:snapToGrid w:val="0"/>
        <w:ind w:firstLine="480"/>
        <w:rPr>
          <w:rFonts w:ascii="Times New Roman" w:hAnsi="Times New Roman"/>
        </w:rPr>
      </w:pPr>
      <w:r>
        <w:rPr>
          <w:rFonts w:hint="eastAsia" w:ascii="Times New Roman" w:hAnsi="Times New Roman"/>
        </w:rPr>
        <w:t>表</w:t>
      </w:r>
      <w:bookmarkStart w:id="276" w:name="OLE_LINK1"/>
      <w:bookmarkStart w:id="277" w:name="OLE_LINK2"/>
      <w:r>
        <w:rPr>
          <w:rFonts w:hint="eastAsia" w:ascii="Times New Roman" w:hAnsi="Times New Roman"/>
        </w:rPr>
        <w:t>4.8—2</w:t>
      </w:r>
      <w:bookmarkEnd w:id="276"/>
      <w:bookmarkEnd w:id="277"/>
      <w:r>
        <w:rPr>
          <w:rFonts w:hint="eastAsia" w:ascii="Times New Roman" w:hAnsi="Times New Roman"/>
        </w:rPr>
        <w:t xml:space="preserve">                    全厂蒸汽平衡表</w:t>
      </w:r>
    </w:p>
    <w:tbl>
      <w:tblPr>
        <w:tblStyle w:val="88"/>
        <w:tblW w:w="5000" w:type="pct"/>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706"/>
        <w:gridCol w:w="2932"/>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vMerge w:val="restart"/>
            <w:tcBorders>
              <w:top w:val="single" w:color="000000" w:sz="12" w:space="0"/>
              <w:left w:val="nil"/>
              <w:bottom w:val="single" w:color="auto" w:sz="12" w:space="0"/>
              <w:right w:val="dotted" w:color="auto" w:sz="4" w:space="0"/>
              <w:tl2br w:val="single" w:color="auto" w:sz="12" w:space="0"/>
            </w:tcBorders>
            <w:vAlign w:val="center"/>
          </w:tcPr>
          <w:p>
            <w:pPr>
              <w:spacing w:line="280" w:lineRule="exact"/>
              <w:ind w:firstLine="0" w:firstLineChars="0"/>
              <w:jc w:val="center"/>
              <w:rPr>
                <w:rFonts w:cs="Times New Roman"/>
                <w:sz w:val="21"/>
              </w:rPr>
            </w:pPr>
            <w:r>
              <w:rPr>
                <w:rFonts w:hint="eastAsia"/>
                <w:sz w:val="21"/>
              </w:rPr>
              <w:t>蒸汽参数</w:t>
            </w:r>
          </w:p>
          <w:p>
            <w:pPr>
              <w:spacing w:line="280" w:lineRule="exact"/>
              <w:ind w:firstLine="420"/>
              <w:rPr>
                <w:sz w:val="21"/>
              </w:rPr>
            </w:pPr>
            <w:r>
              <w:rPr>
                <w:rFonts w:hint="eastAsia"/>
                <w:sz w:val="21"/>
              </w:rPr>
              <w:t>用汽名称</w:t>
            </w:r>
          </w:p>
        </w:tc>
        <w:tc>
          <w:tcPr>
            <w:tcW w:w="2759" w:type="dxa"/>
            <w:tcBorders>
              <w:top w:val="single" w:color="000000" w:sz="12" w:space="0"/>
              <w:left w:val="dotted" w:color="auto" w:sz="4" w:space="0"/>
              <w:bottom w:val="dotted" w:color="auto" w:sz="4" w:space="0"/>
              <w:right w:val="nil"/>
            </w:tcBorders>
            <w:vAlign w:val="center"/>
          </w:tcPr>
          <w:p>
            <w:pPr>
              <w:spacing w:line="280" w:lineRule="exact"/>
              <w:ind w:firstLine="0" w:firstLineChars="0"/>
              <w:jc w:val="center"/>
              <w:rPr>
                <w:sz w:val="21"/>
              </w:rPr>
            </w:pPr>
            <w:r>
              <w:rPr>
                <w:rFonts w:hint="eastAsia"/>
                <w:sz w:val="21"/>
              </w:rPr>
              <w:t>蒸汽负荷</w:t>
            </w:r>
            <w:r>
              <w:rPr>
                <w:sz w:val="21"/>
              </w:rPr>
              <w:t>(t/h)</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vMerge w:val="continue"/>
            <w:tcBorders>
              <w:top w:val="single" w:color="auto" w:sz="12" w:space="0"/>
              <w:left w:val="nil"/>
              <w:bottom w:val="single" w:color="auto" w:sz="12" w:space="0"/>
              <w:right w:val="dotted" w:color="auto" w:sz="4" w:space="0"/>
              <w:tl2br w:val="single" w:color="auto" w:sz="12" w:space="0"/>
            </w:tcBorders>
            <w:vAlign w:val="center"/>
          </w:tcPr>
          <w:p>
            <w:pPr>
              <w:widowControl/>
              <w:ind w:firstLine="0" w:firstLineChars="0"/>
              <w:jc w:val="left"/>
              <w:rPr>
                <w:sz w:val="21"/>
              </w:rPr>
            </w:pPr>
          </w:p>
        </w:tc>
        <w:tc>
          <w:tcPr>
            <w:tcW w:w="2759" w:type="dxa"/>
            <w:tcBorders>
              <w:top w:val="dotted" w:color="auto" w:sz="4" w:space="0"/>
              <w:left w:val="dotted" w:color="auto" w:sz="4" w:space="0"/>
              <w:bottom w:val="single" w:color="auto" w:sz="12" w:space="0"/>
              <w:right w:val="nil"/>
            </w:tcBorders>
            <w:vAlign w:val="center"/>
          </w:tcPr>
          <w:p>
            <w:pPr>
              <w:spacing w:line="280" w:lineRule="exact"/>
              <w:ind w:firstLine="0" w:firstLineChars="0"/>
              <w:jc w:val="center"/>
              <w:rPr>
                <w:rFonts w:cs="Times New Roman"/>
                <w:sz w:val="21"/>
              </w:rPr>
            </w:pPr>
            <w:r>
              <w:rPr>
                <w:sz w:val="21"/>
              </w:rPr>
              <w:t>0.80MPa(G)</w:t>
            </w:r>
          </w:p>
          <w:p>
            <w:pPr>
              <w:spacing w:line="280" w:lineRule="exact"/>
              <w:ind w:firstLine="0" w:firstLineChars="0"/>
              <w:jc w:val="center"/>
              <w:rPr>
                <w:sz w:val="21"/>
              </w:rPr>
            </w:pPr>
            <w:r>
              <w:rPr>
                <w:sz w:val="21"/>
              </w:rPr>
              <w:t>180</w:t>
            </w:r>
            <w:r>
              <w:rPr>
                <w:rFonts w:hint="eastAsia" w:ascii="宋体" w:hAnsi="宋体"/>
                <w:sz w:val="21"/>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余热锅炉</w:t>
            </w:r>
          </w:p>
        </w:tc>
        <w:tc>
          <w:tcPr>
            <w:tcW w:w="2759" w:type="dxa"/>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center"/>
              <w:rPr>
                <w:kern w:val="0"/>
                <w:sz w:val="21"/>
              </w:rPr>
            </w:pPr>
            <w:r>
              <w:rPr>
                <w:kern w:val="0"/>
                <w:sz w:val="21"/>
              </w:rPr>
              <w:t>-</w:t>
            </w:r>
            <w:r>
              <w:rPr>
                <w:rFonts w:hint="eastAsia"/>
                <w:kern w:val="0"/>
                <w:sz w:val="21"/>
              </w:rPr>
              <w:t>4.90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除氧器</w:t>
            </w:r>
          </w:p>
        </w:tc>
        <w:tc>
          <w:tcPr>
            <w:tcW w:w="2759" w:type="dxa"/>
            <w:tcBorders>
              <w:top w:val="dotted" w:color="auto" w:sz="4" w:space="0"/>
              <w:left w:val="dotted" w:color="auto" w:sz="4" w:space="0"/>
              <w:bottom w:val="dotted" w:color="auto" w:sz="4" w:space="0"/>
              <w:right w:val="nil"/>
            </w:tcBorders>
            <w:vAlign w:val="bottom"/>
          </w:tcPr>
          <w:p>
            <w:pPr>
              <w:spacing w:line="240" w:lineRule="atLeast"/>
              <w:ind w:firstLine="0" w:firstLineChars="0"/>
              <w:jc w:val="center"/>
              <w:rPr>
                <w:sz w:val="21"/>
              </w:rPr>
            </w:pPr>
            <w:r>
              <w:rPr>
                <w:sz w:val="21"/>
              </w:rPr>
              <w:t>0.1</w:t>
            </w:r>
            <w:r>
              <w:rPr>
                <w:rFonts w:hint="eastAsia"/>
                <w:sz w:val="21"/>
              </w:rPr>
              <w:t>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焚烧车间二次助燃空气预热器</w:t>
            </w:r>
          </w:p>
        </w:tc>
        <w:tc>
          <w:tcPr>
            <w:tcW w:w="2759" w:type="dxa"/>
            <w:tcBorders>
              <w:top w:val="dotted" w:color="auto" w:sz="4" w:space="0"/>
              <w:left w:val="dotted" w:color="auto" w:sz="4" w:space="0"/>
              <w:bottom w:val="dotted" w:color="auto" w:sz="4" w:space="0"/>
              <w:right w:val="nil"/>
            </w:tcBorders>
            <w:vAlign w:val="bottom"/>
          </w:tcPr>
          <w:p>
            <w:pPr>
              <w:spacing w:line="240" w:lineRule="atLeast"/>
              <w:ind w:firstLine="0" w:firstLineChars="0"/>
              <w:jc w:val="center"/>
              <w:rPr>
                <w:sz w:val="21"/>
              </w:rPr>
            </w:pPr>
            <w:r>
              <w:rPr>
                <w:rFonts w:hint="eastAsia"/>
                <w:sz w:val="21"/>
              </w:rPr>
              <w:t>1.25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焚烧车间烟气加热器</w:t>
            </w:r>
          </w:p>
        </w:tc>
        <w:tc>
          <w:tcPr>
            <w:tcW w:w="2759" w:type="dxa"/>
            <w:tcBorders>
              <w:top w:val="dotted" w:color="auto" w:sz="4" w:space="0"/>
              <w:left w:val="dotted" w:color="auto" w:sz="4" w:space="0"/>
              <w:bottom w:val="dotted" w:color="auto" w:sz="4" w:space="0"/>
              <w:right w:val="nil"/>
            </w:tcBorders>
            <w:vAlign w:val="bottom"/>
          </w:tcPr>
          <w:p>
            <w:pPr>
              <w:spacing w:line="240" w:lineRule="atLeast"/>
              <w:ind w:firstLine="0" w:firstLineChars="0"/>
              <w:jc w:val="center"/>
              <w:rPr>
                <w:sz w:val="21"/>
              </w:rPr>
            </w:pPr>
            <w:r>
              <w:rPr>
                <w:rFonts w:hint="eastAsia"/>
                <w:sz w:val="21"/>
              </w:rPr>
              <w:t>2.00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罐区</w:t>
            </w:r>
          </w:p>
        </w:tc>
        <w:tc>
          <w:tcPr>
            <w:tcW w:w="2759" w:type="dxa"/>
            <w:tcBorders>
              <w:top w:val="dotted" w:color="auto" w:sz="4" w:space="0"/>
              <w:left w:val="dotted" w:color="auto" w:sz="4" w:space="0"/>
              <w:bottom w:val="dotted" w:color="auto" w:sz="4" w:space="0"/>
              <w:right w:val="nil"/>
            </w:tcBorders>
            <w:vAlign w:val="bottom"/>
          </w:tcPr>
          <w:p>
            <w:pPr>
              <w:spacing w:line="240" w:lineRule="atLeast"/>
              <w:ind w:firstLine="0" w:firstLineChars="0"/>
              <w:jc w:val="center"/>
              <w:rPr>
                <w:sz w:val="21"/>
              </w:rPr>
            </w:pPr>
            <w:r>
              <w:rPr>
                <w:rFonts w:hint="eastAsia"/>
                <w:sz w:val="21"/>
              </w:rPr>
              <w:t>0.45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强制循环蒸发系统</w:t>
            </w:r>
          </w:p>
        </w:tc>
        <w:tc>
          <w:tcPr>
            <w:tcW w:w="2759" w:type="dxa"/>
            <w:tcBorders>
              <w:top w:val="dotted" w:color="auto" w:sz="4" w:space="0"/>
              <w:left w:val="dotted" w:color="auto" w:sz="4" w:space="0"/>
              <w:bottom w:val="dotted" w:color="auto" w:sz="4" w:space="0"/>
              <w:right w:val="nil"/>
            </w:tcBorders>
            <w:vAlign w:val="bottom"/>
          </w:tcPr>
          <w:p>
            <w:pPr>
              <w:spacing w:line="240" w:lineRule="atLeast"/>
              <w:ind w:firstLine="0" w:firstLineChars="0"/>
              <w:jc w:val="center"/>
              <w:rPr>
                <w:sz w:val="21"/>
              </w:rPr>
            </w:pPr>
            <w:r>
              <w:rPr>
                <w:sz w:val="21"/>
              </w:rPr>
              <w:t>0.</w:t>
            </w:r>
            <w:r>
              <w:rPr>
                <w:rFonts w:hint="eastAsia"/>
                <w:sz w:val="21"/>
              </w:rPr>
              <w:t>40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采暖及伴热</w:t>
            </w:r>
          </w:p>
        </w:tc>
        <w:tc>
          <w:tcPr>
            <w:tcW w:w="2759" w:type="dxa"/>
            <w:tcBorders>
              <w:top w:val="dotted" w:color="auto" w:sz="4" w:space="0"/>
              <w:left w:val="dotted" w:color="auto" w:sz="4" w:space="0"/>
              <w:bottom w:val="dotted" w:color="auto" w:sz="4" w:space="0"/>
              <w:right w:val="nil"/>
            </w:tcBorders>
            <w:vAlign w:val="bottom"/>
          </w:tcPr>
          <w:p>
            <w:pPr>
              <w:spacing w:line="240" w:lineRule="atLeast"/>
              <w:ind w:firstLine="0" w:firstLineChars="0"/>
              <w:jc w:val="center"/>
              <w:rPr>
                <w:sz w:val="21"/>
              </w:rPr>
            </w:pPr>
            <w:r>
              <w:rPr>
                <w:sz w:val="21"/>
              </w:rPr>
              <w:t>0.</w:t>
            </w:r>
            <w:r>
              <w:rPr>
                <w:rFonts w:hint="eastAsia"/>
                <w:sz w:val="21"/>
              </w:rPr>
              <w:t>6</w:t>
            </w:r>
            <w:r>
              <w:rPr>
                <w:sz w:val="21"/>
              </w:rPr>
              <w:t>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损失</w:t>
            </w:r>
          </w:p>
        </w:tc>
        <w:tc>
          <w:tcPr>
            <w:tcW w:w="2759" w:type="dxa"/>
            <w:tcBorders>
              <w:top w:val="dotted" w:color="auto" w:sz="4" w:space="0"/>
              <w:left w:val="dotted" w:color="auto" w:sz="4" w:space="0"/>
              <w:bottom w:val="dotted" w:color="auto" w:sz="4" w:space="0"/>
              <w:right w:val="nil"/>
            </w:tcBorders>
            <w:vAlign w:val="bottom"/>
          </w:tcPr>
          <w:p>
            <w:pPr>
              <w:spacing w:line="240" w:lineRule="atLeast"/>
              <w:ind w:firstLine="0" w:firstLineChars="0"/>
              <w:jc w:val="center"/>
              <w:rPr>
                <w:sz w:val="21"/>
              </w:rPr>
            </w:pPr>
            <w:r>
              <w:rPr>
                <w:sz w:val="21"/>
              </w:rPr>
              <w:t>0.05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0" w:hRule="atLeast"/>
        </w:trPr>
        <w:tc>
          <w:tcPr>
            <w:tcW w:w="6311" w:type="dxa"/>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center"/>
              <w:rPr>
                <w:kern w:val="0"/>
                <w:sz w:val="21"/>
              </w:rPr>
            </w:pPr>
            <w:r>
              <w:rPr>
                <w:rFonts w:hint="eastAsia"/>
                <w:kern w:val="0"/>
                <w:sz w:val="21"/>
              </w:rPr>
              <w:t>合计</w:t>
            </w:r>
          </w:p>
        </w:tc>
        <w:tc>
          <w:tcPr>
            <w:tcW w:w="2759" w:type="dxa"/>
            <w:tcBorders>
              <w:top w:val="dotted" w:color="auto" w:sz="4" w:space="0"/>
              <w:left w:val="dotted" w:color="auto" w:sz="4" w:space="0"/>
              <w:bottom w:val="single" w:color="000000" w:sz="12" w:space="0"/>
              <w:right w:val="nil"/>
            </w:tcBorders>
            <w:vAlign w:val="center"/>
          </w:tcPr>
          <w:p>
            <w:pPr>
              <w:widowControl/>
              <w:spacing w:line="240" w:lineRule="atLeast"/>
              <w:ind w:firstLine="0" w:firstLineChars="0"/>
              <w:jc w:val="center"/>
              <w:rPr>
                <w:kern w:val="0"/>
                <w:sz w:val="21"/>
              </w:rPr>
            </w:pPr>
            <w:r>
              <w:rPr>
                <w:kern w:val="0"/>
                <w:sz w:val="21"/>
              </w:rPr>
              <w:t>0</w:t>
            </w:r>
          </w:p>
        </w:tc>
      </w:tr>
    </w:tbl>
    <w:p>
      <w:pPr>
        <w:widowControl/>
        <w:ind w:firstLine="488"/>
        <w:jc w:val="left"/>
        <w:rPr>
          <w:spacing w:val="2"/>
          <w:szCs w:val="28"/>
        </w:rPr>
      </w:pPr>
    </w:p>
    <w:p>
      <w:pPr>
        <w:ind w:firstLine="480"/>
      </w:pPr>
    </w:p>
    <w:p>
      <w:pPr>
        <w:ind w:firstLine="480"/>
        <w:sectPr>
          <w:pgSz w:w="11906" w:h="16838"/>
          <w:pgMar w:top="1418" w:right="1134" w:bottom="1418" w:left="1134" w:header="851" w:footer="850" w:gutter="0"/>
          <w:cols w:space="425" w:num="1"/>
          <w:docGrid w:type="lines" w:linePitch="326" w:charSpace="0"/>
        </w:sectPr>
      </w:pPr>
    </w:p>
    <w:p>
      <w:pPr>
        <w:autoSpaceDE w:val="0"/>
        <w:autoSpaceDN w:val="0"/>
        <w:adjustRightInd w:val="0"/>
        <w:snapToGrid w:val="0"/>
        <w:ind w:firstLine="480"/>
        <w:rPr>
          <w:rFonts w:eastAsia="黑体"/>
        </w:rPr>
      </w:pPr>
      <w:r>
        <w:rPr>
          <w:rFonts w:hint="eastAsia"/>
        </w:rPr>
        <w:t>表4.8—1                                                    全厂水平衡表单位：</w:t>
      </w:r>
      <w:r>
        <w:t>t/d</w:t>
      </w:r>
    </w:p>
    <w:tbl>
      <w:tblPr>
        <w:tblStyle w:val="88"/>
        <w:tblW w:w="14570" w:type="dxa"/>
        <w:tblInd w:w="0" w:type="dxa"/>
        <w:tblLayout w:type="fixed"/>
        <w:tblCellMar>
          <w:top w:w="0" w:type="dxa"/>
          <w:left w:w="0" w:type="dxa"/>
          <w:bottom w:w="0" w:type="dxa"/>
          <w:right w:w="0" w:type="dxa"/>
        </w:tblCellMar>
      </w:tblPr>
      <w:tblGrid>
        <w:gridCol w:w="1735"/>
        <w:gridCol w:w="1207"/>
        <w:gridCol w:w="1090"/>
        <w:gridCol w:w="714"/>
        <w:gridCol w:w="632"/>
        <w:gridCol w:w="734"/>
        <w:gridCol w:w="591"/>
        <w:gridCol w:w="1235"/>
        <w:gridCol w:w="1134"/>
        <w:gridCol w:w="1134"/>
        <w:gridCol w:w="993"/>
        <w:gridCol w:w="1134"/>
        <w:gridCol w:w="894"/>
        <w:gridCol w:w="1343"/>
      </w:tblGrid>
      <w:tr>
        <w:tblPrEx>
          <w:tblCellMar>
            <w:top w:w="0" w:type="dxa"/>
            <w:left w:w="0" w:type="dxa"/>
            <w:bottom w:w="0" w:type="dxa"/>
            <w:right w:w="0" w:type="dxa"/>
          </w:tblCellMar>
        </w:tblPrEx>
        <w:trPr>
          <w:trHeight w:val="284" w:hRule="atLeast"/>
        </w:trPr>
        <w:tc>
          <w:tcPr>
            <w:tcW w:w="1735"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类别</w:t>
            </w:r>
          </w:p>
          <w:p>
            <w:pPr>
              <w:snapToGrid w:val="0"/>
              <w:spacing w:line="240" w:lineRule="atLeast"/>
              <w:ind w:firstLine="0" w:firstLineChars="0"/>
              <w:jc w:val="center"/>
              <w:rPr>
                <w:sz w:val="21"/>
              </w:rPr>
            </w:pPr>
            <w:r>
              <w:rPr>
                <w:rFonts w:hint="eastAsia"/>
                <w:sz w:val="21"/>
              </w:rPr>
              <w:t>装置</w:t>
            </w:r>
          </w:p>
        </w:tc>
        <w:tc>
          <w:tcPr>
            <w:tcW w:w="6203" w:type="dxa"/>
            <w:gridSpan w:val="7"/>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入方</w:t>
            </w:r>
          </w:p>
        </w:tc>
        <w:tc>
          <w:tcPr>
            <w:tcW w:w="6632" w:type="dxa"/>
            <w:gridSpan w:val="6"/>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sz w:val="21"/>
              </w:rPr>
              <w:t>出方</w:t>
            </w:r>
          </w:p>
        </w:tc>
      </w:tr>
      <w:tr>
        <w:tblPrEx>
          <w:tblCellMar>
            <w:top w:w="0" w:type="dxa"/>
            <w:left w:w="0" w:type="dxa"/>
            <w:bottom w:w="0" w:type="dxa"/>
            <w:right w:w="0" w:type="dxa"/>
          </w:tblCellMar>
        </w:tblPrEx>
        <w:trPr>
          <w:trHeight w:val="284" w:hRule="atLeast"/>
        </w:trPr>
        <w:tc>
          <w:tcPr>
            <w:tcW w:w="1735"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207"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新鲜水</w:t>
            </w:r>
          </w:p>
        </w:tc>
        <w:tc>
          <w:tcPr>
            <w:tcW w:w="1090"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带入水</w:t>
            </w:r>
            <w:r>
              <w:rPr>
                <w:sz w:val="21"/>
              </w:rPr>
              <w:t>/</w:t>
            </w:r>
            <w:r>
              <w:rPr>
                <w:rFonts w:hint="eastAsia"/>
                <w:sz w:val="21"/>
              </w:rPr>
              <w:t>反应生成水</w:t>
            </w:r>
            <w:r>
              <w:rPr>
                <w:sz w:val="21"/>
              </w:rPr>
              <w:t>/</w:t>
            </w:r>
            <w:r>
              <w:rPr>
                <w:rFonts w:hint="eastAsia"/>
                <w:sz w:val="21"/>
              </w:rPr>
              <w:t>外来水</w:t>
            </w:r>
          </w:p>
        </w:tc>
        <w:tc>
          <w:tcPr>
            <w:tcW w:w="71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循环水</w:t>
            </w:r>
          </w:p>
        </w:tc>
        <w:tc>
          <w:tcPr>
            <w:tcW w:w="632"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软水</w:t>
            </w:r>
          </w:p>
        </w:tc>
        <w:tc>
          <w:tcPr>
            <w:tcW w:w="73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回用水</w:t>
            </w:r>
          </w:p>
        </w:tc>
        <w:tc>
          <w:tcPr>
            <w:tcW w:w="591"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其他</w:t>
            </w:r>
          </w:p>
        </w:tc>
        <w:tc>
          <w:tcPr>
            <w:tcW w:w="1235"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小计</w:t>
            </w:r>
          </w:p>
        </w:tc>
        <w:tc>
          <w:tcPr>
            <w:tcW w:w="113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循环使用水</w:t>
            </w:r>
          </w:p>
        </w:tc>
        <w:tc>
          <w:tcPr>
            <w:tcW w:w="113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污废水</w:t>
            </w:r>
          </w:p>
        </w:tc>
        <w:tc>
          <w:tcPr>
            <w:tcW w:w="99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出水</w:t>
            </w:r>
          </w:p>
        </w:tc>
        <w:tc>
          <w:tcPr>
            <w:tcW w:w="113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损耗</w:t>
            </w:r>
          </w:p>
        </w:tc>
        <w:tc>
          <w:tcPr>
            <w:tcW w:w="89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产品</w:t>
            </w:r>
            <w:r>
              <w:rPr>
                <w:sz w:val="21"/>
              </w:rPr>
              <w:t>/</w:t>
            </w:r>
            <w:r>
              <w:rPr>
                <w:rFonts w:hint="eastAsia"/>
                <w:sz w:val="21"/>
              </w:rPr>
              <w:t>废物带走</w:t>
            </w:r>
          </w:p>
        </w:tc>
        <w:tc>
          <w:tcPr>
            <w:tcW w:w="1343"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sz w:val="21"/>
              </w:rPr>
            </w:pPr>
            <w:r>
              <w:rPr>
                <w:rFonts w:hint="eastAsia"/>
                <w:sz w:val="21"/>
              </w:rPr>
              <w:t>小计</w:t>
            </w:r>
          </w:p>
        </w:tc>
      </w:tr>
      <w:tr>
        <w:tblPrEx>
          <w:tblCellMar>
            <w:top w:w="0" w:type="dxa"/>
            <w:left w:w="0" w:type="dxa"/>
            <w:bottom w:w="0" w:type="dxa"/>
            <w:right w:w="0" w:type="dxa"/>
          </w:tblCellMar>
        </w:tblPrEx>
        <w:trPr>
          <w:trHeight w:val="480" w:hRule="atLeast"/>
        </w:trPr>
        <w:tc>
          <w:tcPr>
            <w:tcW w:w="1735" w:type="dxa"/>
            <w:tcBorders>
              <w:top w:val="single" w:color="auto" w:sz="12"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未预见用水</w:t>
            </w:r>
          </w:p>
        </w:tc>
        <w:tc>
          <w:tcPr>
            <w:tcW w:w="1207"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8.5</w:t>
            </w:r>
            <w:r>
              <w:rPr>
                <w:rFonts w:hint="eastAsia"/>
                <w:sz w:val="21"/>
              </w:rPr>
              <w:t>0</w:t>
            </w:r>
          </w:p>
        </w:tc>
        <w:tc>
          <w:tcPr>
            <w:tcW w:w="1090"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1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8.5</w:t>
            </w:r>
            <w:r>
              <w:rPr>
                <w:rFonts w:hint="eastAsia"/>
                <w:sz w:val="21"/>
              </w:rPr>
              <w:t>0</w:t>
            </w:r>
          </w:p>
        </w:tc>
        <w:tc>
          <w:tcPr>
            <w:tcW w:w="113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99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8.5</w:t>
            </w:r>
            <w:r>
              <w:rPr>
                <w:rFonts w:hint="eastAsia"/>
                <w:sz w:val="21"/>
              </w:rPr>
              <w:t>0</w:t>
            </w:r>
          </w:p>
        </w:tc>
        <w:tc>
          <w:tcPr>
            <w:tcW w:w="89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43" w:type="dxa"/>
            <w:tcBorders>
              <w:top w:val="single" w:color="auto"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8.5</w:t>
            </w:r>
            <w:r>
              <w:rPr>
                <w:rFonts w:hint="eastAsia"/>
                <w:sz w:val="21"/>
              </w:rPr>
              <w:t>0</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循环水系统</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18.00</w:t>
            </w: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18.00</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12.00</w:t>
            </w: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6</w:t>
            </w:r>
            <w:r>
              <w:rPr>
                <w:sz w:val="21"/>
              </w:rPr>
              <w:t>.0</w:t>
            </w:r>
            <w:r>
              <w:rPr>
                <w:rFonts w:hint="eastAsia"/>
                <w:sz w:val="21"/>
              </w:rPr>
              <w:t>0</w:t>
            </w: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18.00</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生活用水</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12.40</w:t>
            </w: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12.40</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9.92</w:t>
            </w: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2.48</w:t>
            </w: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12.40</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化验室用水</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3</w:t>
            </w:r>
            <w:r>
              <w:rPr>
                <w:sz w:val="21"/>
              </w:rPr>
              <w:t>.5</w:t>
            </w:r>
            <w:r>
              <w:rPr>
                <w:rFonts w:hint="eastAsia"/>
                <w:sz w:val="21"/>
              </w:rPr>
              <w:t>0</w:t>
            </w: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3</w:t>
            </w:r>
            <w:r>
              <w:rPr>
                <w:sz w:val="21"/>
              </w:rPr>
              <w:t>.5</w:t>
            </w:r>
            <w:r>
              <w:rPr>
                <w:rFonts w:hint="eastAsia"/>
                <w:sz w:val="21"/>
              </w:rPr>
              <w:t>0</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3.00</w:t>
            </w: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0.5</w:t>
            </w:r>
            <w:r>
              <w:rPr>
                <w:rFonts w:hint="eastAsia"/>
                <w:sz w:val="21"/>
              </w:rPr>
              <w:t>0</w:t>
            </w: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3</w:t>
            </w:r>
            <w:r>
              <w:rPr>
                <w:sz w:val="21"/>
              </w:rPr>
              <w:t>.5</w:t>
            </w:r>
            <w:r>
              <w:rPr>
                <w:rFonts w:hint="eastAsia"/>
                <w:sz w:val="21"/>
              </w:rPr>
              <w:t>0</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冲洗用水</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22.00</w:t>
            </w: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22.00</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20.00</w:t>
            </w: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2.00</w:t>
            </w: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22.00</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渗滤液</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8.6</w:t>
            </w: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8.6</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8.6</w:t>
            </w: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8.6</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物化处理系统</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5.00</w:t>
            </w: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63.74</w:t>
            </w: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200.00</w:t>
            </w: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268.74</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200.00</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53.54</w:t>
            </w: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15.20</w:t>
            </w: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268.74</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固化系统</w:t>
            </w:r>
          </w:p>
          <w:p>
            <w:pPr>
              <w:snapToGrid w:val="0"/>
              <w:spacing w:line="240" w:lineRule="atLeast"/>
              <w:ind w:firstLine="0" w:firstLineChars="0"/>
              <w:jc w:val="center"/>
              <w:rPr>
                <w:sz w:val="21"/>
              </w:rPr>
            </w:pPr>
            <w:r>
              <w:rPr>
                <w:rFonts w:hint="eastAsia"/>
                <w:sz w:val="21"/>
              </w:rPr>
              <w:t>（处置场）</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52.54</w:t>
            </w: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30.00</w:t>
            </w: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82.54</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29.00</w:t>
            </w: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53.54</w:t>
            </w: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82.54</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固化系统</w:t>
            </w:r>
          </w:p>
          <w:p>
            <w:pPr>
              <w:snapToGrid w:val="0"/>
              <w:spacing w:line="240" w:lineRule="atLeast"/>
              <w:ind w:firstLine="0" w:firstLineChars="0"/>
              <w:jc w:val="center"/>
              <w:rPr>
                <w:sz w:val="21"/>
              </w:rPr>
            </w:pPr>
            <w:r>
              <w:rPr>
                <w:rFonts w:hint="eastAsia"/>
                <w:sz w:val="21"/>
              </w:rPr>
              <w:t>（安全填埋场）</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16.00</w:t>
            </w: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33.46</w:t>
            </w: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49.46</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18.00</w:t>
            </w: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31.46</w:t>
            </w: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49.46</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软化水站</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22.33</w:t>
            </w: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133.70</w:t>
            </w: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156.03</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3.63</w:t>
            </w: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147.60</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4.80</w:t>
            </w: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156.03</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余热锅炉</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168</w:t>
            </w: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168</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11.50</w:t>
            </w: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156.50</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168.00</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焚烧系统</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116.27</w:t>
            </w: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400.00</w:t>
            </w: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115.15</w:t>
            </w: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631.42</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400.00</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29.00</w:t>
            </w: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202.42</w:t>
            </w: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631.42</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厂区污水处理站</w:t>
            </w:r>
          </w:p>
        </w:tc>
        <w:tc>
          <w:tcPr>
            <w:tcW w:w="1207"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09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1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632"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7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59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151.19</w:t>
            </w:r>
          </w:p>
        </w:tc>
        <w:tc>
          <w:tcPr>
            <w:tcW w:w="1235"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151.19</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99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145.15</w:t>
            </w:r>
          </w:p>
        </w:tc>
        <w:tc>
          <w:tcPr>
            <w:tcW w:w="11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89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6.04</w:t>
            </w:r>
          </w:p>
        </w:tc>
        <w:tc>
          <w:tcPr>
            <w:tcW w:w="1343"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151.19</w:t>
            </w:r>
          </w:p>
        </w:tc>
      </w:tr>
      <w:tr>
        <w:tblPrEx>
          <w:tblCellMar>
            <w:top w:w="0" w:type="dxa"/>
            <w:left w:w="0" w:type="dxa"/>
            <w:bottom w:w="0" w:type="dxa"/>
            <w:right w:w="0" w:type="dxa"/>
          </w:tblCellMar>
        </w:tblPrEx>
        <w:trPr>
          <w:trHeight w:val="480" w:hRule="atLeast"/>
        </w:trPr>
        <w:tc>
          <w:tcPr>
            <w:tcW w:w="1735" w:type="dxa"/>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207"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2</w:t>
            </w:r>
            <w:r>
              <w:rPr>
                <w:rFonts w:hint="eastAsia"/>
                <w:color w:val="000000"/>
                <w:sz w:val="21"/>
              </w:rPr>
              <w:t>24</w:t>
            </w:r>
          </w:p>
        </w:tc>
        <w:tc>
          <w:tcPr>
            <w:tcW w:w="1090"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1</w:t>
            </w:r>
            <w:r>
              <w:rPr>
                <w:rFonts w:hint="eastAsia"/>
                <w:color w:val="000000"/>
                <w:sz w:val="21"/>
              </w:rPr>
              <w:t>58.34</w:t>
            </w:r>
          </w:p>
        </w:tc>
        <w:tc>
          <w:tcPr>
            <w:tcW w:w="71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600</w:t>
            </w:r>
          </w:p>
        </w:tc>
        <w:tc>
          <w:tcPr>
            <w:tcW w:w="632"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168</w:t>
            </w:r>
          </w:p>
        </w:tc>
        <w:tc>
          <w:tcPr>
            <w:tcW w:w="73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278.85</w:t>
            </w:r>
          </w:p>
        </w:tc>
        <w:tc>
          <w:tcPr>
            <w:tcW w:w="591"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151.19</w:t>
            </w:r>
          </w:p>
        </w:tc>
        <w:tc>
          <w:tcPr>
            <w:tcW w:w="1235"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15</w:t>
            </w:r>
            <w:r>
              <w:rPr>
                <w:rFonts w:hint="eastAsia"/>
                <w:color w:val="000000"/>
                <w:sz w:val="21"/>
              </w:rPr>
              <w:t>80.38</w:t>
            </w:r>
          </w:p>
        </w:tc>
        <w:tc>
          <w:tcPr>
            <w:tcW w:w="113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600</w:t>
            </w:r>
          </w:p>
        </w:tc>
        <w:tc>
          <w:tcPr>
            <w:tcW w:w="113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151.19</w:t>
            </w:r>
          </w:p>
        </w:tc>
        <w:tc>
          <w:tcPr>
            <w:tcW w:w="993"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449.25</w:t>
            </w:r>
          </w:p>
        </w:tc>
        <w:tc>
          <w:tcPr>
            <w:tcW w:w="113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color w:val="000000"/>
                <w:sz w:val="21"/>
              </w:rPr>
              <w:t>2</w:t>
            </w:r>
            <w:r>
              <w:rPr>
                <w:rFonts w:hint="eastAsia"/>
                <w:color w:val="000000"/>
                <w:sz w:val="21"/>
              </w:rPr>
              <w:t>73.70</w:t>
            </w:r>
          </w:p>
        </w:tc>
        <w:tc>
          <w:tcPr>
            <w:tcW w:w="894"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color w:val="000000"/>
                <w:sz w:val="21"/>
              </w:rPr>
            </w:pPr>
            <w:r>
              <w:rPr>
                <w:rFonts w:hint="eastAsia"/>
                <w:color w:val="000000"/>
                <w:sz w:val="21"/>
              </w:rPr>
              <w:t>106.24</w:t>
            </w:r>
          </w:p>
        </w:tc>
        <w:tc>
          <w:tcPr>
            <w:tcW w:w="1343"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color w:val="000000"/>
                <w:sz w:val="21"/>
              </w:rPr>
            </w:pPr>
            <w:r>
              <w:rPr>
                <w:color w:val="000000"/>
                <w:sz w:val="21"/>
              </w:rPr>
              <w:t>15</w:t>
            </w:r>
            <w:r>
              <w:rPr>
                <w:rFonts w:hint="eastAsia"/>
                <w:color w:val="000000"/>
                <w:sz w:val="21"/>
              </w:rPr>
              <w:t>80.38</w:t>
            </w:r>
          </w:p>
        </w:tc>
      </w:tr>
    </w:tbl>
    <w:p>
      <w:pPr>
        <w:ind w:firstLine="480"/>
      </w:pPr>
    </w:p>
    <w:p>
      <w:pPr>
        <w:ind w:firstLine="480"/>
        <w:sectPr>
          <w:pgSz w:w="16838" w:h="11906" w:orient="landscape"/>
          <w:pgMar w:top="1418" w:right="1134" w:bottom="1418" w:left="1134" w:header="851" w:footer="850" w:gutter="0"/>
          <w:cols w:space="425" w:num="1"/>
          <w:docGrid w:type="lines" w:linePitch="326" w:charSpace="0"/>
        </w:sectPr>
      </w:pPr>
    </w:p>
    <w:p>
      <w:pPr>
        <w:ind w:firstLine="0" w:firstLineChars="0"/>
        <w:jc w:val="center"/>
      </w:pPr>
      <w:r>
        <w:object>
          <v:shape id="_x0000_i1034" o:spt="75" type="#_x0000_t75" style="height:632pt;width:453pt;" o:ole="t" filled="f" o:preferrelative="t" stroked="f" coordsize="21600,21600">
            <v:path/>
            <v:fill on="f" focussize="0,0"/>
            <v:stroke on="f" joinstyle="miter"/>
            <v:imagedata r:id="rId36" o:title=""/>
            <o:lock v:ext="edit" aspectratio="t"/>
            <w10:wrap type="none"/>
            <w10:anchorlock/>
          </v:shape>
          <o:OLEObject Type="Embed" ProgID="Visio.Drawing.11" ShapeID="_x0000_i1034" DrawAspect="Content" ObjectID="_1468075734" r:id="rId35">
            <o:LockedField>false</o:LockedField>
          </o:OLEObject>
        </w:object>
      </w:r>
    </w:p>
    <w:p>
      <w:pPr>
        <w:ind w:firstLine="480"/>
      </w:pPr>
      <w:r>
        <w:rPr>
          <w:rFonts w:hint="eastAsia"/>
        </w:rPr>
        <w:t>图4.8—1                         水平衡图</w:t>
      </w:r>
    </w:p>
    <w:p>
      <w:pPr>
        <w:widowControl/>
        <w:ind w:firstLine="488"/>
        <w:jc w:val="left"/>
        <w:rPr>
          <w:spacing w:val="2"/>
          <w:szCs w:val="28"/>
        </w:rPr>
      </w:pPr>
    </w:p>
    <w:p>
      <w:pPr>
        <w:widowControl/>
        <w:ind w:firstLine="488"/>
        <w:jc w:val="left"/>
        <w:rPr>
          <w:spacing w:val="2"/>
          <w:szCs w:val="28"/>
        </w:rPr>
      </w:pPr>
    </w:p>
    <w:p>
      <w:pPr>
        <w:widowControl/>
        <w:ind w:firstLine="488"/>
        <w:jc w:val="left"/>
        <w:rPr>
          <w:spacing w:val="2"/>
          <w:szCs w:val="28"/>
        </w:rPr>
        <w:sectPr>
          <w:pgSz w:w="11906" w:h="16838"/>
          <w:pgMar w:top="1418" w:right="1134" w:bottom="1418" w:left="1134" w:header="850" w:footer="850" w:gutter="0"/>
          <w:cols w:space="720" w:num="1"/>
          <w:docGrid w:linePitch="326" w:charSpace="0"/>
        </w:sect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pStyle w:val="51"/>
        <w:ind w:left="480" w:firstLine="480"/>
      </w:pPr>
    </w:p>
    <w:p>
      <w:pPr>
        <w:pStyle w:val="51"/>
        <w:ind w:left="480" w:firstLine="480"/>
      </w:pPr>
    </w:p>
    <w:p>
      <w:pPr>
        <w:pStyle w:val="51"/>
        <w:spacing w:line="360" w:lineRule="auto"/>
        <w:ind w:left="480" w:firstLine="560"/>
      </w:pPr>
      <w:r>
        <w:rPr>
          <w:rFonts w:hint="eastAsia" w:ascii="宋体" w:cs="Times New Roman"/>
          <w:sz w:val="28"/>
          <w:szCs w:val="20"/>
        </w:rPr>
        <w:object>
          <v:shape id="_x0000_i1035" o:spt="75" type="#_x0000_t75" style="height:155pt;width:624.5pt;" o:ole="t" filled="f" o:preferrelative="t" stroked="f" coordsize="21600,21600">
            <v:path/>
            <v:fill on="f" focussize="0,0"/>
            <v:stroke on="f" joinstyle="miter"/>
            <v:imagedata r:id="rId38" o:title=""/>
            <o:lock v:ext="edit" aspectratio="t"/>
            <w10:wrap type="none"/>
            <w10:anchorlock/>
          </v:shape>
          <o:OLEObject Type="Embed" ProgID="Visio.Drawing.11" ShapeID="_x0000_i1035" DrawAspect="Content" ObjectID="_1468075735" r:id="rId37">
            <o:LockedField>false</o:LockedField>
          </o:OLEObject>
        </w:object>
      </w:r>
    </w:p>
    <w:p>
      <w:pPr>
        <w:pStyle w:val="51"/>
        <w:ind w:left="480" w:firstLine="480"/>
      </w:pPr>
      <w:r>
        <w:rPr>
          <w:rFonts w:hint="eastAsia" w:hAnsi="宋体"/>
          <w:snapToGrid w:val="0"/>
          <w:kern w:val="0"/>
          <w:lang w:val="zh-CN"/>
        </w:rPr>
        <w:t>图</w:t>
      </w:r>
      <w:r>
        <w:rPr>
          <w:rFonts w:hint="eastAsia"/>
        </w:rPr>
        <w:t xml:space="preserve">4.8—2                                </w:t>
      </w:r>
      <w:r>
        <w:rPr>
          <w:rFonts w:hint="eastAsia" w:hAnsi="宋体"/>
          <w:snapToGrid w:val="0"/>
          <w:kern w:val="0"/>
          <w:lang w:val="zh-CN"/>
        </w:rPr>
        <w:t>全厂蒸汽平衡图单位：</w:t>
      </w:r>
      <w:r>
        <w:rPr>
          <w:snapToGrid w:val="0"/>
          <w:kern w:val="0"/>
          <w:lang w:val="zh-CN"/>
        </w:rPr>
        <w:t>t/h</w:t>
      </w: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6838" w:h="11906" w:orient="landscape"/>
          <w:pgMar w:top="1418" w:right="1134" w:bottom="1418" w:left="1134" w:header="851" w:footer="850" w:gutter="0"/>
          <w:cols w:space="425" w:num="1"/>
          <w:docGrid w:type="lines" w:linePitch="326" w:charSpace="0"/>
        </w:sectPr>
      </w:pPr>
    </w:p>
    <w:p>
      <w:pPr>
        <w:pStyle w:val="5"/>
        <w:rPr>
          <w:rFonts w:asciiTheme="minorEastAsia" w:hAnsiTheme="minorEastAsia" w:eastAsiaTheme="minorEastAsia"/>
        </w:rPr>
      </w:pPr>
      <w:bookmarkStart w:id="278" w:name="_Toc13760169"/>
      <w:r>
        <w:rPr>
          <w:rFonts w:hint="eastAsia"/>
          <w:lang w:val="zh-CN"/>
        </w:rPr>
        <w:t>4.8.3工辅工程产污</w:t>
      </w:r>
      <w:bookmarkEnd w:id="278"/>
    </w:p>
    <w:p>
      <w:pPr>
        <w:adjustRightInd w:val="0"/>
        <w:snapToGrid w:val="0"/>
        <w:ind w:firstLine="480"/>
        <w:rPr>
          <w:rFonts w:cs="Times New Roman"/>
        </w:rPr>
      </w:pPr>
      <w:r>
        <w:rPr>
          <w:rFonts w:cs="Times New Roman"/>
          <w:snapToGrid w:val="0"/>
          <w:kern w:val="0"/>
        </w:rPr>
        <w:t>本项目主要辅助设施及公用设施污染物排放情况见表4.</w:t>
      </w:r>
      <w:r>
        <w:rPr>
          <w:rFonts w:hint="eastAsia" w:cs="Times New Roman"/>
          <w:snapToGrid w:val="0"/>
          <w:kern w:val="0"/>
        </w:rPr>
        <w:t>8</w:t>
      </w:r>
      <w:r>
        <w:rPr>
          <w:rFonts w:cs="Times New Roman"/>
          <w:snapToGrid w:val="0"/>
          <w:kern w:val="0"/>
        </w:rPr>
        <w:t>—3和表4.</w:t>
      </w:r>
      <w:r>
        <w:rPr>
          <w:rFonts w:hint="eastAsia" w:cs="Times New Roman"/>
          <w:snapToGrid w:val="0"/>
          <w:kern w:val="0"/>
        </w:rPr>
        <w:t>8</w:t>
      </w:r>
      <w:r>
        <w:rPr>
          <w:rFonts w:cs="Times New Roman"/>
          <w:snapToGrid w:val="0"/>
          <w:kern w:val="0"/>
        </w:rPr>
        <w:t>—4。</w:t>
      </w:r>
    </w:p>
    <w:p>
      <w:pPr>
        <w:pStyle w:val="178"/>
        <w:ind w:firstLine="480"/>
        <w:rPr>
          <w:rFonts w:ascii="Times New Roman" w:hAnsi="Times New Roman"/>
        </w:rPr>
      </w:pPr>
      <w:r>
        <w:rPr>
          <w:rFonts w:ascii="Times New Roman" w:hAnsi="Times New Roman" w:cs="Times New Roman"/>
        </w:rPr>
        <w:t>表</w:t>
      </w:r>
      <w:r>
        <w:rPr>
          <w:rFonts w:ascii="Times New Roman" w:hAnsi="Times New Roman" w:cs="Times New Roman"/>
          <w:snapToGrid w:val="0"/>
          <w:kern w:val="0"/>
        </w:rPr>
        <w:t>4.</w:t>
      </w:r>
      <w:r>
        <w:rPr>
          <w:rFonts w:hint="eastAsia" w:ascii="Times New Roman" w:hAnsi="Times New Roman" w:cs="Times New Roman"/>
          <w:snapToGrid w:val="0"/>
          <w:kern w:val="0"/>
        </w:rPr>
        <w:t>8</w:t>
      </w:r>
      <w:r>
        <w:rPr>
          <w:rFonts w:ascii="Times New Roman" w:hAnsi="Times New Roman" w:cs="Times New Roman"/>
          <w:snapToGrid w:val="0"/>
          <w:kern w:val="0"/>
        </w:rPr>
        <w:t>—3</w:t>
      </w:r>
      <w:r>
        <w:rPr>
          <w:rFonts w:hint="eastAsia" w:ascii="Times New Roman" w:hAnsi="Times New Roman" w:cs="Times New Roman"/>
          <w:snapToGrid w:val="0"/>
          <w:kern w:val="0"/>
        </w:rPr>
        <w:t xml:space="preserve">     </w:t>
      </w:r>
      <w:r>
        <w:rPr>
          <w:rFonts w:hint="eastAsia" w:ascii="Times New Roman" w:hAnsi="Times New Roman"/>
        </w:rPr>
        <w:t>主要辅助设施及公用设施污染物排放情况</w:t>
      </w:r>
    </w:p>
    <w:tbl>
      <w:tblPr>
        <w:tblStyle w:val="88"/>
        <w:tblW w:w="5000" w:type="pct"/>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727"/>
        <w:gridCol w:w="697"/>
        <w:gridCol w:w="6"/>
        <w:gridCol w:w="1305"/>
        <w:gridCol w:w="1207"/>
        <w:gridCol w:w="2480"/>
        <w:gridCol w:w="10"/>
        <w:gridCol w:w="808"/>
        <w:gridCol w:w="2398"/>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58" w:hRule="atLeast"/>
        </w:trPr>
        <w:tc>
          <w:tcPr>
            <w:tcW w:w="684" w:type="dxa"/>
            <w:tcBorders>
              <w:top w:val="single" w:color="000000" w:sz="12" w:space="0"/>
              <w:left w:val="nil"/>
              <w:bottom w:val="single" w:color="auto" w:sz="12"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类别</w:t>
            </w:r>
          </w:p>
        </w:tc>
        <w:tc>
          <w:tcPr>
            <w:tcW w:w="662" w:type="dxa"/>
            <w:gridSpan w:val="2"/>
            <w:tcBorders>
              <w:top w:val="single" w:color="000000" w:sz="12" w:space="0"/>
              <w:left w:val="dotted" w:color="auto" w:sz="4" w:space="0"/>
              <w:bottom w:val="single" w:color="000000" w:sz="12"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代号</w:t>
            </w:r>
          </w:p>
        </w:tc>
        <w:tc>
          <w:tcPr>
            <w:tcW w:w="1228" w:type="dxa"/>
            <w:tcBorders>
              <w:top w:val="single" w:color="000000" w:sz="12" w:space="0"/>
              <w:left w:val="dotted" w:color="auto" w:sz="4" w:space="0"/>
              <w:bottom w:val="single" w:color="000000" w:sz="12" w:space="0"/>
              <w:right w:val="dotted" w:color="auto" w:sz="4" w:space="0"/>
            </w:tcBorders>
            <w:vAlign w:val="center"/>
          </w:tcPr>
          <w:p>
            <w:pPr>
              <w:spacing w:line="240" w:lineRule="atLeast"/>
              <w:ind w:firstLine="0" w:firstLineChars="0"/>
              <w:rPr>
                <w:rFonts w:hAnsi="宋体"/>
                <w:sz w:val="21"/>
              </w:rPr>
            </w:pPr>
            <w:r>
              <w:rPr>
                <w:rFonts w:hint="eastAsia" w:hAnsi="宋体"/>
                <w:sz w:val="21"/>
              </w:rPr>
              <w:t>污染物名称</w:t>
            </w:r>
          </w:p>
        </w:tc>
        <w:tc>
          <w:tcPr>
            <w:tcW w:w="1136" w:type="dxa"/>
            <w:tcBorders>
              <w:top w:val="single" w:color="000000" w:sz="12" w:space="0"/>
              <w:left w:val="dotted" w:color="auto" w:sz="4" w:space="0"/>
              <w:bottom w:val="single" w:color="000000" w:sz="12"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产生量</w:t>
            </w:r>
          </w:p>
        </w:tc>
        <w:tc>
          <w:tcPr>
            <w:tcW w:w="2343" w:type="dxa"/>
            <w:gridSpan w:val="2"/>
            <w:tcBorders>
              <w:top w:val="single" w:color="000000" w:sz="12" w:space="0"/>
              <w:left w:val="dotted" w:color="auto" w:sz="4" w:space="0"/>
              <w:bottom w:val="single" w:color="000000" w:sz="12"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主要成分</w:t>
            </w:r>
          </w:p>
        </w:tc>
        <w:tc>
          <w:tcPr>
            <w:tcW w:w="760" w:type="dxa"/>
            <w:tcBorders>
              <w:top w:val="single" w:color="000000" w:sz="12" w:space="0"/>
              <w:left w:val="dotted" w:color="auto" w:sz="4" w:space="0"/>
              <w:bottom w:val="single" w:color="000000" w:sz="12" w:space="0"/>
              <w:right w:val="dotted" w:color="auto" w:sz="4" w:space="0"/>
            </w:tcBorders>
            <w:vAlign w:val="center"/>
          </w:tcPr>
          <w:p>
            <w:pPr>
              <w:spacing w:line="240" w:lineRule="atLeast"/>
              <w:ind w:firstLine="0" w:firstLineChars="0"/>
              <w:jc w:val="center"/>
              <w:rPr>
                <w:rFonts w:hAnsi="宋体" w:cs="Times New Roman"/>
                <w:sz w:val="21"/>
              </w:rPr>
            </w:pPr>
            <w:r>
              <w:rPr>
                <w:rFonts w:hint="eastAsia" w:hAnsi="宋体"/>
                <w:sz w:val="21"/>
              </w:rPr>
              <w:t>排放</w:t>
            </w:r>
          </w:p>
          <w:p>
            <w:pPr>
              <w:spacing w:line="240" w:lineRule="atLeast"/>
              <w:ind w:firstLine="0" w:firstLineChars="0"/>
              <w:jc w:val="center"/>
              <w:rPr>
                <w:rFonts w:hAnsi="宋体"/>
                <w:sz w:val="21"/>
              </w:rPr>
            </w:pPr>
            <w:r>
              <w:rPr>
                <w:rFonts w:hint="eastAsia" w:hAnsi="宋体"/>
                <w:sz w:val="21"/>
              </w:rPr>
              <w:t>规律</w:t>
            </w:r>
          </w:p>
        </w:tc>
        <w:tc>
          <w:tcPr>
            <w:tcW w:w="2257" w:type="dxa"/>
            <w:tcBorders>
              <w:top w:val="single" w:color="000000" w:sz="12" w:space="0"/>
              <w:left w:val="dotted" w:color="auto" w:sz="4" w:space="0"/>
              <w:bottom w:val="single" w:color="000000" w:sz="12" w:space="0"/>
              <w:right w:val="nil"/>
            </w:tcBorders>
            <w:vAlign w:val="center"/>
          </w:tcPr>
          <w:p>
            <w:pPr>
              <w:spacing w:line="240" w:lineRule="atLeast"/>
              <w:ind w:firstLine="0" w:firstLineChars="0"/>
              <w:jc w:val="center"/>
              <w:rPr>
                <w:rFonts w:hAnsi="宋体"/>
                <w:sz w:val="21"/>
              </w:rPr>
            </w:pPr>
            <w:r>
              <w:rPr>
                <w:rFonts w:hint="eastAsia" w:hAnsi="宋体"/>
                <w:sz w:val="21"/>
              </w:rPr>
              <w:t>处理措施及去向</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27" w:hRule="atLeast"/>
        </w:trPr>
        <w:tc>
          <w:tcPr>
            <w:tcW w:w="684"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废气</w:t>
            </w:r>
          </w:p>
        </w:tc>
        <w:tc>
          <w:tcPr>
            <w:tcW w:w="65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Ansi="宋体"/>
                <w:sz w:val="21"/>
              </w:rPr>
              <w:t>G</w:t>
            </w:r>
            <w:r>
              <w:rPr>
                <w:rFonts w:hint="eastAsia" w:hAnsi="宋体"/>
                <w:sz w:val="21"/>
              </w:rPr>
              <w:t>7</w:t>
            </w:r>
          </w:p>
        </w:tc>
        <w:tc>
          <w:tcPr>
            <w:tcW w:w="1234"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sz w:val="21"/>
              </w:rPr>
              <w:t>强制循环蒸发系统排气</w:t>
            </w:r>
          </w:p>
        </w:tc>
        <w:tc>
          <w:tcPr>
            <w:tcW w:w="113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cs="Times New Roman"/>
                <w:kern w:val="0"/>
                <w:sz w:val="21"/>
                <w:lang w:val="pt-BR"/>
              </w:rPr>
            </w:pPr>
            <w:r>
              <w:rPr>
                <w:rFonts w:hAnsi="宋体"/>
                <w:kern w:val="0"/>
                <w:sz w:val="21"/>
                <w:lang w:val="pt-BR"/>
              </w:rPr>
              <w:t>15</w:t>
            </w:r>
          </w:p>
          <w:p>
            <w:pPr>
              <w:snapToGrid w:val="0"/>
              <w:spacing w:line="240" w:lineRule="atLeast"/>
              <w:ind w:firstLine="0" w:firstLineChars="0"/>
              <w:jc w:val="center"/>
              <w:rPr>
                <w:rFonts w:hAnsi="宋体"/>
                <w:kern w:val="0"/>
                <w:sz w:val="21"/>
                <w:lang w:val="pt-BR"/>
              </w:rPr>
            </w:pPr>
            <w:r>
              <w:rPr>
                <w:sz w:val="21"/>
              </w:rPr>
              <w:t>Nm</w:t>
            </w:r>
            <w:r>
              <w:rPr>
                <w:sz w:val="21"/>
                <w:vertAlign w:val="superscript"/>
              </w:rPr>
              <w:t>3</w:t>
            </w:r>
            <w:r>
              <w:rPr>
                <w:sz w:val="21"/>
              </w:rPr>
              <w:t>/h</w:t>
            </w:r>
          </w:p>
        </w:tc>
        <w:tc>
          <w:tcPr>
            <w:tcW w:w="23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kern w:val="0"/>
                <w:sz w:val="21"/>
                <w:lang w:val="pt-BR"/>
              </w:rPr>
            </w:pPr>
            <w:r>
              <w:rPr>
                <w:rFonts w:hint="eastAsia" w:hAnsi="宋体"/>
                <w:kern w:val="0"/>
                <w:sz w:val="21"/>
                <w:lang w:val="pt-BR"/>
              </w:rPr>
              <w:t>臭气：</w:t>
            </w:r>
            <w:r>
              <w:rPr>
                <w:rFonts w:hAnsi="宋体"/>
                <w:kern w:val="0"/>
                <w:sz w:val="21"/>
                <w:lang w:val="pt-BR"/>
              </w:rPr>
              <w:t>5000(</w:t>
            </w:r>
            <w:r>
              <w:rPr>
                <w:rFonts w:hint="eastAsia" w:hAnsi="宋体"/>
                <w:kern w:val="0"/>
                <w:sz w:val="21"/>
                <w:lang w:val="pt-BR"/>
              </w:rPr>
              <w:t>无量纲</w:t>
            </w:r>
            <w:r>
              <w:rPr>
                <w:rFonts w:hAnsi="宋体"/>
                <w:kern w:val="0"/>
                <w:sz w:val="21"/>
                <w:lang w:val="pt-BR"/>
              </w:rPr>
              <w:t>)</w:t>
            </w:r>
          </w:p>
        </w:tc>
        <w:tc>
          <w:tcPr>
            <w:tcW w:w="769"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kern w:val="0"/>
                <w:sz w:val="21"/>
                <w:lang w:val="pt-BR"/>
              </w:rPr>
            </w:pPr>
            <w:r>
              <w:rPr>
                <w:rFonts w:hint="eastAsia" w:hAnsi="宋体"/>
                <w:kern w:val="0"/>
                <w:sz w:val="21"/>
                <w:lang w:val="pt-BR"/>
              </w:rPr>
              <w:t>连续</w:t>
            </w:r>
          </w:p>
        </w:tc>
        <w:tc>
          <w:tcPr>
            <w:tcW w:w="2257"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cs="Times New Roman"/>
                <w:sz w:val="21"/>
                <w:lang w:val="pt-BR"/>
              </w:rPr>
            </w:pPr>
            <w:r>
              <w:rPr>
                <w:rFonts w:hint="eastAsia"/>
                <w:sz w:val="21"/>
              </w:rPr>
              <w:t>活性炭纤维有机废气净化器</w:t>
            </w:r>
          </w:p>
          <w:p>
            <w:pPr>
              <w:snapToGrid w:val="0"/>
              <w:spacing w:line="240" w:lineRule="atLeast"/>
              <w:ind w:firstLine="0" w:firstLineChars="0"/>
              <w:rPr>
                <w:sz w:val="21"/>
                <w:lang w:val="pt-BR"/>
              </w:rPr>
            </w:pPr>
            <w:r>
              <w:rPr>
                <w:sz w:val="21"/>
                <w:lang w:val="pt-BR"/>
              </w:rPr>
              <w:t>H=15m</w:t>
            </w:r>
          </w:p>
          <w:p>
            <w:pPr>
              <w:snapToGrid w:val="0"/>
              <w:spacing w:line="240" w:lineRule="atLeast"/>
              <w:ind w:firstLine="0" w:firstLineChars="0"/>
              <w:rPr>
                <w:sz w:val="21"/>
                <w:lang w:val="pt-BR"/>
              </w:rPr>
            </w:pPr>
            <w:r>
              <w:rPr>
                <w:sz w:val="21"/>
                <w:lang w:val="pt-BR"/>
              </w:rPr>
              <w:t>D=600mm</w:t>
            </w:r>
          </w:p>
          <w:p>
            <w:pPr>
              <w:snapToGrid w:val="0"/>
              <w:spacing w:line="240" w:lineRule="atLeast"/>
              <w:ind w:firstLine="0" w:firstLineChars="0"/>
              <w:rPr>
                <w:rFonts w:hAnsi="宋体"/>
                <w:kern w:val="0"/>
                <w:sz w:val="21"/>
                <w:lang w:val="pt-BR"/>
              </w:rPr>
            </w:pPr>
            <w:r>
              <w:rPr>
                <w:sz w:val="21"/>
                <w:lang w:val="pt-BR"/>
              </w:rPr>
              <w:t>T=20</w:t>
            </w:r>
            <w:r>
              <w:rPr>
                <w:rFonts w:hint="eastAsia" w:ascii="宋体" w:hAnsi="宋体"/>
                <w:sz w:val="21"/>
                <w:lang w:val="pt-BR"/>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 w:hRule="atLeast"/>
        </w:trPr>
        <w:tc>
          <w:tcPr>
            <w:tcW w:w="684" w:type="dxa"/>
            <w:vMerge w:val="restart"/>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废水</w:t>
            </w:r>
          </w:p>
        </w:tc>
        <w:tc>
          <w:tcPr>
            <w:tcW w:w="66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Ansi="宋体"/>
                <w:sz w:val="21"/>
              </w:rPr>
              <w:t>W9</w:t>
            </w:r>
          </w:p>
        </w:tc>
        <w:tc>
          <w:tcPr>
            <w:tcW w:w="1228"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生活污水</w:t>
            </w:r>
          </w:p>
        </w:tc>
        <w:tc>
          <w:tcPr>
            <w:tcW w:w="113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Ansi="宋体"/>
                <w:sz w:val="21"/>
              </w:rPr>
              <w:t>9.92</w:t>
            </w:r>
            <w:r>
              <w:rPr>
                <w:sz w:val="21"/>
              </w:rPr>
              <w:t>t/d</w:t>
            </w:r>
          </w:p>
        </w:tc>
        <w:tc>
          <w:tcPr>
            <w:tcW w:w="2343" w:type="dxa"/>
            <w:gridSpan w:val="2"/>
            <w:tcBorders>
              <w:top w:val="dotted" w:color="auto" w:sz="4" w:space="0"/>
              <w:left w:val="dotted" w:color="auto" w:sz="4" w:space="0"/>
              <w:bottom w:val="dotted" w:color="auto" w:sz="4" w:space="0"/>
              <w:right w:val="dotted" w:color="auto" w:sz="4" w:space="0"/>
            </w:tcBorders>
            <w:vAlign w:val="center"/>
          </w:tcPr>
          <w:p>
            <w:pPr>
              <w:pStyle w:val="200"/>
              <w:spacing w:line="240" w:lineRule="atLeast"/>
              <w:rPr>
                <w:rFonts w:ascii="Times New Roman" w:hAnsi="Times New Roman"/>
                <w:szCs w:val="21"/>
              </w:rPr>
            </w:pPr>
            <w:r>
              <w:rPr>
                <w:rFonts w:ascii="Times New Roman" w:hAnsi="Times New Roman"/>
                <w:szCs w:val="21"/>
              </w:rPr>
              <w:t>COD</w:t>
            </w:r>
            <w:r>
              <w:rPr>
                <w:rFonts w:hint="eastAsia"/>
                <w:szCs w:val="21"/>
              </w:rPr>
              <w:t>：</w:t>
            </w:r>
            <w:r>
              <w:rPr>
                <w:rFonts w:ascii="Times New Roman" w:hAnsi="Times New Roman"/>
                <w:szCs w:val="21"/>
              </w:rPr>
              <w:t>500mg/L</w:t>
            </w:r>
          </w:p>
          <w:p>
            <w:pPr>
              <w:pStyle w:val="200"/>
              <w:spacing w:line="240" w:lineRule="atLeast"/>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r>
              <w:rPr>
                <w:rFonts w:hint="eastAsia"/>
                <w:szCs w:val="21"/>
              </w:rPr>
              <w:t>：</w:t>
            </w:r>
            <w:r>
              <w:rPr>
                <w:rFonts w:ascii="Times New Roman" w:hAnsi="Times New Roman"/>
                <w:szCs w:val="21"/>
              </w:rPr>
              <w:t>150mg/L</w:t>
            </w:r>
          </w:p>
          <w:p>
            <w:pPr>
              <w:pStyle w:val="200"/>
              <w:spacing w:line="240" w:lineRule="atLeast"/>
              <w:rPr>
                <w:rFonts w:ascii="Times New Roman" w:hAnsi="Times New Roman"/>
                <w:szCs w:val="21"/>
              </w:rPr>
            </w:pPr>
            <w:r>
              <w:rPr>
                <w:rFonts w:hint="eastAsia" w:ascii="Times New Roman"/>
                <w:szCs w:val="21"/>
              </w:rPr>
              <w:t>油类</w:t>
            </w:r>
            <w:r>
              <w:rPr>
                <w:rFonts w:hint="eastAsia"/>
                <w:szCs w:val="21"/>
              </w:rPr>
              <w:t>：</w:t>
            </w:r>
            <w:r>
              <w:rPr>
                <w:rFonts w:ascii="Times New Roman" w:hAnsi="Times New Roman"/>
                <w:szCs w:val="21"/>
              </w:rPr>
              <w:t>80mg/L</w:t>
            </w:r>
          </w:p>
          <w:p>
            <w:pPr>
              <w:pStyle w:val="200"/>
              <w:spacing w:line="240" w:lineRule="atLeast"/>
              <w:rPr>
                <w:rFonts w:ascii="Times New Roman" w:hAnsi="Times New Roman"/>
                <w:szCs w:val="21"/>
              </w:rPr>
            </w:pPr>
            <w:r>
              <w:rPr>
                <w:rFonts w:ascii="Times New Roman" w:hAnsi="Times New Roman"/>
                <w:szCs w:val="21"/>
              </w:rPr>
              <w:t>SS</w:t>
            </w:r>
            <w:r>
              <w:rPr>
                <w:rFonts w:hint="eastAsia"/>
                <w:szCs w:val="21"/>
              </w:rPr>
              <w:t>：</w:t>
            </w:r>
            <w:r>
              <w:rPr>
                <w:rFonts w:ascii="Times New Roman" w:hAnsi="Times New Roman"/>
                <w:szCs w:val="21"/>
              </w:rPr>
              <w:t>450mg/L</w:t>
            </w:r>
          </w:p>
          <w:p>
            <w:pPr>
              <w:snapToGrid w:val="0"/>
              <w:spacing w:line="240" w:lineRule="atLeast"/>
              <w:ind w:firstLine="0" w:firstLineChars="0"/>
              <w:jc w:val="center"/>
              <w:rPr>
                <w:rFonts w:hAnsi="宋体"/>
                <w:sz w:val="21"/>
              </w:rPr>
            </w:pPr>
            <w:r>
              <w:rPr>
                <w:sz w:val="21"/>
              </w:rPr>
              <w:t>NH</w:t>
            </w:r>
            <w:r>
              <w:rPr>
                <w:sz w:val="21"/>
                <w:vertAlign w:val="subscript"/>
              </w:rPr>
              <w:t>3</w:t>
            </w:r>
            <w:r>
              <w:rPr>
                <w:sz w:val="21"/>
              </w:rPr>
              <w:t>-N</w:t>
            </w:r>
            <w:r>
              <w:rPr>
                <w:rFonts w:hint="eastAsia" w:hAnsi="宋体"/>
                <w:sz w:val="21"/>
              </w:rPr>
              <w:t>：</w:t>
            </w:r>
            <w:r>
              <w:rPr>
                <w:sz w:val="21"/>
              </w:rPr>
              <w:t>20mg/L</w:t>
            </w:r>
          </w:p>
        </w:tc>
        <w:tc>
          <w:tcPr>
            <w:tcW w:w="76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2257"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hAnsi="宋体"/>
                <w:sz w:val="21"/>
              </w:rPr>
            </w:pPr>
            <w:r>
              <w:rPr>
                <w:rFonts w:hint="eastAsia" w:hAnsi="宋体"/>
                <w:sz w:val="21"/>
              </w:rPr>
              <w:t>经化粪池处理后送厂区污水处理站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 w:hRule="atLeast"/>
        </w:trPr>
        <w:tc>
          <w:tcPr>
            <w:tcW w:w="684"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66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Ansi="宋体"/>
                <w:sz w:val="21"/>
              </w:rPr>
              <w:t>W10</w:t>
            </w:r>
          </w:p>
        </w:tc>
        <w:tc>
          <w:tcPr>
            <w:tcW w:w="1228"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rPr>
                <w:rFonts w:hAnsi="宋体"/>
                <w:sz w:val="21"/>
              </w:rPr>
            </w:pPr>
            <w:r>
              <w:rPr>
                <w:rFonts w:hint="eastAsia" w:hAnsi="宋体"/>
                <w:sz w:val="21"/>
              </w:rPr>
              <w:t>循环水系统排水</w:t>
            </w:r>
          </w:p>
        </w:tc>
        <w:tc>
          <w:tcPr>
            <w:tcW w:w="113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12.00</w:t>
            </w:r>
            <w:r>
              <w:rPr>
                <w:sz w:val="21"/>
              </w:rPr>
              <w:t>t/d</w:t>
            </w:r>
          </w:p>
        </w:tc>
        <w:tc>
          <w:tcPr>
            <w:tcW w:w="2343" w:type="dxa"/>
            <w:gridSpan w:val="2"/>
            <w:tcBorders>
              <w:top w:val="dotted" w:color="auto" w:sz="4" w:space="0"/>
              <w:left w:val="dotted" w:color="auto" w:sz="4" w:space="0"/>
              <w:bottom w:val="dotted" w:color="auto" w:sz="4" w:space="0"/>
              <w:right w:val="dotted" w:color="auto" w:sz="4" w:space="0"/>
            </w:tcBorders>
            <w:vAlign w:val="center"/>
          </w:tcPr>
          <w:p>
            <w:pPr>
              <w:pStyle w:val="200"/>
              <w:spacing w:line="240" w:lineRule="atLeast"/>
              <w:rPr>
                <w:rFonts w:ascii="Times New Roman" w:hAnsi="Times New Roman"/>
                <w:szCs w:val="21"/>
              </w:rPr>
            </w:pPr>
            <w:r>
              <w:rPr>
                <w:rFonts w:hint="eastAsia" w:ascii="Times New Roman" w:hAnsi="Times New Roman"/>
                <w:szCs w:val="21"/>
              </w:rPr>
              <w:t>盐类：</w:t>
            </w:r>
            <w:r>
              <w:rPr>
                <w:rFonts w:ascii="Times New Roman" w:hAnsi="Times New Roman"/>
                <w:szCs w:val="21"/>
              </w:rPr>
              <w:t>1500mg/L</w:t>
            </w:r>
          </w:p>
        </w:tc>
        <w:tc>
          <w:tcPr>
            <w:tcW w:w="76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2257"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hAnsi="宋体"/>
                <w:sz w:val="21"/>
              </w:rPr>
            </w:pPr>
            <w:r>
              <w:rPr>
                <w:rFonts w:hint="eastAsia" w:hAnsi="宋体"/>
                <w:sz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684"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66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Ansi="宋体"/>
                <w:sz w:val="21"/>
              </w:rPr>
              <w:t>W11</w:t>
            </w:r>
          </w:p>
        </w:tc>
        <w:tc>
          <w:tcPr>
            <w:tcW w:w="1228"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rPr>
                <w:rFonts w:hAnsi="宋体"/>
                <w:sz w:val="21"/>
              </w:rPr>
            </w:pPr>
            <w:r>
              <w:rPr>
                <w:rFonts w:hint="eastAsia" w:hAnsi="宋体"/>
                <w:sz w:val="21"/>
              </w:rPr>
              <w:t>软化水系统排污水</w:t>
            </w:r>
          </w:p>
        </w:tc>
        <w:tc>
          <w:tcPr>
            <w:tcW w:w="113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3.63</w:t>
            </w:r>
            <w:r>
              <w:rPr>
                <w:sz w:val="21"/>
              </w:rPr>
              <w:t>t/d</w:t>
            </w:r>
          </w:p>
        </w:tc>
        <w:tc>
          <w:tcPr>
            <w:tcW w:w="2343"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盐类：</w:t>
            </w:r>
            <w:r>
              <w:rPr>
                <w:rFonts w:hAnsi="宋体"/>
                <w:sz w:val="21"/>
              </w:rPr>
              <w:t>1250</w:t>
            </w:r>
            <w:r>
              <w:rPr>
                <w:sz w:val="21"/>
              </w:rPr>
              <w:t>mg/L</w:t>
            </w:r>
          </w:p>
        </w:tc>
        <w:tc>
          <w:tcPr>
            <w:tcW w:w="76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2257"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rPr>
            </w:pPr>
            <w:r>
              <w:rPr>
                <w:rFonts w:hint="eastAsia"/>
                <w:sz w:val="21"/>
              </w:rPr>
              <w:t>送至</w:t>
            </w:r>
            <w:r>
              <w:rPr>
                <w:rFonts w:hint="eastAsia" w:hAnsi="宋体"/>
                <w:sz w:val="21"/>
              </w:rPr>
              <w:t>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684"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66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Ansi="宋体"/>
                <w:sz w:val="21"/>
              </w:rPr>
              <w:t>W12</w:t>
            </w:r>
          </w:p>
        </w:tc>
        <w:tc>
          <w:tcPr>
            <w:tcW w:w="1228"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rPr>
                <w:rFonts w:hAnsi="宋体"/>
                <w:sz w:val="21"/>
              </w:rPr>
            </w:pPr>
            <w:r>
              <w:rPr>
                <w:rFonts w:hint="eastAsia" w:hAnsi="宋体"/>
                <w:sz w:val="21"/>
              </w:rPr>
              <w:t>厂区污水处理站出水</w:t>
            </w:r>
          </w:p>
        </w:tc>
        <w:tc>
          <w:tcPr>
            <w:tcW w:w="113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145.15</w:t>
            </w:r>
            <w:r>
              <w:rPr>
                <w:sz w:val="21"/>
              </w:rPr>
              <w:t>t/d</w:t>
            </w:r>
          </w:p>
        </w:tc>
        <w:tc>
          <w:tcPr>
            <w:tcW w:w="2343"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sz w:val="21"/>
              </w:rPr>
              <w:t>COD</w:t>
            </w:r>
            <w:r>
              <w:rPr>
                <w:rFonts w:hint="eastAsia"/>
                <w:sz w:val="21"/>
              </w:rPr>
              <w:t>：</w:t>
            </w:r>
            <w:r>
              <w:rPr>
                <w:sz w:val="21"/>
              </w:rPr>
              <w:t>48.7mg/L</w:t>
            </w:r>
          </w:p>
          <w:p>
            <w:pPr>
              <w:spacing w:line="240" w:lineRule="atLeast"/>
              <w:ind w:firstLine="0" w:firstLineChars="0"/>
              <w:jc w:val="center"/>
              <w:rPr>
                <w:sz w:val="21"/>
              </w:rPr>
            </w:pPr>
            <w:r>
              <w:rPr>
                <w:sz w:val="21"/>
              </w:rPr>
              <w:t>BOD</w:t>
            </w:r>
            <w:r>
              <w:rPr>
                <w:rFonts w:hint="eastAsia"/>
                <w:sz w:val="21"/>
              </w:rPr>
              <w:t>：</w:t>
            </w:r>
            <w:r>
              <w:rPr>
                <w:sz w:val="21"/>
              </w:rPr>
              <w:t>12mg/L</w:t>
            </w:r>
          </w:p>
          <w:p>
            <w:pPr>
              <w:spacing w:line="240" w:lineRule="atLeast"/>
              <w:ind w:firstLine="0" w:firstLineChars="0"/>
              <w:jc w:val="center"/>
              <w:rPr>
                <w:sz w:val="21"/>
              </w:rPr>
            </w:pPr>
            <w:r>
              <w:rPr>
                <w:sz w:val="21"/>
              </w:rPr>
              <w:t>SS</w:t>
            </w:r>
            <w:r>
              <w:rPr>
                <w:rFonts w:hint="eastAsia"/>
                <w:sz w:val="21"/>
              </w:rPr>
              <w:t>：</w:t>
            </w:r>
            <w:r>
              <w:rPr>
                <w:sz w:val="21"/>
              </w:rPr>
              <w:t>10mg/L</w:t>
            </w:r>
          </w:p>
          <w:p>
            <w:pPr>
              <w:spacing w:line="240" w:lineRule="atLeast"/>
              <w:ind w:firstLine="0" w:firstLineChars="0"/>
              <w:jc w:val="center"/>
              <w:rPr>
                <w:sz w:val="21"/>
              </w:rPr>
            </w:pPr>
            <w:r>
              <w:rPr>
                <w:rFonts w:hint="eastAsia"/>
                <w:sz w:val="21"/>
              </w:rPr>
              <w:t>氨氮：</w:t>
            </w:r>
            <w:r>
              <w:rPr>
                <w:sz w:val="21"/>
              </w:rPr>
              <w:t>4.8mg/L</w:t>
            </w:r>
          </w:p>
          <w:p>
            <w:pPr>
              <w:spacing w:line="240" w:lineRule="atLeast"/>
              <w:ind w:firstLine="0" w:firstLineChars="0"/>
              <w:jc w:val="center"/>
              <w:rPr>
                <w:sz w:val="21"/>
              </w:rPr>
            </w:pPr>
            <w:r>
              <w:rPr>
                <w:rFonts w:hint="eastAsia"/>
                <w:sz w:val="21"/>
              </w:rPr>
              <w:t>石油类：</w:t>
            </w:r>
            <w:r>
              <w:rPr>
                <w:sz w:val="21"/>
              </w:rPr>
              <w:t>3mg/L</w:t>
            </w:r>
          </w:p>
          <w:p>
            <w:pPr>
              <w:spacing w:line="240" w:lineRule="atLeast"/>
              <w:ind w:firstLine="0" w:firstLineChars="0"/>
              <w:jc w:val="center"/>
              <w:rPr>
                <w:sz w:val="21"/>
              </w:rPr>
            </w:pPr>
            <w:r>
              <w:rPr>
                <w:sz w:val="21"/>
              </w:rPr>
              <w:t>TP</w:t>
            </w:r>
            <w:r>
              <w:rPr>
                <w:rFonts w:hint="eastAsia"/>
                <w:sz w:val="21"/>
              </w:rPr>
              <w:t>：</w:t>
            </w:r>
            <w:r>
              <w:rPr>
                <w:sz w:val="21"/>
              </w:rPr>
              <w:t>0.18mg/L</w:t>
            </w:r>
          </w:p>
          <w:p>
            <w:pPr>
              <w:spacing w:line="240" w:lineRule="atLeast"/>
              <w:ind w:firstLine="0" w:firstLineChars="0"/>
              <w:jc w:val="center"/>
              <w:rPr>
                <w:sz w:val="21"/>
              </w:rPr>
            </w:pPr>
            <w:r>
              <w:rPr>
                <w:rFonts w:hint="eastAsia"/>
                <w:sz w:val="21"/>
              </w:rPr>
              <w:t>镍：</w:t>
            </w:r>
            <w:r>
              <w:rPr>
                <w:sz w:val="21"/>
              </w:rPr>
              <w:t>0.0765mg/L</w:t>
            </w:r>
          </w:p>
          <w:p>
            <w:pPr>
              <w:spacing w:line="240" w:lineRule="atLeast"/>
              <w:ind w:firstLine="0" w:firstLineChars="0"/>
              <w:jc w:val="center"/>
              <w:rPr>
                <w:sz w:val="21"/>
              </w:rPr>
            </w:pPr>
            <w:r>
              <w:rPr>
                <w:rFonts w:hint="eastAsia"/>
                <w:sz w:val="21"/>
              </w:rPr>
              <w:t>铜：</w:t>
            </w:r>
            <w:r>
              <w:rPr>
                <w:sz w:val="21"/>
              </w:rPr>
              <w:t>0.1095mg/L</w:t>
            </w:r>
          </w:p>
          <w:p>
            <w:pPr>
              <w:spacing w:line="240" w:lineRule="atLeast"/>
              <w:ind w:firstLine="0" w:firstLineChars="0"/>
              <w:jc w:val="center"/>
              <w:rPr>
                <w:sz w:val="21"/>
              </w:rPr>
            </w:pPr>
            <w:r>
              <w:rPr>
                <w:rFonts w:hint="eastAsia"/>
                <w:sz w:val="21"/>
              </w:rPr>
              <w:t>汞：</w:t>
            </w:r>
            <w:r>
              <w:rPr>
                <w:sz w:val="21"/>
              </w:rPr>
              <w:t>0.0015mg/L</w:t>
            </w:r>
          </w:p>
          <w:p>
            <w:pPr>
              <w:spacing w:line="240" w:lineRule="atLeast"/>
              <w:ind w:firstLine="0" w:firstLineChars="0"/>
              <w:jc w:val="center"/>
              <w:rPr>
                <w:sz w:val="21"/>
              </w:rPr>
            </w:pPr>
            <w:r>
              <w:rPr>
                <w:rFonts w:hint="eastAsia"/>
                <w:sz w:val="21"/>
              </w:rPr>
              <w:t>铅：</w:t>
            </w:r>
            <w:r>
              <w:rPr>
                <w:sz w:val="21"/>
              </w:rPr>
              <w:t>0.0264mg/L</w:t>
            </w:r>
          </w:p>
          <w:p>
            <w:pPr>
              <w:spacing w:line="240" w:lineRule="atLeast"/>
              <w:ind w:firstLine="0" w:firstLineChars="0"/>
              <w:jc w:val="center"/>
              <w:rPr>
                <w:sz w:val="21"/>
              </w:rPr>
            </w:pPr>
            <w:r>
              <w:rPr>
                <w:rFonts w:hint="eastAsia"/>
                <w:sz w:val="21"/>
              </w:rPr>
              <w:t>六价铬：</w:t>
            </w:r>
            <w:r>
              <w:rPr>
                <w:sz w:val="21"/>
              </w:rPr>
              <w:t>0.00241mg/L</w:t>
            </w:r>
          </w:p>
          <w:p>
            <w:pPr>
              <w:spacing w:line="240" w:lineRule="atLeast"/>
              <w:ind w:firstLine="0" w:firstLineChars="0"/>
              <w:jc w:val="center"/>
              <w:rPr>
                <w:sz w:val="21"/>
              </w:rPr>
            </w:pPr>
            <w:r>
              <w:rPr>
                <w:rFonts w:hint="eastAsia"/>
                <w:sz w:val="21"/>
              </w:rPr>
              <w:t>砷：</w:t>
            </w:r>
            <w:r>
              <w:rPr>
                <w:sz w:val="21"/>
              </w:rPr>
              <w:t>0.0053mg/L</w:t>
            </w:r>
          </w:p>
          <w:p>
            <w:pPr>
              <w:snapToGrid w:val="0"/>
              <w:spacing w:line="240" w:lineRule="atLeast"/>
              <w:ind w:firstLine="0" w:firstLineChars="0"/>
              <w:jc w:val="center"/>
              <w:rPr>
                <w:sz w:val="21"/>
              </w:rPr>
            </w:pPr>
            <w:r>
              <w:rPr>
                <w:rFonts w:hint="eastAsia"/>
                <w:sz w:val="21"/>
              </w:rPr>
              <w:t>镉：</w:t>
            </w:r>
            <w:r>
              <w:rPr>
                <w:sz w:val="21"/>
              </w:rPr>
              <w:t>0.0033mg/L</w:t>
            </w:r>
          </w:p>
          <w:p>
            <w:pPr>
              <w:snapToGrid w:val="0"/>
              <w:spacing w:line="240" w:lineRule="atLeast"/>
              <w:ind w:firstLine="0" w:firstLineChars="0"/>
              <w:jc w:val="center"/>
              <w:rPr>
                <w:rFonts w:hAnsi="宋体"/>
                <w:sz w:val="21"/>
              </w:rPr>
            </w:pPr>
            <w:r>
              <w:rPr>
                <w:rFonts w:hint="eastAsia"/>
                <w:sz w:val="21"/>
              </w:rPr>
              <w:t>锌：</w:t>
            </w:r>
            <w:r>
              <w:rPr>
                <w:sz w:val="21"/>
              </w:rPr>
              <w:t>0.0202mg/L</w:t>
            </w:r>
          </w:p>
        </w:tc>
        <w:tc>
          <w:tcPr>
            <w:tcW w:w="76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2257"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hAnsi="宋体"/>
                <w:sz w:val="21"/>
              </w:rPr>
            </w:pPr>
            <w:r>
              <w:rPr>
                <w:rFonts w:hint="eastAsia" w:hAnsi="宋体"/>
                <w:sz w:val="21"/>
              </w:rPr>
              <w:t>115.15</w:t>
            </w:r>
            <w:r>
              <w:rPr>
                <w:sz w:val="21"/>
              </w:rPr>
              <w:t>t/d</w:t>
            </w:r>
            <w:r>
              <w:rPr>
                <w:rFonts w:hint="eastAsia" w:hAnsi="宋体"/>
                <w:sz w:val="21"/>
              </w:rPr>
              <w:t>回用至焚烧车间，30.00</w:t>
            </w:r>
            <w:r>
              <w:rPr>
                <w:sz w:val="21"/>
              </w:rPr>
              <w:t>t/d</w:t>
            </w:r>
            <w:r>
              <w:rPr>
                <w:rFonts w:hint="eastAsia" w:hAnsi="宋体"/>
                <w:sz w:val="21"/>
              </w:rPr>
              <w:t>回用至固化车间。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684"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66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Ansi="宋体"/>
                <w:sz w:val="21"/>
              </w:rPr>
              <w:t>W13</w:t>
            </w:r>
          </w:p>
        </w:tc>
        <w:tc>
          <w:tcPr>
            <w:tcW w:w="1228"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rPr>
                <w:rFonts w:hAnsi="宋体"/>
                <w:sz w:val="21"/>
              </w:rPr>
            </w:pPr>
            <w:r>
              <w:rPr>
                <w:rFonts w:hint="eastAsia" w:hAnsi="宋体"/>
                <w:sz w:val="21"/>
              </w:rPr>
              <w:t>厂区污水处理站排浓水</w:t>
            </w:r>
          </w:p>
        </w:tc>
        <w:tc>
          <w:tcPr>
            <w:tcW w:w="113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6.04</w:t>
            </w:r>
            <w:r>
              <w:rPr>
                <w:sz w:val="21"/>
              </w:rPr>
              <w:t>t/d</w:t>
            </w:r>
          </w:p>
        </w:tc>
        <w:tc>
          <w:tcPr>
            <w:tcW w:w="2343"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sz w:val="21"/>
              </w:rPr>
              <w:t>COD</w:t>
            </w:r>
            <w:r>
              <w:rPr>
                <w:rFonts w:hint="eastAsia"/>
                <w:sz w:val="21"/>
              </w:rPr>
              <w:t>：</w:t>
            </w:r>
            <w:r>
              <w:rPr>
                <w:sz w:val="21"/>
              </w:rPr>
              <w:t>1000mg/L</w:t>
            </w:r>
          </w:p>
          <w:p>
            <w:pPr>
              <w:spacing w:line="240" w:lineRule="atLeast"/>
              <w:ind w:firstLine="0" w:firstLineChars="0"/>
              <w:jc w:val="center"/>
              <w:rPr>
                <w:sz w:val="21"/>
              </w:rPr>
            </w:pPr>
            <w:r>
              <w:rPr>
                <w:sz w:val="21"/>
              </w:rPr>
              <w:t>BOD</w:t>
            </w:r>
            <w:r>
              <w:rPr>
                <w:rFonts w:hint="eastAsia"/>
                <w:sz w:val="21"/>
              </w:rPr>
              <w:t>：</w:t>
            </w:r>
            <w:r>
              <w:rPr>
                <w:sz w:val="21"/>
              </w:rPr>
              <w:t>200mg/L</w:t>
            </w:r>
          </w:p>
          <w:p>
            <w:pPr>
              <w:spacing w:line="240" w:lineRule="atLeast"/>
              <w:ind w:firstLine="0" w:firstLineChars="0"/>
              <w:jc w:val="center"/>
              <w:rPr>
                <w:sz w:val="21"/>
              </w:rPr>
            </w:pPr>
            <w:r>
              <w:rPr>
                <w:sz w:val="21"/>
              </w:rPr>
              <w:t>SS</w:t>
            </w:r>
            <w:r>
              <w:rPr>
                <w:rFonts w:hint="eastAsia"/>
                <w:sz w:val="21"/>
              </w:rPr>
              <w:t>：</w:t>
            </w:r>
            <w:r>
              <w:rPr>
                <w:sz w:val="21"/>
              </w:rPr>
              <w:t>10mg/L</w:t>
            </w:r>
          </w:p>
          <w:p>
            <w:pPr>
              <w:spacing w:line="240" w:lineRule="atLeast"/>
              <w:ind w:firstLine="0" w:firstLineChars="0"/>
              <w:jc w:val="center"/>
              <w:rPr>
                <w:sz w:val="21"/>
              </w:rPr>
            </w:pPr>
            <w:r>
              <w:rPr>
                <w:rFonts w:hint="eastAsia"/>
                <w:sz w:val="21"/>
              </w:rPr>
              <w:t>氨氮：</w:t>
            </w:r>
            <w:r>
              <w:rPr>
                <w:sz w:val="21"/>
              </w:rPr>
              <w:t>50mg/L</w:t>
            </w:r>
          </w:p>
          <w:p>
            <w:pPr>
              <w:spacing w:line="240" w:lineRule="atLeast"/>
              <w:ind w:firstLine="0" w:firstLineChars="0"/>
              <w:jc w:val="center"/>
              <w:rPr>
                <w:sz w:val="21"/>
              </w:rPr>
            </w:pPr>
            <w:r>
              <w:rPr>
                <w:rFonts w:hint="eastAsia"/>
                <w:sz w:val="21"/>
              </w:rPr>
              <w:t>石油类：</w:t>
            </w:r>
            <w:r>
              <w:rPr>
                <w:sz w:val="21"/>
              </w:rPr>
              <w:t>8mg/L</w:t>
            </w:r>
          </w:p>
          <w:p>
            <w:pPr>
              <w:spacing w:line="240" w:lineRule="atLeast"/>
              <w:ind w:firstLine="0" w:firstLineChars="0"/>
              <w:jc w:val="center"/>
              <w:rPr>
                <w:sz w:val="21"/>
              </w:rPr>
            </w:pPr>
            <w:r>
              <w:rPr>
                <w:sz w:val="21"/>
              </w:rPr>
              <w:t>TP</w:t>
            </w:r>
            <w:r>
              <w:rPr>
                <w:rFonts w:hint="eastAsia"/>
                <w:sz w:val="21"/>
              </w:rPr>
              <w:t>：</w:t>
            </w:r>
            <w:r>
              <w:rPr>
                <w:sz w:val="21"/>
              </w:rPr>
              <w:t>2mg/L</w:t>
            </w:r>
          </w:p>
          <w:p>
            <w:pPr>
              <w:spacing w:line="240" w:lineRule="atLeast"/>
              <w:ind w:firstLine="0" w:firstLineChars="0"/>
              <w:jc w:val="center"/>
              <w:rPr>
                <w:sz w:val="21"/>
              </w:rPr>
            </w:pPr>
            <w:r>
              <w:rPr>
                <w:rFonts w:hint="eastAsia" w:hAnsi="宋体"/>
                <w:sz w:val="21"/>
              </w:rPr>
              <w:t>盐类：</w:t>
            </w:r>
            <w:r>
              <w:rPr>
                <w:rFonts w:hAnsi="宋体"/>
                <w:sz w:val="21"/>
              </w:rPr>
              <w:t>15000</w:t>
            </w:r>
            <w:r>
              <w:rPr>
                <w:sz w:val="21"/>
              </w:rPr>
              <w:t>mg/L</w:t>
            </w:r>
          </w:p>
        </w:tc>
        <w:tc>
          <w:tcPr>
            <w:tcW w:w="76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2257"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rPr>
                <w:rFonts w:hAnsi="宋体"/>
                <w:sz w:val="21"/>
              </w:rPr>
            </w:pPr>
            <w:r>
              <w:rPr>
                <w:rFonts w:hint="eastAsia" w:hAnsi="宋体"/>
                <w:sz w:val="21"/>
              </w:rPr>
              <w:t>送至固化车间处理模块</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684" w:type="dxa"/>
            <w:vMerge w:val="restart"/>
            <w:tcBorders>
              <w:top w:val="dotted" w:color="auto" w:sz="4" w:space="0"/>
              <w:left w:val="nil"/>
              <w:bottom w:val="single" w:color="000000" w:sz="12"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固废</w:t>
            </w:r>
          </w:p>
        </w:tc>
        <w:tc>
          <w:tcPr>
            <w:tcW w:w="662"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Ansi="宋体"/>
                <w:sz w:val="21"/>
              </w:rPr>
              <w:t>S8</w:t>
            </w:r>
          </w:p>
        </w:tc>
        <w:tc>
          <w:tcPr>
            <w:tcW w:w="1228"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rPr>
                <w:rFonts w:hAnsi="宋体"/>
                <w:sz w:val="21"/>
              </w:rPr>
            </w:pPr>
            <w:r>
              <w:rPr>
                <w:rFonts w:hint="eastAsia" w:hAnsi="宋体"/>
                <w:sz w:val="21"/>
              </w:rPr>
              <w:t>厂区污水处理站污泥</w:t>
            </w:r>
          </w:p>
        </w:tc>
        <w:tc>
          <w:tcPr>
            <w:tcW w:w="113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1920.60</w:t>
            </w:r>
            <w:r>
              <w:rPr>
                <w:rFonts w:hAnsi="宋体"/>
                <w:sz w:val="21"/>
              </w:rPr>
              <w:t>t/a</w:t>
            </w:r>
          </w:p>
        </w:tc>
        <w:tc>
          <w:tcPr>
            <w:tcW w:w="2343"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有机质、重金属等</w:t>
            </w:r>
          </w:p>
        </w:tc>
        <w:tc>
          <w:tcPr>
            <w:tcW w:w="76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间断</w:t>
            </w:r>
          </w:p>
        </w:tc>
        <w:tc>
          <w:tcPr>
            <w:tcW w:w="2257"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rPr>
            </w:pPr>
            <w:r>
              <w:rPr>
                <w:rFonts w:hint="eastAsia"/>
                <w:sz w:val="21"/>
              </w:rPr>
              <w:t>送至固化车间处理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68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left"/>
              <w:rPr>
                <w:rFonts w:hAnsi="宋体"/>
                <w:sz w:val="21"/>
              </w:rPr>
            </w:pPr>
          </w:p>
        </w:tc>
        <w:tc>
          <w:tcPr>
            <w:tcW w:w="662"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Ansi="宋体"/>
                <w:sz w:val="21"/>
              </w:rPr>
              <w:t>S9</w:t>
            </w:r>
          </w:p>
        </w:tc>
        <w:tc>
          <w:tcPr>
            <w:tcW w:w="1228"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rPr>
                <w:rFonts w:hAnsi="宋体"/>
                <w:sz w:val="21"/>
              </w:rPr>
            </w:pPr>
            <w:r>
              <w:rPr>
                <w:rFonts w:hint="eastAsia" w:hAnsi="宋体"/>
                <w:sz w:val="21"/>
              </w:rPr>
              <w:t>强制循环蒸发系统盐泥</w:t>
            </w:r>
          </w:p>
        </w:tc>
        <w:tc>
          <w:tcPr>
            <w:tcW w:w="113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1204.50</w:t>
            </w:r>
            <w:r>
              <w:rPr>
                <w:rFonts w:hAnsi="宋体"/>
                <w:sz w:val="21"/>
              </w:rPr>
              <w:t>t/a</w:t>
            </w:r>
          </w:p>
        </w:tc>
        <w:tc>
          <w:tcPr>
            <w:tcW w:w="2343"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盐类、重金属等</w:t>
            </w:r>
          </w:p>
        </w:tc>
        <w:tc>
          <w:tcPr>
            <w:tcW w:w="76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间断</w:t>
            </w:r>
          </w:p>
        </w:tc>
        <w:tc>
          <w:tcPr>
            <w:tcW w:w="2257"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rPr>
            </w:pPr>
            <w:r>
              <w:rPr>
                <w:rFonts w:hint="eastAsia"/>
                <w:sz w:val="21"/>
              </w:rPr>
              <w:t>送至固化车间处理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68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left"/>
              <w:rPr>
                <w:rFonts w:hAnsi="宋体"/>
                <w:sz w:val="21"/>
              </w:rPr>
            </w:pPr>
          </w:p>
        </w:tc>
        <w:tc>
          <w:tcPr>
            <w:tcW w:w="662"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Ansi="宋体"/>
                <w:sz w:val="21"/>
              </w:rPr>
              <w:t>S10</w:t>
            </w:r>
          </w:p>
        </w:tc>
        <w:tc>
          <w:tcPr>
            <w:tcW w:w="1228"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rPr>
                <w:rFonts w:hAnsi="宋体"/>
                <w:sz w:val="21"/>
              </w:rPr>
            </w:pPr>
            <w:r>
              <w:rPr>
                <w:rFonts w:hint="eastAsia" w:hAnsi="宋体"/>
                <w:sz w:val="21"/>
              </w:rPr>
              <w:t>强制循环蒸发系统净化器废渣</w:t>
            </w:r>
          </w:p>
        </w:tc>
        <w:tc>
          <w:tcPr>
            <w:tcW w:w="113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Ansi="宋体"/>
                <w:sz w:val="21"/>
              </w:rPr>
              <w:t>1.6t/a</w:t>
            </w:r>
          </w:p>
        </w:tc>
        <w:tc>
          <w:tcPr>
            <w:tcW w:w="2343"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废活性炭</w:t>
            </w:r>
          </w:p>
        </w:tc>
        <w:tc>
          <w:tcPr>
            <w:tcW w:w="76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间断</w:t>
            </w:r>
          </w:p>
        </w:tc>
        <w:tc>
          <w:tcPr>
            <w:tcW w:w="2257"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int="eastAsia"/>
                <w:sz w:val="21"/>
              </w:rPr>
              <w:t>送至焚烧车间处理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684" w:type="dxa"/>
            <w:vMerge w:val="continue"/>
            <w:tcBorders>
              <w:top w:val="dotted" w:color="auto" w:sz="4" w:space="0"/>
              <w:left w:val="nil"/>
              <w:bottom w:val="single" w:color="000000" w:sz="12" w:space="0"/>
              <w:right w:val="dotted" w:color="auto" w:sz="4" w:space="0"/>
            </w:tcBorders>
            <w:vAlign w:val="center"/>
          </w:tcPr>
          <w:p>
            <w:pPr>
              <w:widowControl/>
              <w:spacing w:line="240" w:lineRule="atLeast"/>
              <w:ind w:firstLine="0" w:firstLineChars="0"/>
              <w:jc w:val="left"/>
              <w:rPr>
                <w:rFonts w:hAnsi="宋体"/>
                <w:sz w:val="21"/>
              </w:rPr>
            </w:pPr>
          </w:p>
        </w:tc>
        <w:tc>
          <w:tcPr>
            <w:tcW w:w="662" w:type="dxa"/>
            <w:gridSpan w:val="2"/>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Ansi="宋体"/>
                <w:sz w:val="21"/>
              </w:rPr>
              <w:t>S11</w:t>
            </w:r>
          </w:p>
        </w:tc>
        <w:tc>
          <w:tcPr>
            <w:tcW w:w="1228"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生活垃圾</w:t>
            </w:r>
          </w:p>
        </w:tc>
        <w:tc>
          <w:tcPr>
            <w:tcW w:w="1136"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Ansi="宋体"/>
                <w:sz w:val="21"/>
              </w:rPr>
              <w:t>49.1t/a</w:t>
            </w:r>
          </w:p>
        </w:tc>
        <w:tc>
          <w:tcPr>
            <w:tcW w:w="2343" w:type="dxa"/>
            <w:gridSpan w:val="2"/>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Ansi="宋体"/>
                <w:sz w:val="21"/>
              </w:rPr>
              <w:t>-</w:t>
            </w:r>
          </w:p>
        </w:tc>
        <w:tc>
          <w:tcPr>
            <w:tcW w:w="76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连续</w:t>
            </w:r>
          </w:p>
        </w:tc>
        <w:tc>
          <w:tcPr>
            <w:tcW w:w="2257"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rPr>
                <w:rFonts w:hAnsi="宋体"/>
                <w:sz w:val="21"/>
              </w:rPr>
            </w:pPr>
            <w:r>
              <w:rPr>
                <w:rFonts w:hint="eastAsia" w:hAnsi="宋体"/>
                <w:sz w:val="21"/>
              </w:rPr>
              <w:t>由当地环卫部门统一清运</w:t>
            </w:r>
          </w:p>
        </w:tc>
      </w:tr>
    </w:tbl>
    <w:p>
      <w:pPr>
        <w:autoSpaceDE w:val="0"/>
        <w:autoSpaceDN w:val="0"/>
        <w:ind w:firstLine="480"/>
      </w:pPr>
      <w:r>
        <w:rPr>
          <w:rFonts w:hint="eastAsia"/>
        </w:rPr>
        <w:t>表</w:t>
      </w:r>
      <w:r>
        <w:rPr>
          <w:rFonts w:cs="Times New Roman"/>
          <w:snapToGrid w:val="0"/>
          <w:kern w:val="0"/>
        </w:rPr>
        <w:t>4.</w:t>
      </w:r>
      <w:r>
        <w:rPr>
          <w:rFonts w:hint="eastAsia" w:cs="Times New Roman"/>
          <w:snapToGrid w:val="0"/>
          <w:kern w:val="0"/>
        </w:rPr>
        <w:t>8</w:t>
      </w:r>
      <w:r>
        <w:rPr>
          <w:rFonts w:cs="Times New Roman"/>
          <w:snapToGrid w:val="0"/>
          <w:kern w:val="0"/>
        </w:rPr>
        <w:t>—4</w:t>
      </w:r>
      <w:r>
        <w:rPr>
          <w:rFonts w:hint="eastAsia"/>
          <w:szCs w:val="24"/>
        </w:rPr>
        <w:t>主要辅助设施及公用设施</w:t>
      </w:r>
      <w:r>
        <w:rPr>
          <w:rFonts w:hint="eastAsia"/>
        </w:rPr>
        <w:t>无组织废气产生情况</w:t>
      </w:r>
    </w:p>
    <w:tbl>
      <w:tblPr>
        <w:tblStyle w:val="88"/>
        <w:tblW w:w="5000" w:type="pct"/>
        <w:tblInd w:w="0" w:type="dxa"/>
        <w:tblLayout w:type="fixed"/>
        <w:tblCellMar>
          <w:top w:w="0" w:type="dxa"/>
          <w:left w:w="108" w:type="dxa"/>
          <w:bottom w:w="0" w:type="dxa"/>
          <w:right w:w="108" w:type="dxa"/>
        </w:tblCellMar>
      </w:tblPr>
      <w:tblGrid>
        <w:gridCol w:w="3629"/>
        <w:gridCol w:w="3113"/>
        <w:gridCol w:w="3112"/>
      </w:tblGrid>
      <w:tr>
        <w:tblPrEx>
          <w:tblCellMar>
            <w:top w:w="0" w:type="dxa"/>
            <w:left w:w="108" w:type="dxa"/>
            <w:bottom w:w="0" w:type="dxa"/>
            <w:right w:w="108" w:type="dxa"/>
          </w:tblCellMar>
        </w:tblPrEx>
        <w:trPr>
          <w:trHeight w:val="270" w:hRule="atLeast"/>
        </w:trPr>
        <w:tc>
          <w:tcPr>
            <w:tcW w:w="3419"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hAnsi="宋体"/>
                <w:sz w:val="21"/>
              </w:rPr>
              <w:t>污染物名称</w:t>
            </w:r>
          </w:p>
        </w:tc>
        <w:tc>
          <w:tcPr>
            <w:tcW w:w="5867" w:type="dxa"/>
            <w:gridSpan w:val="2"/>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hAnsi="宋体"/>
                <w:sz w:val="21"/>
              </w:rPr>
              <w:t>主要成分</w:t>
            </w:r>
          </w:p>
        </w:tc>
      </w:tr>
      <w:tr>
        <w:tblPrEx>
          <w:tblCellMar>
            <w:top w:w="0" w:type="dxa"/>
            <w:left w:w="108" w:type="dxa"/>
            <w:bottom w:w="0" w:type="dxa"/>
            <w:right w:w="108" w:type="dxa"/>
          </w:tblCellMar>
        </w:tblPrEx>
        <w:trPr>
          <w:trHeight w:val="280" w:hRule="atLeast"/>
        </w:trPr>
        <w:tc>
          <w:tcPr>
            <w:tcW w:w="3419"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名称</w:t>
            </w:r>
          </w:p>
        </w:tc>
        <w:tc>
          <w:tcPr>
            <w:tcW w:w="2933"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速率</w:t>
            </w:r>
            <w:r>
              <w:rPr>
                <w:rFonts w:hAnsi="宋体"/>
                <w:sz w:val="21"/>
              </w:rPr>
              <w:t>(kg/h)</w:t>
            </w:r>
          </w:p>
        </w:tc>
      </w:tr>
      <w:tr>
        <w:tblPrEx>
          <w:tblCellMar>
            <w:top w:w="0" w:type="dxa"/>
            <w:left w:w="108" w:type="dxa"/>
            <w:bottom w:w="0" w:type="dxa"/>
            <w:right w:w="108" w:type="dxa"/>
          </w:tblCellMar>
        </w:tblPrEx>
        <w:trPr>
          <w:trHeight w:val="385" w:hRule="atLeast"/>
        </w:trPr>
        <w:tc>
          <w:tcPr>
            <w:tcW w:w="3419" w:type="dxa"/>
            <w:vMerge w:val="restart"/>
            <w:tcBorders>
              <w:top w:val="single" w:color="auto" w:sz="12" w:space="0"/>
              <w:left w:val="nil"/>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厂区污水处理站</w:t>
            </w:r>
          </w:p>
          <w:p>
            <w:pPr>
              <w:snapToGrid w:val="0"/>
              <w:spacing w:line="240" w:lineRule="atLeast"/>
              <w:ind w:firstLine="0" w:firstLineChars="0"/>
              <w:jc w:val="center"/>
              <w:rPr>
                <w:sz w:val="21"/>
              </w:rPr>
            </w:pPr>
            <w:r>
              <w:rPr>
                <w:rFonts w:hint="eastAsia" w:hAnsi="宋体"/>
                <w:sz w:val="21"/>
              </w:rPr>
              <w:t>无组织废气</w:t>
            </w:r>
          </w:p>
        </w:tc>
        <w:tc>
          <w:tcPr>
            <w:tcW w:w="293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H</w:t>
            </w:r>
            <w:r>
              <w:rPr>
                <w:sz w:val="21"/>
                <w:vertAlign w:val="subscript"/>
              </w:rPr>
              <w:t>2</w:t>
            </w:r>
            <w:r>
              <w:rPr>
                <w:sz w:val="21"/>
              </w:rPr>
              <w:t>S</w:t>
            </w:r>
          </w:p>
        </w:tc>
        <w:tc>
          <w:tcPr>
            <w:tcW w:w="2933" w:type="dxa"/>
            <w:tcBorders>
              <w:top w:val="single" w:color="auto"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rFonts w:hAnsi="宋体"/>
                <w:sz w:val="21"/>
                <w:lang w:val="pt-BR"/>
              </w:rPr>
              <w:t>0.0011</w:t>
            </w:r>
          </w:p>
        </w:tc>
      </w:tr>
      <w:tr>
        <w:tblPrEx>
          <w:tblCellMar>
            <w:top w:w="0" w:type="dxa"/>
            <w:left w:w="108" w:type="dxa"/>
            <w:bottom w:w="0" w:type="dxa"/>
            <w:right w:w="108" w:type="dxa"/>
          </w:tblCellMar>
        </w:tblPrEx>
        <w:trPr>
          <w:trHeight w:val="278" w:hRule="atLeast"/>
        </w:trPr>
        <w:tc>
          <w:tcPr>
            <w:tcW w:w="3419" w:type="dxa"/>
            <w:vMerge w:val="continue"/>
            <w:tcBorders>
              <w:top w:val="single" w:color="auto" w:sz="12" w:space="0"/>
              <w:left w:val="nil"/>
              <w:bottom w:val="single" w:color="000000" w:sz="12" w:space="0"/>
              <w:right w:val="dotted" w:color="auto" w:sz="4" w:space="0"/>
            </w:tcBorders>
            <w:vAlign w:val="center"/>
          </w:tcPr>
          <w:p>
            <w:pPr>
              <w:widowControl/>
              <w:spacing w:line="240" w:lineRule="atLeast"/>
              <w:ind w:firstLine="0" w:firstLineChars="0"/>
              <w:jc w:val="center"/>
              <w:rPr>
                <w:sz w:val="21"/>
              </w:rPr>
            </w:pPr>
          </w:p>
        </w:tc>
        <w:tc>
          <w:tcPr>
            <w:tcW w:w="2934"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NH</w:t>
            </w:r>
            <w:r>
              <w:rPr>
                <w:sz w:val="21"/>
                <w:vertAlign w:val="subscript"/>
              </w:rPr>
              <w:t>3</w:t>
            </w:r>
          </w:p>
        </w:tc>
        <w:tc>
          <w:tcPr>
            <w:tcW w:w="2933"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rFonts w:hAnsi="宋体"/>
                <w:sz w:val="21"/>
                <w:lang w:val="pt-BR"/>
              </w:rPr>
              <w:t>0.0083</w:t>
            </w:r>
          </w:p>
        </w:tc>
      </w:tr>
    </w:tbl>
    <w:p>
      <w:pPr>
        <w:ind w:firstLine="480"/>
        <w:rPr>
          <w:lang w:val="zh-CN"/>
        </w:rPr>
      </w:pPr>
    </w:p>
    <w:p>
      <w:pPr>
        <w:pStyle w:val="5"/>
        <w:spacing w:line="360" w:lineRule="auto"/>
        <w:rPr>
          <w:rFonts w:asciiTheme="minorEastAsia" w:hAnsiTheme="minorEastAsia" w:eastAsiaTheme="minorEastAsia"/>
        </w:rPr>
      </w:pPr>
      <w:bookmarkStart w:id="279" w:name="_Toc13760170"/>
      <w:r>
        <w:rPr>
          <w:rFonts w:hint="eastAsia"/>
          <w:lang w:val="zh-CN"/>
        </w:rPr>
        <w:t>4.8.4物料平衡及元素平衡</w:t>
      </w:r>
      <w:bookmarkEnd w:id="279"/>
    </w:p>
    <w:p>
      <w:pPr>
        <w:pStyle w:val="6"/>
        <w:rPr>
          <w:rStyle w:val="199"/>
          <w:rFonts w:hint="default" w:hAnsi="宋体" w:eastAsia="楷体_GB2312"/>
          <w:b w:val="0"/>
          <w:bCs w:val="0"/>
          <w:sz w:val="28"/>
          <w:szCs w:val="28"/>
        </w:rPr>
      </w:pPr>
      <w:bookmarkStart w:id="280" w:name="_Toc503368901"/>
      <w:r>
        <w:t>4.</w:t>
      </w:r>
      <w:r>
        <w:rPr>
          <w:rFonts w:hint="eastAsia"/>
        </w:rPr>
        <w:t>8.4.1主要装置物料平衡</w:t>
      </w:r>
      <w:bookmarkEnd w:id="280"/>
    </w:p>
    <w:p>
      <w:pPr>
        <w:pStyle w:val="739"/>
        <w:ind w:firstLine="480"/>
        <w:rPr>
          <w:szCs w:val="20"/>
        </w:rPr>
      </w:pPr>
      <w:r>
        <w:t>(1)</w:t>
      </w:r>
      <w:r>
        <w:rPr>
          <w:rFonts w:hint="eastAsia"/>
        </w:rPr>
        <w:t>物化处理物料平衡</w:t>
      </w:r>
    </w:p>
    <w:p>
      <w:pPr>
        <w:pStyle w:val="739"/>
        <w:ind w:firstLine="480"/>
        <w:outlineLvl w:val="0"/>
      </w:pPr>
      <w:bookmarkStart w:id="281" w:name="_Toc13760171"/>
      <w:bookmarkStart w:id="282" w:name="_Toc13582130"/>
      <w:r>
        <w:rPr>
          <w:rFonts w:hint="eastAsia"/>
        </w:rPr>
        <w:t>①废酸、碱处理物料平衡</w:t>
      </w:r>
      <w:bookmarkEnd w:id="281"/>
      <w:bookmarkEnd w:id="282"/>
    </w:p>
    <w:p>
      <w:pPr>
        <w:pStyle w:val="739"/>
        <w:ind w:firstLine="480"/>
      </w:pPr>
      <w:r>
        <w:rPr>
          <w:rFonts w:hint="eastAsia" w:ascii="宋体" w:hAnsi="宋体"/>
        </w:rPr>
        <w:t>废酸、碱处理工段</w:t>
      </w:r>
      <w:r>
        <w:rPr>
          <w:rFonts w:hint="eastAsia"/>
        </w:rPr>
        <w:t>进料主要为废碱以及用于中和废碱的废酸和消石灰，出料为中和废渣以及中和废水，</w:t>
      </w:r>
      <w:r>
        <w:rPr>
          <w:rFonts w:hint="eastAsia" w:ascii="宋体" w:hAnsi="宋体"/>
        </w:rPr>
        <w:t>废酸、碱处理工段</w:t>
      </w:r>
      <w:r>
        <w:rPr>
          <w:rFonts w:hint="eastAsia"/>
        </w:rPr>
        <w:t>物料平衡见图</w:t>
      </w:r>
      <w:bookmarkStart w:id="283" w:name="OLE_LINK7"/>
      <w:bookmarkStart w:id="284" w:name="OLE_LINK3"/>
      <w:r>
        <w:rPr>
          <w:rFonts w:hint="eastAsia"/>
        </w:rPr>
        <w:t>4.8—3</w:t>
      </w:r>
      <w:bookmarkEnd w:id="283"/>
      <w:bookmarkEnd w:id="284"/>
      <w:r>
        <w:rPr>
          <w:rFonts w:hint="eastAsia"/>
        </w:rPr>
        <w:t>。</w:t>
      </w:r>
    </w:p>
    <w:p>
      <w:pPr>
        <w:ind w:firstLine="0" w:firstLineChars="0"/>
        <w:jc w:val="left"/>
        <w:rPr>
          <w:sz w:val="21"/>
        </w:rPr>
      </w:pPr>
      <w:r>
        <w:rPr>
          <w:rFonts w:cs="Times New Roman"/>
          <w:kern w:val="0"/>
          <w:sz w:val="21"/>
          <w:szCs w:val="20"/>
        </w:rPr>
        <w:object>
          <v:shape id="_x0000_i1036" o:spt="75" type="#_x0000_t75" style="height:251pt;width:457pt;" o:ole="t" filled="f" o:preferrelative="t" stroked="f" coordsize="21600,21600">
            <v:path/>
            <v:fill on="f" focussize="0,0"/>
            <v:stroke on="f" joinstyle="miter"/>
            <v:imagedata r:id="rId40" o:title=""/>
            <o:lock v:ext="edit" aspectratio="t"/>
            <w10:wrap type="none"/>
            <w10:anchorlock/>
          </v:shape>
          <o:OLEObject Type="Embed" ProgID="Visio.Drawing.11" ShapeID="_x0000_i1036" DrawAspect="Content" ObjectID="_1468075736" r:id="rId39">
            <o:LockedField>false</o:LockedField>
          </o:OLEObject>
        </w:object>
      </w:r>
    </w:p>
    <w:p>
      <w:pPr>
        <w:ind w:firstLine="480"/>
      </w:pPr>
      <w:r>
        <w:rPr>
          <w:rFonts w:hint="eastAsia"/>
        </w:rPr>
        <w:t>图4.8—3物化处理</w:t>
      </w:r>
      <w:r>
        <w:t>(</w:t>
      </w:r>
      <w:r>
        <w:rPr>
          <w:rFonts w:hint="eastAsia" w:ascii="宋体" w:hAnsi="宋体"/>
        </w:rPr>
        <w:t>废酸、碱处理工段</w:t>
      </w:r>
      <w:r>
        <w:t>)</w:t>
      </w:r>
      <w:r>
        <w:rPr>
          <w:rFonts w:hint="eastAsia"/>
        </w:rPr>
        <w:t>物料平衡图单位：</w:t>
      </w:r>
      <w:r>
        <w:t>t/d</w:t>
      </w:r>
    </w:p>
    <w:p>
      <w:pPr>
        <w:pStyle w:val="739"/>
        <w:ind w:firstLine="480"/>
        <w:outlineLvl w:val="0"/>
      </w:pPr>
      <w:bookmarkStart w:id="285" w:name="_Toc13582131"/>
      <w:bookmarkStart w:id="286" w:name="_Toc13760172"/>
      <w:r>
        <w:rPr>
          <w:rFonts w:hint="eastAsia"/>
        </w:rPr>
        <w:t>②废乳化液处理物料平衡</w:t>
      </w:r>
      <w:bookmarkEnd w:id="285"/>
      <w:bookmarkEnd w:id="286"/>
    </w:p>
    <w:p>
      <w:pPr>
        <w:ind w:firstLine="480"/>
      </w:pPr>
      <w:r>
        <w:rPr>
          <w:rFonts w:hint="eastAsia" w:ascii="宋体" w:hAnsi="宋体"/>
        </w:rPr>
        <w:t>废乳化液处理工段</w:t>
      </w:r>
      <w:r>
        <w:rPr>
          <w:rFonts w:hint="eastAsia"/>
        </w:rPr>
        <w:t>进料主要为废乳化液，出料为废油、废渣以及出水，</w:t>
      </w:r>
      <w:r>
        <w:rPr>
          <w:rFonts w:hint="eastAsia" w:ascii="宋体" w:hAnsi="宋体"/>
        </w:rPr>
        <w:t>废乳化液处理工段</w:t>
      </w:r>
      <w:r>
        <w:rPr>
          <w:rFonts w:hint="eastAsia"/>
        </w:rPr>
        <w:t>物料平衡见图4.8—4。</w:t>
      </w:r>
    </w:p>
    <w:p>
      <w:pPr>
        <w:ind w:firstLine="0" w:firstLineChars="0"/>
      </w:pPr>
      <w:r>
        <w:rPr>
          <w:rFonts w:cs="Times New Roman"/>
          <w:kern w:val="0"/>
          <w:sz w:val="21"/>
          <w:szCs w:val="20"/>
        </w:rPr>
        <w:object>
          <v:shape id="_x0000_i1037" o:spt="75" type="#_x0000_t75" style="height:130.5pt;width:448.5pt;" o:ole="t" filled="f" o:preferrelative="t" stroked="f" coordsize="21600,21600">
            <v:path/>
            <v:fill on="f" focussize="0,0"/>
            <v:stroke on="f" joinstyle="miter"/>
            <v:imagedata r:id="rId42" o:title=""/>
            <o:lock v:ext="edit" aspectratio="t"/>
            <w10:wrap type="none"/>
            <w10:anchorlock/>
          </v:shape>
          <o:OLEObject Type="Embed" ProgID="Visio.Drawing.11" ShapeID="_x0000_i1037" DrawAspect="Content" ObjectID="_1468075737" r:id="rId41">
            <o:LockedField>false</o:LockedField>
          </o:OLEObject>
        </w:object>
      </w:r>
    </w:p>
    <w:p>
      <w:pPr>
        <w:ind w:firstLine="480"/>
      </w:pPr>
      <w:r>
        <w:rPr>
          <w:rFonts w:hint="eastAsia"/>
        </w:rPr>
        <w:t>图4.8—4物化处理</w:t>
      </w:r>
      <w:r>
        <w:t>(</w:t>
      </w:r>
      <w:r>
        <w:rPr>
          <w:rFonts w:hint="eastAsia" w:ascii="宋体" w:hAnsi="宋体"/>
        </w:rPr>
        <w:t>废乳化液处理工段</w:t>
      </w:r>
      <w:r>
        <w:t>)</w:t>
      </w:r>
      <w:r>
        <w:rPr>
          <w:rFonts w:hint="eastAsia"/>
        </w:rPr>
        <w:t>物料平衡图单位：</w:t>
      </w:r>
      <w:r>
        <w:t>t/d</w:t>
      </w:r>
    </w:p>
    <w:p>
      <w:pPr>
        <w:pStyle w:val="739"/>
        <w:ind w:firstLine="480"/>
      </w:pPr>
      <w:bookmarkStart w:id="287" w:name="_Toc13582132"/>
      <w:bookmarkStart w:id="288" w:name="_Toc13760173"/>
      <w:r>
        <w:t>(2)</w:t>
      </w:r>
      <w:r>
        <w:rPr>
          <w:rFonts w:hint="eastAsia"/>
        </w:rPr>
        <w:t>焚烧处理物料平衡</w:t>
      </w:r>
      <w:bookmarkEnd w:id="287"/>
      <w:bookmarkEnd w:id="288"/>
    </w:p>
    <w:p>
      <w:pPr>
        <w:pStyle w:val="739"/>
        <w:ind w:firstLine="480"/>
      </w:pPr>
      <w:r>
        <w:rPr>
          <w:rFonts w:hint="eastAsia"/>
        </w:rPr>
        <w:t>焚烧处理主要进料为部分危险废物和焚烧燃料，出料主要为焚烧残渣和飞灰以及外排烟气，焚烧处理物料平衡见图4.8—5。</w:t>
      </w:r>
    </w:p>
    <w:p>
      <w:pPr>
        <w:pStyle w:val="739"/>
        <w:ind w:firstLine="480"/>
        <w:outlineLvl w:val="0"/>
      </w:pPr>
      <w:bookmarkStart w:id="289" w:name="_Toc13582133"/>
      <w:bookmarkStart w:id="290" w:name="_Toc13760174"/>
      <w:r>
        <w:t>(3)</w:t>
      </w:r>
      <w:r>
        <w:rPr>
          <w:rFonts w:hint="eastAsia"/>
        </w:rPr>
        <w:t>稳定化</w:t>
      </w:r>
      <w:r>
        <w:t>/</w:t>
      </w:r>
      <w:r>
        <w:rPr>
          <w:rFonts w:hint="eastAsia"/>
        </w:rPr>
        <w:t>固化物料平衡</w:t>
      </w:r>
      <w:bookmarkEnd w:id="289"/>
      <w:bookmarkEnd w:id="290"/>
    </w:p>
    <w:p>
      <w:pPr>
        <w:pStyle w:val="739"/>
        <w:ind w:firstLine="480"/>
      </w:pPr>
      <w:r>
        <w:rPr>
          <w:rFonts w:hint="eastAsia"/>
        </w:rPr>
        <w:t>稳定化固化主要进料为含重废物、外来污泥以及本项目产生的固体废物，出料为稳定后的固化体，稳定化</w:t>
      </w:r>
      <w:r>
        <w:t>/</w:t>
      </w:r>
      <w:r>
        <w:rPr>
          <w:rFonts w:hint="eastAsia"/>
        </w:rPr>
        <w:t>固化物料平衡见图4.8—6。</w:t>
      </w:r>
    </w:p>
    <w:p>
      <w:pPr>
        <w:widowControl/>
        <w:ind w:firstLine="480"/>
        <w:jc w:val="left"/>
        <w:sectPr>
          <w:pgSz w:w="11906" w:h="16838"/>
          <w:pgMar w:top="1418" w:right="1134" w:bottom="1418" w:left="1134" w:header="850" w:footer="850" w:gutter="0"/>
          <w:cols w:space="720" w:num="1"/>
          <w:docGrid w:linePitch="326" w:charSpace="0"/>
        </w:sectPr>
      </w:pPr>
    </w:p>
    <w:p>
      <w:pPr>
        <w:ind w:firstLine="420"/>
        <w:jc w:val="center"/>
        <w:rPr>
          <w:sz w:val="21"/>
        </w:rPr>
      </w:pPr>
      <w:r>
        <w:rPr>
          <w:sz w:val="21"/>
        </w:rPr>
        <w:br w:type="textWrapping" w:clear="all"/>
      </w:r>
      <w:r>
        <w:rPr>
          <w:rFonts w:cs="Times New Roman"/>
          <w:kern w:val="0"/>
          <w:sz w:val="21"/>
          <w:szCs w:val="20"/>
        </w:rPr>
        <w:object>
          <v:shape id="_x0000_i1038" o:spt="75" type="#_x0000_t75" style="height:364.5pt;width:624pt;" o:ole="t" filled="f" o:preferrelative="t" stroked="f" coordsize="21600,21600">
            <v:path/>
            <v:fill on="f" focussize="0,0"/>
            <v:stroke on="f" joinstyle="miter"/>
            <v:imagedata r:id="rId44" o:title=""/>
            <o:lock v:ext="edit" aspectratio="t"/>
            <w10:wrap type="none"/>
            <w10:anchorlock/>
          </v:shape>
          <o:OLEObject Type="Embed" ProgID="Visio.Drawing.11" ShapeID="_x0000_i1038" DrawAspect="Content" ObjectID="_1468075738" r:id="rId43">
            <o:LockedField>false</o:LockedField>
          </o:OLEObject>
        </w:object>
      </w:r>
    </w:p>
    <w:p>
      <w:pPr>
        <w:ind w:firstLine="480"/>
      </w:pPr>
      <w:r>
        <w:rPr>
          <w:rFonts w:hint="eastAsia"/>
        </w:rPr>
        <w:t>图4.8—5焚烧处理物料平衡图单位：</w:t>
      </w:r>
      <w:r>
        <w:t>t/d</w:t>
      </w:r>
    </w:p>
    <w:p>
      <w:pPr>
        <w:widowControl/>
        <w:ind w:firstLine="480"/>
        <w:jc w:val="left"/>
        <w:sectPr>
          <w:pgSz w:w="16838" w:h="11906" w:orient="landscape"/>
          <w:pgMar w:top="1418" w:right="1134" w:bottom="1418" w:left="1134" w:header="850" w:footer="850" w:gutter="0"/>
          <w:cols w:space="720" w:num="1"/>
          <w:docGrid w:linePitch="326" w:charSpace="0"/>
        </w:sectPr>
      </w:pPr>
    </w:p>
    <w:p>
      <w:pPr>
        <w:ind w:firstLine="480"/>
      </w:pPr>
    </w:p>
    <w:p>
      <w:pPr>
        <w:ind w:firstLine="480"/>
      </w:pPr>
      <w:r>
        <w:rPr>
          <w:rFonts w:cs="Times New Roman"/>
          <w:kern w:val="0"/>
          <w:szCs w:val="20"/>
        </w:rPr>
        <w:pict>
          <v:shape id="_x0000_s1173" o:spid="_x0000_s1173" o:spt="75" type="#_x0000_t75" style="position:absolute;left:0pt;margin-top:0.05pt;height:266.3pt;width:624pt;mso-position-horizontal:left;mso-wrap-distance-bottom:0pt;mso-wrap-distance-left:9pt;mso-wrap-distance-right:9pt;mso-wrap-distance-top:0pt;z-index:251682816;mso-width-relative:page;mso-height-relative:page;" o:ole="t" filled="f" o:preferrelative="t" stroked="f" coordsize="21600,21600">
            <v:path/>
            <v:fill on="f" focussize="0,0"/>
            <v:stroke on="f" joinstyle="miter"/>
            <v:imagedata r:id="rId46" o:title=""/>
            <o:lock v:ext="edit" aspectratio="t"/>
            <w10:wrap type="square" side="right"/>
          </v:shape>
          <o:OLEObject Type="Embed" ProgID="Visio.Drawing.11" ShapeID="_x0000_s1173" DrawAspect="Content" ObjectID="_1468075739" r:id="rId45">
            <o:LockedField>false</o:LockedField>
          </o:OLEObject>
        </w:pict>
      </w:r>
      <w:r>
        <w:rPr/>
        <w:br w:type="textWrapping" w:clear="all"/>
      </w:r>
    </w:p>
    <w:p>
      <w:pPr>
        <w:ind w:firstLine="480"/>
      </w:pPr>
    </w:p>
    <w:p>
      <w:pPr>
        <w:ind w:firstLine="480"/>
      </w:pPr>
      <w:r>
        <w:rPr>
          <w:rFonts w:hint="eastAsia"/>
        </w:rPr>
        <w:t>图4.8—6                    稳定化</w:t>
      </w:r>
      <w:r>
        <w:t>/</w:t>
      </w:r>
      <w:r>
        <w:rPr>
          <w:rFonts w:hint="eastAsia"/>
        </w:rPr>
        <w:t>固化物料平衡图单位：</w:t>
      </w:r>
      <w:r>
        <w:t>t/d</w:t>
      </w:r>
    </w:p>
    <w:p>
      <w:pPr>
        <w:widowControl/>
        <w:ind w:firstLine="480"/>
        <w:jc w:val="left"/>
      </w:pPr>
    </w:p>
    <w:p>
      <w:pPr>
        <w:widowControl/>
        <w:ind w:firstLine="480"/>
        <w:jc w:val="left"/>
        <w:sectPr>
          <w:pgSz w:w="16838" w:h="11906" w:orient="landscape"/>
          <w:pgMar w:top="1134" w:right="1418" w:bottom="1134" w:left="1418" w:header="850" w:footer="850" w:gutter="0"/>
          <w:cols w:space="720" w:num="1"/>
          <w:docGrid w:linePitch="326" w:charSpace="0"/>
        </w:sectPr>
      </w:pPr>
    </w:p>
    <w:p>
      <w:pPr>
        <w:pStyle w:val="6"/>
        <w:rPr>
          <w:rStyle w:val="199"/>
          <w:rFonts w:hint="default" w:hAnsi="Times New Roman" w:eastAsia="楷体_GB2312"/>
          <w:b w:val="0"/>
          <w:bCs w:val="0"/>
          <w:sz w:val="28"/>
          <w:szCs w:val="28"/>
        </w:rPr>
      </w:pPr>
      <w:bookmarkStart w:id="291" w:name="_Toc503368902"/>
      <w:r>
        <w:t>4.</w:t>
      </w:r>
      <w:r>
        <w:rPr>
          <w:rFonts w:hint="eastAsia"/>
        </w:rPr>
        <w:t>8.4.2主要元素平衡</w:t>
      </w:r>
      <w:bookmarkEnd w:id="291"/>
    </w:p>
    <w:p>
      <w:pPr>
        <w:pStyle w:val="161"/>
        <w:ind w:firstLine="480"/>
      </w:pPr>
      <w:r>
        <w:rPr>
          <w:rFonts w:hint="eastAsia"/>
        </w:rPr>
        <w:t>本项目物化工段所涉及的物料较为单一，固化工段所有物料经固化后全部进入固化体后进入本项目安全填埋场，而焚烧工段处置的废物性质较复杂，该工段所排放的废气污染物成分较复杂，故本次环评主要考虑焚烧工段的主要元素平衡。</w:t>
      </w:r>
    </w:p>
    <w:p>
      <w:pPr>
        <w:pStyle w:val="161"/>
        <w:ind w:firstLine="480"/>
      </w:pPr>
      <w:r>
        <w:rPr>
          <w:rFonts w:hint="eastAsia"/>
        </w:rPr>
        <w:t>本项目危险废物焚烧处置过程涉及的元素主要有</w:t>
      </w:r>
      <w:r>
        <w:t>C</w:t>
      </w:r>
      <w:r>
        <w:rPr>
          <w:rFonts w:hint="eastAsia"/>
        </w:rPr>
        <w:t>、</w:t>
      </w:r>
      <w:r>
        <w:t>H</w:t>
      </w:r>
      <w:r>
        <w:rPr>
          <w:rFonts w:hint="eastAsia"/>
        </w:rPr>
        <w:t>、</w:t>
      </w:r>
      <w:r>
        <w:t>O</w:t>
      </w:r>
      <w:r>
        <w:rPr>
          <w:rFonts w:hint="eastAsia"/>
        </w:rPr>
        <w:t>、</w:t>
      </w:r>
      <w:r>
        <w:t>S</w:t>
      </w:r>
      <w:r>
        <w:rPr>
          <w:rFonts w:hint="eastAsia"/>
        </w:rPr>
        <w:t>、</w:t>
      </w:r>
      <w:r>
        <w:t>Cl</w:t>
      </w:r>
      <w:r>
        <w:rPr>
          <w:rFonts w:hint="eastAsia"/>
        </w:rPr>
        <w:t>、</w:t>
      </w:r>
      <w:r>
        <w:t>F</w:t>
      </w:r>
      <w:r>
        <w:rPr>
          <w:rFonts w:hint="eastAsia"/>
        </w:rPr>
        <w:t>、重金属</w:t>
      </w:r>
      <w:r>
        <w:t>Pb</w:t>
      </w:r>
      <w:r>
        <w:rPr>
          <w:rFonts w:hint="eastAsia"/>
        </w:rPr>
        <w:t>、</w:t>
      </w:r>
      <w:r>
        <w:t>Hg</w:t>
      </w:r>
      <w:r>
        <w:rPr>
          <w:rFonts w:hint="eastAsia"/>
        </w:rPr>
        <w:t>、</w:t>
      </w:r>
      <w:r>
        <w:t>Cd</w:t>
      </w:r>
      <w:r>
        <w:rPr>
          <w:rFonts w:hint="eastAsia"/>
        </w:rPr>
        <w:t>、</w:t>
      </w:r>
      <w:r>
        <w:t>As</w:t>
      </w:r>
      <w:r>
        <w:rPr>
          <w:rFonts w:hint="eastAsia"/>
        </w:rPr>
        <w:t>、</w:t>
      </w:r>
      <w:r>
        <w:t>Cr</w:t>
      </w:r>
      <w:r>
        <w:rPr>
          <w:rFonts w:hint="eastAsia"/>
        </w:rPr>
        <w:t>、</w:t>
      </w:r>
      <w:r>
        <w:t>Ni</w:t>
      </w:r>
      <w:r>
        <w:rPr>
          <w:rFonts w:hint="eastAsia"/>
        </w:rPr>
        <w:t>、</w:t>
      </w:r>
      <w:r>
        <w:t xml:space="preserve">Cu </w:t>
      </w:r>
      <w:r>
        <w:rPr>
          <w:rFonts w:hint="eastAsia"/>
        </w:rPr>
        <w:t>等。烟气产生排放情况主要按照可研资料及业主提供的相关技术资料进行考虑，根据</w:t>
      </w:r>
      <w:r>
        <w:t>S</w:t>
      </w:r>
      <w:r>
        <w:rPr>
          <w:rFonts w:hint="eastAsia"/>
        </w:rPr>
        <w:t>、</w:t>
      </w:r>
      <w:r>
        <w:t>Cl</w:t>
      </w:r>
      <w:r>
        <w:rPr>
          <w:rFonts w:hint="eastAsia"/>
        </w:rPr>
        <w:t>、</w:t>
      </w:r>
      <w:r>
        <w:t>F</w:t>
      </w:r>
      <w:r>
        <w:rPr>
          <w:rFonts w:hint="eastAsia"/>
        </w:rPr>
        <w:t>、重金属等含量核算产生情况，按照处理效率核算排放情况。因而本次根据建设单位提供相关资料，</w:t>
      </w:r>
      <w:r>
        <w:t>S</w:t>
      </w:r>
      <w:r>
        <w:rPr>
          <w:rFonts w:hint="eastAsia"/>
        </w:rPr>
        <w:t>、</w:t>
      </w:r>
      <w:r>
        <w:t>Cl</w:t>
      </w:r>
      <w:r>
        <w:rPr>
          <w:rFonts w:hint="eastAsia"/>
        </w:rPr>
        <w:t>、</w:t>
      </w:r>
      <w:r>
        <w:t>F</w:t>
      </w:r>
      <w:r>
        <w:rPr>
          <w:rFonts w:hint="eastAsia"/>
        </w:rPr>
        <w:t>及部分重金属等各元素平衡详见表</w:t>
      </w:r>
      <w:r>
        <w:t>4.</w:t>
      </w:r>
      <w:r>
        <w:rPr>
          <w:rFonts w:hint="eastAsia"/>
        </w:rPr>
        <w:t>8—5至表</w:t>
      </w:r>
      <w:r>
        <w:t>4.</w:t>
      </w:r>
      <w:r>
        <w:rPr>
          <w:rFonts w:hint="eastAsia"/>
        </w:rPr>
        <w:t>8—12。</w:t>
      </w:r>
    </w:p>
    <w:p>
      <w:pPr>
        <w:pStyle w:val="161"/>
        <w:ind w:firstLine="480"/>
        <w:rPr>
          <w:rFonts w:ascii="宋体"/>
        </w:rPr>
      </w:pPr>
      <w:r>
        <w:rPr>
          <w:rFonts w:hint="eastAsia"/>
        </w:rPr>
        <w:t>表4.8—5</w:t>
      </w:r>
      <w:r>
        <w:t xml:space="preserve">   </w:t>
      </w:r>
      <w:r>
        <w:rPr>
          <w:rFonts w:hint="eastAsia"/>
        </w:rPr>
        <w:t xml:space="preserve">                </w:t>
      </w:r>
      <w:r>
        <w:t xml:space="preserve"> S</w:t>
      </w:r>
      <w:r>
        <w:rPr>
          <w:rFonts w:hint="eastAsia"/>
        </w:rPr>
        <w:t>元素平衡表</w:t>
      </w:r>
    </w:p>
    <w:tbl>
      <w:tblPr>
        <w:tblStyle w:val="88"/>
        <w:tblW w:w="5000" w:type="pct"/>
        <w:tblInd w:w="0" w:type="dxa"/>
        <w:tblLayout w:type="fixed"/>
        <w:tblCellMar>
          <w:top w:w="0" w:type="dxa"/>
          <w:left w:w="108" w:type="dxa"/>
          <w:bottom w:w="0" w:type="dxa"/>
          <w:right w:w="108" w:type="dxa"/>
        </w:tblCellMar>
      </w:tblPr>
      <w:tblGrid>
        <w:gridCol w:w="1177"/>
        <w:gridCol w:w="1448"/>
        <w:gridCol w:w="1446"/>
        <w:gridCol w:w="1446"/>
        <w:gridCol w:w="1446"/>
        <w:gridCol w:w="1446"/>
        <w:gridCol w:w="1445"/>
      </w:tblGrid>
      <w:tr>
        <w:tblPrEx>
          <w:tblCellMar>
            <w:top w:w="0" w:type="dxa"/>
            <w:left w:w="108" w:type="dxa"/>
            <w:bottom w:w="0" w:type="dxa"/>
            <w:right w:w="108" w:type="dxa"/>
          </w:tblCellMar>
        </w:tblPrEx>
        <w:trPr>
          <w:trHeight w:val="270" w:hRule="atLeast"/>
        </w:trPr>
        <w:tc>
          <w:tcPr>
            <w:tcW w:w="1108"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序号</w:t>
            </w:r>
          </w:p>
        </w:tc>
        <w:tc>
          <w:tcPr>
            <w:tcW w:w="4090" w:type="dxa"/>
            <w:gridSpan w:val="3"/>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流入项</w:t>
            </w:r>
          </w:p>
        </w:tc>
        <w:tc>
          <w:tcPr>
            <w:tcW w:w="4088" w:type="dxa"/>
            <w:gridSpan w:val="3"/>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sz w:val="21"/>
              </w:rPr>
              <w:t>流出项</w:t>
            </w:r>
          </w:p>
        </w:tc>
      </w:tr>
      <w:tr>
        <w:tblPrEx>
          <w:tblCellMar>
            <w:top w:w="0" w:type="dxa"/>
            <w:left w:w="108" w:type="dxa"/>
            <w:bottom w:w="0" w:type="dxa"/>
            <w:right w:w="108" w:type="dxa"/>
          </w:tblCellMar>
        </w:tblPrEx>
        <w:trPr>
          <w:trHeight w:val="210" w:hRule="atLeast"/>
        </w:trPr>
        <w:tc>
          <w:tcPr>
            <w:tcW w:w="1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6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sz w:val="21"/>
              </w:rPr>
              <w:t>%</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2"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sz w:val="21"/>
              </w:rPr>
            </w:pPr>
            <w:r>
              <w:rPr>
                <w:sz w:val="21"/>
              </w:rPr>
              <w:t>%</w:t>
            </w:r>
          </w:p>
        </w:tc>
      </w:tr>
      <w:tr>
        <w:tblPrEx>
          <w:tblCellMar>
            <w:top w:w="0" w:type="dxa"/>
            <w:left w:w="108" w:type="dxa"/>
            <w:bottom w:w="0" w:type="dxa"/>
            <w:right w:w="108" w:type="dxa"/>
          </w:tblCellMar>
        </w:tblPrEx>
        <w:trPr>
          <w:trHeight w:val="385" w:hRule="atLeast"/>
        </w:trPr>
        <w:tc>
          <w:tcPr>
            <w:tcW w:w="1108" w:type="dxa"/>
            <w:tcBorders>
              <w:top w:val="single" w:color="auto" w:sz="12"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w:t>
            </w:r>
          </w:p>
        </w:tc>
        <w:tc>
          <w:tcPr>
            <w:tcW w:w="136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废物</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99.53</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99.84</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灰渣</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77.27</w:t>
            </w:r>
          </w:p>
        </w:tc>
        <w:tc>
          <w:tcPr>
            <w:tcW w:w="1362" w:type="dxa"/>
            <w:tcBorders>
              <w:top w:val="single" w:color="auto"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77.5</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轻柴油</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0.18</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0.16</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洗涤液</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17.95</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18</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3</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烟囱排放</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4.49</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4.5</w:t>
            </w:r>
          </w:p>
        </w:tc>
      </w:tr>
      <w:tr>
        <w:tblPrEx>
          <w:tblCellMar>
            <w:top w:w="0" w:type="dxa"/>
            <w:left w:w="108" w:type="dxa"/>
            <w:bottom w:w="0" w:type="dxa"/>
            <w:right w:w="108" w:type="dxa"/>
          </w:tblCellMar>
        </w:tblPrEx>
        <w:trPr>
          <w:trHeight w:val="419" w:hRule="atLeast"/>
        </w:trPr>
        <w:tc>
          <w:tcPr>
            <w:tcW w:w="2472" w:type="dxa"/>
            <w:gridSpan w:val="2"/>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99.71</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99.71</w:t>
            </w:r>
          </w:p>
        </w:tc>
        <w:tc>
          <w:tcPr>
            <w:tcW w:w="1362"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sz w:val="21"/>
              </w:rPr>
              <w:t>100</w:t>
            </w:r>
          </w:p>
        </w:tc>
      </w:tr>
    </w:tbl>
    <w:p>
      <w:pPr>
        <w:pStyle w:val="51"/>
        <w:snapToGrid w:val="0"/>
        <w:spacing w:after="0" w:line="360" w:lineRule="auto"/>
        <w:ind w:left="0" w:leftChars="0" w:firstLine="0" w:firstLineChars="0"/>
        <w:jc w:val="left"/>
        <w:rPr>
          <w:b/>
          <w:sz w:val="21"/>
        </w:rPr>
      </w:pPr>
      <w:r>
        <w:rPr>
          <w:rFonts w:hint="eastAsia"/>
          <w:b/>
          <w:sz w:val="21"/>
        </w:rPr>
        <w:t>注：本项目二燃室所用的轻柴油采用符合《普通柴油》标准要求，含硫小于</w:t>
      </w:r>
      <w:r>
        <w:rPr>
          <w:b/>
          <w:sz w:val="21"/>
        </w:rPr>
        <w:t>0.035%</w:t>
      </w:r>
      <w:r>
        <w:rPr>
          <w:rFonts w:hint="eastAsia"/>
          <w:b/>
          <w:sz w:val="21"/>
        </w:rPr>
        <w:t>，故本评价中轻柴油含硫量按</w:t>
      </w:r>
      <w:r>
        <w:rPr>
          <w:b/>
          <w:sz w:val="21"/>
        </w:rPr>
        <w:t>0.035%</w:t>
      </w:r>
      <w:r>
        <w:rPr>
          <w:rFonts w:hint="eastAsia"/>
          <w:b/>
          <w:sz w:val="21"/>
        </w:rPr>
        <w:t>计。</w:t>
      </w:r>
    </w:p>
    <w:p>
      <w:pPr>
        <w:pStyle w:val="51"/>
        <w:snapToGrid w:val="0"/>
        <w:spacing w:after="0" w:line="360" w:lineRule="auto"/>
        <w:ind w:left="480" w:firstLine="0" w:firstLineChars="0"/>
        <w:jc w:val="left"/>
        <w:rPr>
          <w:rFonts w:cs="Times New Roman"/>
          <w:sz w:val="21"/>
        </w:rPr>
      </w:pPr>
    </w:p>
    <w:p>
      <w:pPr>
        <w:pStyle w:val="161"/>
        <w:ind w:firstLine="480"/>
        <w:rPr>
          <w:rFonts w:ascii="宋体"/>
          <w:sz w:val="28"/>
          <w:szCs w:val="20"/>
        </w:rPr>
      </w:pPr>
      <w:r>
        <w:rPr>
          <w:rFonts w:hint="eastAsia"/>
        </w:rPr>
        <w:t xml:space="preserve">表4.8—6    </w:t>
      </w:r>
      <w:r>
        <w:t xml:space="preserve">                  Cl</w:t>
      </w:r>
      <w:r>
        <w:rPr>
          <w:rFonts w:hint="eastAsia"/>
        </w:rPr>
        <w:t>元素平衡表</w:t>
      </w:r>
    </w:p>
    <w:tbl>
      <w:tblPr>
        <w:tblStyle w:val="88"/>
        <w:tblW w:w="5000" w:type="pct"/>
        <w:tblInd w:w="0" w:type="dxa"/>
        <w:tblLayout w:type="fixed"/>
        <w:tblCellMar>
          <w:top w:w="0" w:type="dxa"/>
          <w:left w:w="108" w:type="dxa"/>
          <w:bottom w:w="0" w:type="dxa"/>
          <w:right w:w="108" w:type="dxa"/>
        </w:tblCellMar>
      </w:tblPr>
      <w:tblGrid>
        <w:gridCol w:w="1177"/>
        <w:gridCol w:w="1448"/>
        <w:gridCol w:w="1446"/>
        <w:gridCol w:w="1446"/>
        <w:gridCol w:w="1446"/>
        <w:gridCol w:w="1446"/>
        <w:gridCol w:w="1445"/>
      </w:tblGrid>
      <w:tr>
        <w:tblPrEx>
          <w:tblCellMar>
            <w:top w:w="0" w:type="dxa"/>
            <w:left w:w="108" w:type="dxa"/>
            <w:bottom w:w="0" w:type="dxa"/>
            <w:right w:w="108" w:type="dxa"/>
          </w:tblCellMar>
        </w:tblPrEx>
        <w:trPr>
          <w:trHeight w:val="270" w:hRule="atLeast"/>
        </w:trPr>
        <w:tc>
          <w:tcPr>
            <w:tcW w:w="1108"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序号</w:t>
            </w:r>
          </w:p>
        </w:tc>
        <w:tc>
          <w:tcPr>
            <w:tcW w:w="4090" w:type="dxa"/>
            <w:gridSpan w:val="3"/>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流入项</w:t>
            </w:r>
          </w:p>
        </w:tc>
        <w:tc>
          <w:tcPr>
            <w:tcW w:w="4088" w:type="dxa"/>
            <w:gridSpan w:val="3"/>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sz w:val="21"/>
              </w:rPr>
              <w:t>流出项</w:t>
            </w:r>
          </w:p>
        </w:tc>
      </w:tr>
      <w:tr>
        <w:tblPrEx>
          <w:tblCellMar>
            <w:top w:w="0" w:type="dxa"/>
            <w:left w:w="108" w:type="dxa"/>
            <w:bottom w:w="0" w:type="dxa"/>
            <w:right w:w="108" w:type="dxa"/>
          </w:tblCellMar>
        </w:tblPrEx>
        <w:trPr>
          <w:trHeight w:val="210" w:hRule="atLeast"/>
        </w:trPr>
        <w:tc>
          <w:tcPr>
            <w:tcW w:w="1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6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sz w:val="21"/>
              </w:rPr>
              <w:t>%</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2"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sz w:val="21"/>
              </w:rPr>
            </w:pPr>
            <w:r>
              <w:rPr>
                <w:sz w:val="21"/>
              </w:rPr>
              <w:t>%</w:t>
            </w:r>
          </w:p>
        </w:tc>
      </w:tr>
      <w:tr>
        <w:tblPrEx>
          <w:tblCellMar>
            <w:top w:w="0" w:type="dxa"/>
            <w:left w:w="108" w:type="dxa"/>
            <w:bottom w:w="0" w:type="dxa"/>
            <w:right w:w="108" w:type="dxa"/>
          </w:tblCellMar>
        </w:tblPrEx>
        <w:trPr>
          <w:trHeight w:val="385" w:hRule="atLeast"/>
        </w:trPr>
        <w:tc>
          <w:tcPr>
            <w:tcW w:w="1108" w:type="dxa"/>
            <w:tcBorders>
              <w:top w:val="single" w:color="auto" w:sz="12"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w:t>
            </w:r>
          </w:p>
        </w:tc>
        <w:tc>
          <w:tcPr>
            <w:tcW w:w="136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废物</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174.55</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灰渣</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148.37</w:t>
            </w:r>
          </w:p>
        </w:tc>
        <w:tc>
          <w:tcPr>
            <w:tcW w:w="1362" w:type="dxa"/>
            <w:tcBorders>
              <w:top w:val="single" w:color="auto"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85</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洗涤液</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23.56</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13.5</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3</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烟囱排放</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2.62</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1.5</w:t>
            </w:r>
          </w:p>
        </w:tc>
      </w:tr>
      <w:tr>
        <w:tblPrEx>
          <w:tblCellMar>
            <w:top w:w="0" w:type="dxa"/>
            <w:left w:w="108" w:type="dxa"/>
            <w:bottom w:w="0" w:type="dxa"/>
            <w:right w:w="108" w:type="dxa"/>
          </w:tblCellMar>
        </w:tblPrEx>
        <w:trPr>
          <w:trHeight w:val="419" w:hRule="atLeast"/>
        </w:trPr>
        <w:tc>
          <w:tcPr>
            <w:tcW w:w="2472" w:type="dxa"/>
            <w:gridSpan w:val="2"/>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174.55</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174.55</w:t>
            </w:r>
          </w:p>
        </w:tc>
        <w:tc>
          <w:tcPr>
            <w:tcW w:w="1362"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sz w:val="21"/>
              </w:rPr>
              <w:t>100</w:t>
            </w:r>
          </w:p>
        </w:tc>
      </w:tr>
    </w:tbl>
    <w:p>
      <w:pPr>
        <w:pStyle w:val="51"/>
        <w:spacing w:line="360" w:lineRule="auto"/>
        <w:ind w:left="480" w:firstLine="480"/>
        <w:rPr>
          <w:szCs w:val="24"/>
        </w:rPr>
      </w:pPr>
    </w:p>
    <w:p>
      <w:pPr>
        <w:pStyle w:val="161"/>
        <w:ind w:firstLine="480"/>
      </w:pPr>
      <w:r>
        <w:rPr>
          <w:rFonts w:hint="eastAsia"/>
        </w:rPr>
        <w:t xml:space="preserve">表4.8—7   </w:t>
      </w:r>
      <w:r>
        <w:t xml:space="preserve">                   F</w:t>
      </w:r>
      <w:r>
        <w:rPr>
          <w:rFonts w:hint="eastAsia"/>
        </w:rPr>
        <w:t>元素平衡表</w:t>
      </w:r>
    </w:p>
    <w:tbl>
      <w:tblPr>
        <w:tblStyle w:val="88"/>
        <w:tblW w:w="5000" w:type="pct"/>
        <w:tblInd w:w="0" w:type="dxa"/>
        <w:tblLayout w:type="fixed"/>
        <w:tblCellMar>
          <w:top w:w="0" w:type="dxa"/>
          <w:left w:w="108" w:type="dxa"/>
          <w:bottom w:w="0" w:type="dxa"/>
          <w:right w:w="108" w:type="dxa"/>
        </w:tblCellMar>
      </w:tblPr>
      <w:tblGrid>
        <w:gridCol w:w="1177"/>
        <w:gridCol w:w="1448"/>
        <w:gridCol w:w="1446"/>
        <w:gridCol w:w="1446"/>
        <w:gridCol w:w="1446"/>
        <w:gridCol w:w="1446"/>
        <w:gridCol w:w="1445"/>
      </w:tblGrid>
      <w:tr>
        <w:tblPrEx>
          <w:tblCellMar>
            <w:top w:w="0" w:type="dxa"/>
            <w:left w:w="108" w:type="dxa"/>
            <w:bottom w:w="0" w:type="dxa"/>
            <w:right w:w="108" w:type="dxa"/>
          </w:tblCellMar>
        </w:tblPrEx>
        <w:trPr>
          <w:trHeight w:val="270" w:hRule="atLeast"/>
        </w:trPr>
        <w:tc>
          <w:tcPr>
            <w:tcW w:w="1108" w:type="dxa"/>
            <w:vMerge w:val="restart"/>
            <w:tcBorders>
              <w:top w:val="single" w:color="000000" w:sz="12"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序号</w:t>
            </w:r>
          </w:p>
        </w:tc>
        <w:tc>
          <w:tcPr>
            <w:tcW w:w="4090" w:type="dxa"/>
            <w:gridSpan w:val="3"/>
            <w:tcBorders>
              <w:top w:val="single" w:color="000000"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流入项</w:t>
            </w:r>
          </w:p>
        </w:tc>
        <w:tc>
          <w:tcPr>
            <w:tcW w:w="4088" w:type="dxa"/>
            <w:gridSpan w:val="3"/>
            <w:tcBorders>
              <w:top w:val="single" w:color="000000" w:sz="12" w:space="0"/>
              <w:left w:val="dotted" w:color="auto" w:sz="4" w:space="0"/>
              <w:bottom w:val="dotted" w:color="auto" w:sz="4" w:space="0"/>
            </w:tcBorders>
            <w:vAlign w:val="center"/>
          </w:tcPr>
          <w:p>
            <w:pPr>
              <w:spacing w:line="240" w:lineRule="atLeast"/>
              <w:ind w:firstLine="0" w:firstLineChars="0"/>
              <w:jc w:val="center"/>
              <w:rPr>
                <w:sz w:val="21"/>
              </w:rPr>
            </w:pPr>
            <w:r>
              <w:rPr>
                <w:rFonts w:hint="eastAsia"/>
                <w:sz w:val="21"/>
              </w:rPr>
              <w:t>流出项</w:t>
            </w:r>
          </w:p>
        </w:tc>
      </w:tr>
      <w:tr>
        <w:tblPrEx>
          <w:tblCellMar>
            <w:top w:w="0" w:type="dxa"/>
            <w:left w:w="108" w:type="dxa"/>
            <w:bottom w:w="0" w:type="dxa"/>
            <w:right w:w="108" w:type="dxa"/>
          </w:tblCellMar>
        </w:tblPrEx>
        <w:trPr>
          <w:trHeight w:val="210" w:hRule="atLeast"/>
        </w:trPr>
        <w:tc>
          <w:tcPr>
            <w:tcW w:w="1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64"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含量</w:t>
            </w:r>
          </w:p>
          <w:p>
            <w:pPr>
              <w:spacing w:line="240" w:lineRule="atLeast"/>
              <w:ind w:firstLine="0" w:firstLineChars="0"/>
              <w:jc w:val="center"/>
              <w:rPr>
                <w:sz w:val="21"/>
              </w:rPr>
            </w:pPr>
            <w:r>
              <w:rPr>
                <w:sz w:val="21"/>
              </w:rPr>
              <w:t>(t/a)</w:t>
            </w:r>
          </w:p>
        </w:tc>
        <w:tc>
          <w:tcPr>
            <w:tcW w:w="136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w:t>
            </w:r>
          </w:p>
        </w:tc>
        <w:tc>
          <w:tcPr>
            <w:tcW w:w="136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含量</w:t>
            </w:r>
          </w:p>
          <w:p>
            <w:pPr>
              <w:spacing w:line="240" w:lineRule="atLeast"/>
              <w:ind w:firstLine="0" w:firstLineChars="0"/>
              <w:jc w:val="center"/>
              <w:rPr>
                <w:sz w:val="21"/>
              </w:rPr>
            </w:pPr>
            <w:r>
              <w:rPr>
                <w:sz w:val="21"/>
              </w:rPr>
              <w:t>(t/a)</w:t>
            </w:r>
          </w:p>
        </w:tc>
        <w:tc>
          <w:tcPr>
            <w:tcW w:w="1362"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sz w:val="21"/>
              </w:rPr>
              <w:t>%</w:t>
            </w:r>
          </w:p>
        </w:tc>
      </w:tr>
      <w:tr>
        <w:tblPrEx>
          <w:tblCellMar>
            <w:top w:w="0" w:type="dxa"/>
            <w:left w:w="108" w:type="dxa"/>
            <w:bottom w:w="0" w:type="dxa"/>
            <w:right w:w="108" w:type="dxa"/>
          </w:tblCellMar>
        </w:tblPrEx>
        <w:trPr>
          <w:trHeight w:val="385" w:hRule="atLeast"/>
        </w:trPr>
        <w:tc>
          <w:tcPr>
            <w:tcW w:w="1108"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1364"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废物</w:t>
            </w:r>
          </w:p>
        </w:tc>
        <w:tc>
          <w:tcPr>
            <w:tcW w:w="136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28.41</w:t>
            </w:r>
          </w:p>
        </w:tc>
        <w:tc>
          <w:tcPr>
            <w:tcW w:w="136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100</w:t>
            </w:r>
          </w:p>
        </w:tc>
        <w:tc>
          <w:tcPr>
            <w:tcW w:w="136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灰渣</w:t>
            </w:r>
          </w:p>
        </w:tc>
        <w:tc>
          <w:tcPr>
            <w:tcW w:w="136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23.30</w:t>
            </w:r>
          </w:p>
        </w:tc>
        <w:tc>
          <w:tcPr>
            <w:tcW w:w="1362"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82</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3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洗涤液</w:t>
            </w:r>
          </w:p>
        </w:tc>
        <w:tc>
          <w:tcPr>
            <w:tcW w:w="13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4.60</w:t>
            </w:r>
          </w:p>
        </w:tc>
        <w:tc>
          <w:tcPr>
            <w:tcW w:w="136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16.2</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136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烟囱排放</w:t>
            </w:r>
          </w:p>
        </w:tc>
        <w:tc>
          <w:tcPr>
            <w:tcW w:w="13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0.51</w:t>
            </w:r>
          </w:p>
        </w:tc>
        <w:tc>
          <w:tcPr>
            <w:tcW w:w="1362"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1.8</w:t>
            </w:r>
          </w:p>
        </w:tc>
      </w:tr>
      <w:tr>
        <w:tblPrEx>
          <w:tblCellMar>
            <w:top w:w="0" w:type="dxa"/>
            <w:left w:w="108" w:type="dxa"/>
            <w:bottom w:w="0" w:type="dxa"/>
            <w:right w:w="108" w:type="dxa"/>
          </w:tblCellMar>
        </w:tblPrEx>
        <w:trPr>
          <w:trHeight w:val="419" w:hRule="atLeast"/>
        </w:trPr>
        <w:tc>
          <w:tcPr>
            <w:tcW w:w="2472" w:type="dxa"/>
            <w:gridSpan w:val="2"/>
            <w:tcBorders>
              <w:top w:val="dotted" w:color="auto" w:sz="4" w:space="0"/>
              <w:left w:val="nil"/>
              <w:bottom w:val="single" w:color="000000" w:sz="12" w:space="0"/>
              <w:right w:val="dotted" w:color="auto" w:sz="4" w:space="0"/>
            </w:tcBorders>
            <w:vAlign w:val="center"/>
          </w:tcPr>
          <w:p>
            <w:pPr>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28.41</w:t>
            </w:r>
          </w:p>
        </w:tc>
        <w:tc>
          <w:tcPr>
            <w:tcW w:w="1363"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100</w:t>
            </w:r>
          </w:p>
        </w:tc>
        <w:tc>
          <w:tcPr>
            <w:tcW w:w="1363"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28.41</w:t>
            </w:r>
          </w:p>
        </w:tc>
        <w:tc>
          <w:tcPr>
            <w:tcW w:w="1362"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sz w:val="21"/>
              </w:rPr>
            </w:pPr>
            <w:r>
              <w:rPr>
                <w:sz w:val="21"/>
              </w:rPr>
              <w:t>100</w:t>
            </w:r>
          </w:p>
        </w:tc>
      </w:tr>
    </w:tbl>
    <w:p>
      <w:pPr>
        <w:pStyle w:val="51"/>
        <w:snapToGrid w:val="0"/>
        <w:spacing w:line="360" w:lineRule="auto"/>
        <w:ind w:left="480" w:firstLine="480"/>
        <w:rPr>
          <w:szCs w:val="24"/>
        </w:rPr>
      </w:pPr>
    </w:p>
    <w:p>
      <w:pPr>
        <w:pStyle w:val="161"/>
        <w:ind w:firstLine="480"/>
        <w:rPr>
          <w:rFonts w:ascii="宋体" w:cs="Times New Roman"/>
          <w:sz w:val="28"/>
          <w:szCs w:val="20"/>
        </w:rPr>
      </w:pPr>
      <w:r>
        <w:rPr>
          <w:rFonts w:hint="eastAsia"/>
        </w:rPr>
        <w:t>表4.8—8</w:t>
      </w:r>
      <w:r>
        <w:t xml:space="preserve">                   Hg</w:t>
      </w:r>
      <w:r>
        <w:rPr>
          <w:rFonts w:hint="eastAsia"/>
        </w:rPr>
        <w:t>元素平衡表</w:t>
      </w:r>
    </w:p>
    <w:tbl>
      <w:tblPr>
        <w:tblStyle w:val="88"/>
        <w:tblW w:w="5000" w:type="pct"/>
        <w:tblInd w:w="0" w:type="dxa"/>
        <w:tblLayout w:type="fixed"/>
        <w:tblCellMar>
          <w:top w:w="0" w:type="dxa"/>
          <w:left w:w="108" w:type="dxa"/>
          <w:bottom w:w="0" w:type="dxa"/>
          <w:right w:w="108" w:type="dxa"/>
        </w:tblCellMar>
      </w:tblPr>
      <w:tblGrid>
        <w:gridCol w:w="1177"/>
        <w:gridCol w:w="1448"/>
        <w:gridCol w:w="1446"/>
        <w:gridCol w:w="1446"/>
        <w:gridCol w:w="1446"/>
        <w:gridCol w:w="1446"/>
        <w:gridCol w:w="1445"/>
      </w:tblGrid>
      <w:tr>
        <w:tblPrEx>
          <w:tblCellMar>
            <w:top w:w="0" w:type="dxa"/>
            <w:left w:w="108" w:type="dxa"/>
            <w:bottom w:w="0" w:type="dxa"/>
            <w:right w:w="108" w:type="dxa"/>
          </w:tblCellMar>
        </w:tblPrEx>
        <w:trPr>
          <w:trHeight w:val="270" w:hRule="atLeast"/>
        </w:trPr>
        <w:tc>
          <w:tcPr>
            <w:tcW w:w="1108"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序号</w:t>
            </w:r>
          </w:p>
        </w:tc>
        <w:tc>
          <w:tcPr>
            <w:tcW w:w="4090" w:type="dxa"/>
            <w:gridSpan w:val="3"/>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流入项</w:t>
            </w:r>
          </w:p>
        </w:tc>
        <w:tc>
          <w:tcPr>
            <w:tcW w:w="4088" w:type="dxa"/>
            <w:gridSpan w:val="3"/>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sz w:val="21"/>
              </w:rPr>
              <w:t>流出项</w:t>
            </w:r>
          </w:p>
        </w:tc>
      </w:tr>
      <w:tr>
        <w:tblPrEx>
          <w:tblCellMar>
            <w:top w:w="0" w:type="dxa"/>
            <w:left w:w="108" w:type="dxa"/>
            <w:bottom w:w="0" w:type="dxa"/>
            <w:right w:w="108" w:type="dxa"/>
          </w:tblCellMar>
        </w:tblPrEx>
        <w:trPr>
          <w:trHeight w:val="210" w:hRule="atLeast"/>
        </w:trPr>
        <w:tc>
          <w:tcPr>
            <w:tcW w:w="1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6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sz w:val="21"/>
              </w:rPr>
              <w:t>%</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2"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sz w:val="21"/>
              </w:rPr>
            </w:pPr>
            <w:r>
              <w:rPr>
                <w:sz w:val="21"/>
              </w:rPr>
              <w:t>%</w:t>
            </w:r>
          </w:p>
        </w:tc>
      </w:tr>
      <w:tr>
        <w:tblPrEx>
          <w:tblCellMar>
            <w:top w:w="0" w:type="dxa"/>
            <w:left w:w="108" w:type="dxa"/>
            <w:bottom w:w="0" w:type="dxa"/>
            <w:right w:w="108" w:type="dxa"/>
          </w:tblCellMar>
        </w:tblPrEx>
        <w:trPr>
          <w:trHeight w:val="385" w:hRule="atLeast"/>
        </w:trPr>
        <w:tc>
          <w:tcPr>
            <w:tcW w:w="1108" w:type="dxa"/>
            <w:tcBorders>
              <w:top w:val="single" w:color="auto" w:sz="12"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w:t>
            </w:r>
          </w:p>
        </w:tc>
        <w:tc>
          <w:tcPr>
            <w:tcW w:w="136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废物</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0.0955</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灰渣</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0.0865</w:t>
            </w:r>
          </w:p>
        </w:tc>
        <w:tc>
          <w:tcPr>
            <w:tcW w:w="1362" w:type="dxa"/>
            <w:tcBorders>
              <w:top w:val="single" w:color="auto"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90.6</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洗涤液</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0.0045</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3</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烟囱排放</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0.0045</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419" w:hRule="atLeast"/>
        </w:trPr>
        <w:tc>
          <w:tcPr>
            <w:tcW w:w="2472" w:type="dxa"/>
            <w:gridSpan w:val="2"/>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0.0955</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0.0955</w:t>
            </w:r>
          </w:p>
        </w:tc>
        <w:tc>
          <w:tcPr>
            <w:tcW w:w="1362"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sz w:val="21"/>
              </w:rPr>
              <w:t>100</w:t>
            </w:r>
          </w:p>
        </w:tc>
      </w:tr>
    </w:tbl>
    <w:p>
      <w:pPr>
        <w:pStyle w:val="51"/>
        <w:snapToGrid w:val="0"/>
        <w:spacing w:line="360" w:lineRule="auto"/>
        <w:ind w:left="480" w:firstLine="480"/>
        <w:rPr>
          <w:szCs w:val="24"/>
        </w:rPr>
      </w:pPr>
    </w:p>
    <w:p>
      <w:pPr>
        <w:pStyle w:val="161"/>
        <w:ind w:firstLine="480"/>
        <w:rPr>
          <w:rFonts w:ascii="宋体" w:cs="Times New Roman"/>
          <w:sz w:val="28"/>
          <w:szCs w:val="20"/>
        </w:rPr>
      </w:pPr>
      <w:r>
        <w:rPr>
          <w:rFonts w:hint="eastAsia"/>
        </w:rPr>
        <w:t>表4.8—9</w:t>
      </w:r>
      <w:r>
        <w:t xml:space="preserve">                  Cd</w:t>
      </w:r>
      <w:r>
        <w:rPr>
          <w:rFonts w:hint="eastAsia"/>
        </w:rPr>
        <w:t>元素平衡表</w:t>
      </w:r>
    </w:p>
    <w:tbl>
      <w:tblPr>
        <w:tblStyle w:val="88"/>
        <w:tblW w:w="5000" w:type="pct"/>
        <w:tblInd w:w="0" w:type="dxa"/>
        <w:tblLayout w:type="fixed"/>
        <w:tblCellMar>
          <w:top w:w="0" w:type="dxa"/>
          <w:left w:w="108" w:type="dxa"/>
          <w:bottom w:w="0" w:type="dxa"/>
          <w:right w:w="108" w:type="dxa"/>
        </w:tblCellMar>
      </w:tblPr>
      <w:tblGrid>
        <w:gridCol w:w="1177"/>
        <w:gridCol w:w="1448"/>
        <w:gridCol w:w="1446"/>
        <w:gridCol w:w="1446"/>
        <w:gridCol w:w="1446"/>
        <w:gridCol w:w="1446"/>
        <w:gridCol w:w="1445"/>
      </w:tblGrid>
      <w:tr>
        <w:tblPrEx>
          <w:tblCellMar>
            <w:top w:w="0" w:type="dxa"/>
            <w:left w:w="108" w:type="dxa"/>
            <w:bottom w:w="0" w:type="dxa"/>
            <w:right w:w="108" w:type="dxa"/>
          </w:tblCellMar>
        </w:tblPrEx>
        <w:trPr>
          <w:trHeight w:val="270" w:hRule="atLeast"/>
        </w:trPr>
        <w:tc>
          <w:tcPr>
            <w:tcW w:w="1108"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序号</w:t>
            </w:r>
          </w:p>
        </w:tc>
        <w:tc>
          <w:tcPr>
            <w:tcW w:w="4090" w:type="dxa"/>
            <w:gridSpan w:val="3"/>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流入项</w:t>
            </w:r>
          </w:p>
        </w:tc>
        <w:tc>
          <w:tcPr>
            <w:tcW w:w="4088" w:type="dxa"/>
            <w:gridSpan w:val="3"/>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sz w:val="21"/>
              </w:rPr>
              <w:t>流出项</w:t>
            </w:r>
          </w:p>
        </w:tc>
      </w:tr>
      <w:tr>
        <w:tblPrEx>
          <w:tblCellMar>
            <w:top w:w="0" w:type="dxa"/>
            <w:left w:w="108" w:type="dxa"/>
            <w:bottom w:w="0" w:type="dxa"/>
            <w:right w:w="108" w:type="dxa"/>
          </w:tblCellMar>
        </w:tblPrEx>
        <w:trPr>
          <w:trHeight w:val="210" w:hRule="atLeast"/>
        </w:trPr>
        <w:tc>
          <w:tcPr>
            <w:tcW w:w="1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6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sz w:val="21"/>
              </w:rPr>
              <w:t>%</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2"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sz w:val="21"/>
              </w:rPr>
            </w:pPr>
            <w:r>
              <w:rPr>
                <w:sz w:val="21"/>
              </w:rPr>
              <w:t>%</w:t>
            </w:r>
          </w:p>
        </w:tc>
      </w:tr>
      <w:tr>
        <w:tblPrEx>
          <w:tblCellMar>
            <w:top w:w="0" w:type="dxa"/>
            <w:left w:w="108" w:type="dxa"/>
            <w:bottom w:w="0" w:type="dxa"/>
            <w:right w:w="108" w:type="dxa"/>
          </w:tblCellMar>
        </w:tblPrEx>
        <w:trPr>
          <w:trHeight w:val="385" w:hRule="atLeast"/>
        </w:trPr>
        <w:tc>
          <w:tcPr>
            <w:tcW w:w="1108" w:type="dxa"/>
            <w:tcBorders>
              <w:top w:val="single" w:color="auto" w:sz="12"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w:t>
            </w:r>
          </w:p>
        </w:tc>
        <w:tc>
          <w:tcPr>
            <w:tcW w:w="136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废物</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0.0764</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灰渣</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0.0692</w:t>
            </w:r>
          </w:p>
        </w:tc>
        <w:tc>
          <w:tcPr>
            <w:tcW w:w="1362" w:type="dxa"/>
            <w:tcBorders>
              <w:top w:val="single" w:color="auto"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90.6</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洗涤液</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0.0036</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3</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烟囱排放</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0.0036</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419" w:hRule="atLeast"/>
        </w:trPr>
        <w:tc>
          <w:tcPr>
            <w:tcW w:w="2472" w:type="dxa"/>
            <w:gridSpan w:val="2"/>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0.0764</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0.0764</w:t>
            </w:r>
          </w:p>
        </w:tc>
        <w:tc>
          <w:tcPr>
            <w:tcW w:w="1362"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sz w:val="21"/>
              </w:rPr>
              <w:t>100</w:t>
            </w:r>
          </w:p>
        </w:tc>
      </w:tr>
    </w:tbl>
    <w:p>
      <w:pPr>
        <w:pStyle w:val="51"/>
        <w:snapToGrid w:val="0"/>
        <w:spacing w:line="360" w:lineRule="auto"/>
        <w:ind w:left="480" w:firstLine="480"/>
        <w:rPr>
          <w:szCs w:val="24"/>
        </w:rPr>
      </w:pPr>
    </w:p>
    <w:p>
      <w:pPr>
        <w:pStyle w:val="161"/>
        <w:ind w:firstLine="480"/>
        <w:rPr>
          <w:rFonts w:ascii="宋体" w:cs="Times New Roman"/>
          <w:sz w:val="28"/>
          <w:szCs w:val="20"/>
        </w:rPr>
      </w:pPr>
      <w:r>
        <w:rPr>
          <w:rFonts w:hint="eastAsia"/>
        </w:rPr>
        <w:t xml:space="preserve">表4.8—10 </w:t>
      </w:r>
      <w:r>
        <w:t xml:space="preserve">                   Pb</w:t>
      </w:r>
      <w:r>
        <w:rPr>
          <w:rFonts w:hint="eastAsia"/>
        </w:rPr>
        <w:t>元素平衡表</w:t>
      </w:r>
    </w:p>
    <w:tbl>
      <w:tblPr>
        <w:tblStyle w:val="88"/>
        <w:tblW w:w="5000" w:type="pct"/>
        <w:tblInd w:w="0" w:type="dxa"/>
        <w:tblLayout w:type="fixed"/>
        <w:tblCellMar>
          <w:top w:w="0" w:type="dxa"/>
          <w:left w:w="108" w:type="dxa"/>
          <w:bottom w:w="0" w:type="dxa"/>
          <w:right w:w="108" w:type="dxa"/>
        </w:tblCellMar>
      </w:tblPr>
      <w:tblGrid>
        <w:gridCol w:w="1177"/>
        <w:gridCol w:w="1448"/>
        <w:gridCol w:w="1446"/>
        <w:gridCol w:w="1446"/>
        <w:gridCol w:w="1446"/>
        <w:gridCol w:w="1446"/>
        <w:gridCol w:w="1445"/>
      </w:tblGrid>
      <w:tr>
        <w:tblPrEx>
          <w:tblCellMar>
            <w:top w:w="0" w:type="dxa"/>
            <w:left w:w="108" w:type="dxa"/>
            <w:bottom w:w="0" w:type="dxa"/>
            <w:right w:w="108" w:type="dxa"/>
          </w:tblCellMar>
        </w:tblPrEx>
        <w:trPr>
          <w:trHeight w:val="270" w:hRule="atLeast"/>
        </w:trPr>
        <w:tc>
          <w:tcPr>
            <w:tcW w:w="1108"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序号</w:t>
            </w:r>
          </w:p>
        </w:tc>
        <w:tc>
          <w:tcPr>
            <w:tcW w:w="4090" w:type="dxa"/>
            <w:gridSpan w:val="3"/>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流入项</w:t>
            </w:r>
          </w:p>
        </w:tc>
        <w:tc>
          <w:tcPr>
            <w:tcW w:w="4088" w:type="dxa"/>
            <w:gridSpan w:val="3"/>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sz w:val="21"/>
              </w:rPr>
              <w:t>流出项</w:t>
            </w:r>
          </w:p>
        </w:tc>
      </w:tr>
      <w:tr>
        <w:tblPrEx>
          <w:tblCellMar>
            <w:top w:w="0" w:type="dxa"/>
            <w:left w:w="108" w:type="dxa"/>
            <w:bottom w:w="0" w:type="dxa"/>
            <w:right w:w="108" w:type="dxa"/>
          </w:tblCellMar>
        </w:tblPrEx>
        <w:trPr>
          <w:trHeight w:val="210" w:hRule="atLeast"/>
        </w:trPr>
        <w:tc>
          <w:tcPr>
            <w:tcW w:w="1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6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sz w:val="21"/>
              </w:rPr>
              <w:t>%</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2"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sz w:val="21"/>
              </w:rPr>
            </w:pPr>
            <w:r>
              <w:rPr>
                <w:sz w:val="21"/>
              </w:rPr>
              <w:t>%</w:t>
            </w:r>
          </w:p>
        </w:tc>
      </w:tr>
      <w:tr>
        <w:tblPrEx>
          <w:tblCellMar>
            <w:top w:w="0" w:type="dxa"/>
            <w:left w:w="108" w:type="dxa"/>
            <w:bottom w:w="0" w:type="dxa"/>
            <w:right w:w="108" w:type="dxa"/>
          </w:tblCellMar>
        </w:tblPrEx>
        <w:trPr>
          <w:trHeight w:val="385" w:hRule="atLeast"/>
        </w:trPr>
        <w:tc>
          <w:tcPr>
            <w:tcW w:w="1108" w:type="dxa"/>
            <w:tcBorders>
              <w:top w:val="single" w:color="auto" w:sz="12"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w:t>
            </w:r>
          </w:p>
        </w:tc>
        <w:tc>
          <w:tcPr>
            <w:tcW w:w="136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废物</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0.955</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灰渣</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0.865</w:t>
            </w:r>
          </w:p>
        </w:tc>
        <w:tc>
          <w:tcPr>
            <w:tcW w:w="1362" w:type="dxa"/>
            <w:tcBorders>
              <w:top w:val="single" w:color="auto"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90.6</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洗涤液</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0.045</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3</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烟囱排放</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0.045</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419" w:hRule="atLeast"/>
        </w:trPr>
        <w:tc>
          <w:tcPr>
            <w:tcW w:w="2472" w:type="dxa"/>
            <w:gridSpan w:val="2"/>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0.955</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0.955</w:t>
            </w:r>
          </w:p>
        </w:tc>
        <w:tc>
          <w:tcPr>
            <w:tcW w:w="1362"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sz w:val="21"/>
              </w:rPr>
              <w:t>100</w:t>
            </w:r>
          </w:p>
        </w:tc>
      </w:tr>
    </w:tbl>
    <w:p>
      <w:pPr>
        <w:pStyle w:val="51"/>
        <w:ind w:left="480" w:firstLine="480"/>
      </w:pPr>
    </w:p>
    <w:p>
      <w:pPr>
        <w:pStyle w:val="161"/>
        <w:ind w:firstLine="480"/>
        <w:rPr>
          <w:lang w:val="en-US"/>
        </w:rPr>
      </w:pPr>
      <w:r>
        <w:rPr>
          <w:rFonts w:hint="eastAsia"/>
        </w:rPr>
        <w:t>表</w:t>
      </w:r>
      <w:r>
        <w:rPr>
          <w:rFonts w:hint="eastAsia"/>
          <w:lang w:val="en-US"/>
        </w:rPr>
        <w:t>4.8—11</w:t>
      </w:r>
      <w:r>
        <w:rPr>
          <w:lang w:val="en-US"/>
        </w:rPr>
        <w:t xml:space="preserve">                 As+Ni</w:t>
      </w:r>
      <w:r>
        <w:rPr>
          <w:rFonts w:hint="eastAsia"/>
        </w:rPr>
        <w:t>元素平衡表</w:t>
      </w:r>
    </w:p>
    <w:tbl>
      <w:tblPr>
        <w:tblStyle w:val="88"/>
        <w:tblW w:w="5000" w:type="pct"/>
        <w:tblInd w:w="0" w:type="dxa"/>
        <w:tblLayout w:type="fixed"/>
        <w:tblCellMar>
          <w:top w:w="0" w:type="dxa"/>
          <w:left w:w="108" w:type="dxa"/>
          <w:bottom w:w="0" w:type="dxa"/>
          <w:right w:w="108" w:type="dxa"/>
        </w:tblCellMar>
      </w:tblPr>
      <w:tblGrid>
        <w:gridCol w:w="1177"/>
        <w:gridCol w:w="1448"/>
        <w:gridCol w:w="1446"/>
        <w:gridCol w:w="1446"/>
        <w:gridCol w:w="1446"/>
        <w:gridCol w:w="1446"/>
        <w:gridCol w:w="1445"/>
      </w:tblGrid>
      <w:tr>
        <w:tblPrEx>
          <w:tblCellMar>
            <w:top w:w="0" w:type="dxa"/>
            <w:left w:w="108" w:type="dxa"/>
            <w:bottom w:w="0" w:type="dxa"/>
            <w:right w:w="108" w:type="dxa"/>
          </w:tblCellMar>
        </w:tblPrEx>
        <w:trPr>
          <w:trHeight w:val="270" w:hRule="atLeast"/>
        </w:trPr>
        <w:tc>
          <w:tcPr>
            <w:tcW w:w="1108"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序号</w:t>
            </w:r>
          </w:p>
        </w:tc>
        <w:tc>
          <w:tcPr>
            <w:tcW w:w="4090" w:type="dxa"/>
            <w:gridSpan w:val="3"/>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流入项</w:t>
            </w:r>
          </w:p>
        </w:tc>
        <w:tc>
          <w:tcPr>
            <w:tcW w:w="4088" w:type="dxa"/>
            <w:gridSpan w:val="3"/>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sz w:val="21"/>
              </w:rPr>
              <w:t>流出项</w:t>
            </w:r>
          </w:p>
        </w:tc>
      </w:tr>
      <w:tr>
        <w:tblPrEx>
          <w:tblCellMar>
            <w:top w:w="0" w:type="dxa"/>
            <w:left w:w="108" w:type="dxa"/>
            <w:bottom w:w="0" w:type="dxa"/>
            <w:right w:w="108" w:type="dxa"/>
          </w:tblCellMar>
        </w:tblPrEx>
        <w:trPr>
          <w:trHeight w:val="210" w:hRule="atLeast"/>
        </w:trPr>
        <w:tc>
          <w:tcPr>
            <w:tcW w:w="1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6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sz w:val="21"/>
              </w:rPr>
              <w:t>%</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2"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sz w:val="21"/>
              </w:rPr>
            </w:pPr>
            <w:r>
              <w:rPr>
                <w:sz w:val="21"/>
              </w:rPr>
              <w:t>%</w:t>
            </w:r>
          </w:p>
        </w:tc>
      </w:tr>
      <w:tr>
        <w:tblPrEx>
          <w:tblCellMar>
            <w:top w:w="0" w:type="dxa"/>
            <w:left w:w="108" w:type="dxa"/>
            <w:bottom w:w="0" w:type="dxa"/>
            <w:right w:w="108" w:type="dxa"/>
          </w:tblCellMar>
        </w:tblPrEx>
        <w:trPr>
          <w:trHeight w:val="385" w:hRule="atLeast"/>
        </w:trPr>
        <w:tc>
          <w:tcPr>
            <w:tcW w:w="1108" w:type="dxa"/>
            <w:tcBorders>
              <w:top w:val="single" w:color="auto" w:sz="12"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w:t>
            </w:r>
          </w:p>
        </w:tc>
        <w:tc>
          <w:tcPr>
            <w:tcW w:w="136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废物</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0.764</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灰渣</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0.692</w:t>
            </w:r>
          </w:p>
        </w:tc>
        <w:tc>
          <w:tcPr>
            <w:tcW w:w="1362" w:type="dxa"/>
            <w:tcBorders>
              <w:top w:val="single" w:color="auto"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90.6</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洗涤液</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0.036</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3</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烟囱排放</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0.036</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419" w:hRule="atLeast"/>
        </w:trPr>
        <w:tc>
          <w:tcPr>
            <w:tcW w:w="2472" w:type="dxa"/>
            <w:gridSpan w:val="2"/>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0.764</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0.764</w:t>
            </w:r>
          </w:p>
        </w:tc>
        <w:tc>
          <w:tcPr>
            <w:tcW w:w="1362"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sz w:val="21"/>
              </w:rPr>
              <w:t>100</w:t>
            </w:r>
          </w:p>
        </w:tc>
      </w:tr>
    </w:tbl>
    <w:p>
      <w:pPr>
        <w:pStyle w:val="51"/>
        <w:snapToGrid w:val="0"/>
        <w:spacing w:line="360" w:lineRule="auto"/>
        <w:ind w:left="480" w:firstLine="480"/>
        <w:rPr>
          <w:szCs w:val="24"/>
        </w:rPr>
      </w:pPr>
    </w:p>
    <w:p>
      <w:pPr>
        <w:pStyle w:val="161"/>
        <w:ind w:firstLine="480"/>
        <w:rPr>
          <w:rFonts w:ascii="宋体" w:cs="Times New Roman"/>
          <w:sz w:val="28"/>
          <w:szCs w:val="20"/>
          <w:lang w:val="en-US"/>
        </w:rPr>
      </w:pPr>
      <w:r>
        <w:rPr>
          <w:rFonts w:hint="eastAsia"/>
        </w:rPr>
        <w:t>表</w:t>
      </w:r>
      <w:r>
        <w:rPr>
          <w:rFonts w:hint="eastAsia"/>
          <w:lang w:val="en-US"/>
        </w:rPr>
        <w:t xml:space="preserve">4.8—12 </w:t>
      </w:r>
      <w:r>
        <w:rPr>
          <w:lang w:val="en-US"/>
        </w:rPr>
        <w:t xml:space="preserve">           Cr+Sn+Sb+Cu+Mn</w:t>
      </w:r>
      <w:r>
        <w:rPr>
          <w:rFonts w:hint="eastAsia"/>
        </w:rPr>
        <w:t>元素平衡表</w:t>
      </w:r>
    </w:p>
    <w:tbl>
      <w:tblPr>
        <w:tblStyle w:val="88"/>
        <w:tblW w:w="5000" w:type="pct"/>
        <w:tblInd w:w="0" w:type="dxa"/>
        <w:tblLayout w:type="fixed"/>
        <w:tblCellMar>
          <w:top w:w="0" w:type="dxa"/>
          <w:left w:w="108" w:type="dxa"/>
          <w:bottom w:w="0" w:type="dxa"/>
          <w:right w:w="108" w:type="dxa"/>
        </w:tblCellMar>
      </w:tblPr>
      <w:tblGrid>
        <w:gridCol w:w="1177"/>
        <w:gridCol w:w="1448"/>
        <w:gridCol w:w="1446"/>
        <w:gridCol w:w="1446"/>
        <w:gridCol w:w="1446"/>
        <w:gridCol w:w="1446"/>
        <w:gridCol w:w="1445"/>
      </w:tblGrid>
      <w:tr>
        <w:tblPrEx>
          <w:tblCellMar>
            <w:top w:w="0" w:type="dxa"/>
            <w:left w:w="108" w:type="dxa"/>
            <w:bottom w:w="0" w:type="dxa"/>
            <w:right w:w="108" w:type="dxa"/>
          </w:tblCellMar>
        </w:tblPrEx>
        <w:trPr>
          <w:trHeight w:val="270" w:hRule="atLeast"/>
        </w:trPr>
        <w:tc>
          <w:tcPr>
            <w:tcW w:w="1108" w:type="dxa"/>
            <w:vMerge w:val="restart"/>
            <w:tcBorders>
              <w:top w:val="single" w:color="000000" w:sz="12"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序号</w:t>
            </w:r>
          </w:p>
        </w:tc>
        <w:tc>
          <w:tcPr>
            <w:tcW w:w="4090" w:type="dxa"/>
            <w:gridSpan w:val="3"/>
            <w:tcBorders>
              <w:top w:val="single" w:color="000000"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流入项</w:t>
            </w:r>
          </w:p>
        </w:tc>
        <w:tc>
          <w:tcPr>
            <w:tcW w:w="4088" w:type="dxa"/>
            <w:gridSpan w:val="3"/>
            <w:tcBorders>
              <w:top w:val="single" w:color="000000" w:sz="12" w:space="0"/>
              <w:left w:val="dotted" w:color="auto" w:sz="4" w:space="0"/>
              <w:bottom w:val="dotted" w:color="auto" w:sz="4" w:space="0"/>
            </w:tcBorders>
            <w:vAlign w:val="center"/>
          </w:tcPr>
          <w:p>
            <w:pPr>
              <w:snapToGrid w:val="0"/>
              <w:spacing w:line="240" w:lineRule="atLeast"/>
              <w:ind w:firstLine="0" w:firstLineChars="0"/>
              <w:jc w:val="center"/>
              <w:rPr>
                <w:sz w:val="21"/>
              </w:rPr>
            </w:pPr>
            <w:r>
              <w:rPr>
                <w:rFonts w:hint="eastAsia"/>
                <w:sz w:val="21"/>
              </w:rPr>
              <w:t>流出项</w:t>
            </w:r>
          </w:p>
        </w:tc>
      </w:tr>
      <w:tr>
        <w:tblPrEx>
          <w:tblCellMar>
            <w:top w:w="0" w:type="dxa"/>
            <w:left w:w="108" w:type="dxa"/>
            <w:bottom w:w="0" w:type="dxa"/>
            <w:right w:w="108" w:type="dxa"/>
          </w:tblCellMar>
        </w:tblPrEx>
        <w:trPr>
          <w:trHeight w:val="210" w:hRule="atLeast"/>
        </w:trPr>
        <w:tc>
          <w:tcPr>
            <w:tcW w:w="1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64"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sz w:val="21"/>
              </w:rPr>
              <w:t>%</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项目</w:t>
            </w:r>
          </w:p>
        </w:tc>
        <w:tc>
          <w:tcPr>
            <w:tcW w:w="1363" w:type="dxa"/>
            <w:tcBorders>
              <w:top w:val="dotted" w:color="auto" w:sz="4" w:space="0"/>
              <w:left w:val="dotted" w:color="auto" w:sz="4" w:space="0"/>
              <w:bottom w:val="single" w:color="auto" w:sz="12" w:space="0"/>
              <w:right w:val="dotted" w:color="auto" w:sz="4" w:space="0"/>
            </w:tcBorders>
            <w:vAlign w:val="center"/>
          </w:tcPr>
          <w:p>
            <w:pPr>
              <w:snapToGrid w:val="0"/>
              <w:spacing w:line="240" w:lineRule="atLeast"/>
              <w:ind w:firstLine="0" w:firstLineChars="0"/>
              <w:jc w:val="center"/>
              <w:rPr>
                <w:sz w:val="21"/>
              </w:rPr>
            </w:pPr>
            <w:r>
              <w:rPr>
                <w:rFonts w:hint="eastAsia"/>
                <w:sz w:val="21"/>
              </w:rPr>
              <w:t>含量</w:t>
            </w:r>
          </w:p>
          <w:p>
            <w:pPr>
              <w:snapToGrid w:val="0"/>
              <w:spacing w:line="240" w:lineRule="atLeast"/>
              <w:ind w:firstLine="0" w:firstLineChars="0"/>
              <w:jc w:val="center"/>
              <w:rPr>
                <w:sz w:val="21"/>
              </w:rPr>
            </w:pPr>
            <w:r>
              <w:rPr>
                <w:sz w:val="21"/>
              </w:rPr>
              <w:t>(t/a)</w:t>
            </w:r>
          </w:p>
        </w:tc>
        <w:tc>
          <w:tcPr>
            <w:tcW w:w="1362" w:type="dxa"/>
            <w:tcBorders>
              <w:top w:val="dotted" w:color="auto" w:sz="4" w:space="0"/>
              <w:left w:val="dotted" w:color="auto" w:sz="4" w:space="0"/>
              <w:bottom w:val="single" w:color="auto" w:sz="12" w:space="0"/>
              <w:right w:val="nil"/>
            </w:tcBorders>
            <w:vAlign w:val="center"/>
          </w:tcPr>
          <w:p>
            <w:pPr>
              <w:snapToGrid w:val="0"/>
              <w:spacing w:line="240" w:lineRule="atLeast"/>
              <w:ind w:firstLine="0" w:firstLineChars="0"/>
              <w:jc w:val="center"/>
              <w:rPr>
                <w:sz w:val="21"/>
              </w:rPr>
            </w:pPr>
            <w:r>
              <w:rPr>
                <w:sz w:val="21"/>
              </w:rPr>
              <w:t>%</w:t>
            </w:r>
          </w:p>
        </w:tc>
      </w:tr>
      <w:tr>
        <w:tblPrEx>
          <w:tblCellMar>
            <w:top w:w="0" w:type="dxa"/>
            <w:left w:w="108" w:type="dxa"/>
            <w:bottom w:w="0" w:type="dxa"/>
            <w:right w:w="108" w:type="dxa"/>
          </w:tblCellMar>
        </w:tblPrEx>
        <w:trPr>
          <w:trHeight w:val="385" w:hRule="atLeast"/>
        </w:trPr>
        <w:tc>
          <w:tcPr>
            <w:tcW w:w="1108" w:type="dxa"/>
            <w:tcBorders>
              <w:top w:val="single" w:color="auto" w:sz="12"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w:t>
            </w:r>
          </w:p>
        </w:tc>
        <w:tc>
          <w:tcPr>
            <w:tcW w:w="1364"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废物</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4.581</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灰渣</w:t>
            </w:r>
          </w:p>
        </w:tc>
        <w:tc>
          <w:tcPr>
            <w:tcW w:w="1363" w:type="dxa"/>
            <w:tcBorders>
              <w:top w:val="single" w:color="auto" w:sz="12"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4.151</w:t>
            </w:r>
          </w:p>
        </w:tc>
        <w:tc>
          <w:tcPr>
            <w:tcW w:w="1362" w:type="dxa"/>
            <w:tcBorders>
              <w:top w:val="single" w:color="auto" w:sz="12"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90.6</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2</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洗涤液</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0.215</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385" w:hRule="atLeast"/>
        </w:trPr>
        <w:tc>
          <w:tcPr>
            <w:tcW w:w="1108"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3</w:t>
            </w:r>
          </w:p>
        </w:tc>
        <w:tc>
          <w:tcPr>
            <w:tcW w:w="136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烟囱排放</w:t>
            </w:r>
          </w:p>
        </w:tc>
        <w:tc>
          <w:tcPr>
            <w:tcW w:w="13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0.215</w:t>
            </w:r>
          </w:p>
        </w:tc>
        <w:tc>
          <w:tcPr>
            <w:tcW w:w="1362"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sz w:val="21"/>
              </w:rPr>
            </w:pPr>
            <w:r>
              <w:rPr>
                <w:sz w:val="21"/>
              </w:rPr>
              <w:t>4.7</w:t>
            </w:r>
          </w:p>
        </w:tc>
      </w:tr>
      <w:tr>
        <w:tblPrEx>
          <w:tblCellMar>
            <w:top w:w="0" w:type="dxa"/>
            <w:left w:w="108" w:type="dxa"/>
            <w:bottom w:w="0" w:type="dxa"/>
            <w:right w:w="108" w:type="dxa"/>
          </w:tblCellMar>
        </w:tblPrEx>
        <w:trPr>
          <w:trHeight w:val="419" w:hRule="atLeast"/>
        </w:trPr>
        <w:tc>
          <w:tcPr>
            <w:tcW w:w="2472" w:type="dxa"/>
            <w:gridSpan w:val="2"/>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4.581</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100</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rFonts w:hint="eastAsia"/>
                <w:sz w:val="21"/>
              </w:rPr>
              <w:t>合计</w:t>
            </w:r>
          </w:p>
        </w:tc>
        <w:tc>
          <w:tcPr>
            <w:tcW w:w="13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sz w:val="21"/>
              </w:rPr>
            </w:pPr>
            <w:r>
              <w:rPr>
                <w:sz w:val="21"/>
              </w:rPr>
              <w:t>4.581</w:t>
            </w:r>
          </w:p>
        </w:tc>
        <w:tc>
          <w:tcPr>
            <w:tcW w:w="1362"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sz w:val="21"/>
              </w:rPr>
            </w:pPr>
            <w:r>
              <w:rPr>
                <w:sz w:val="21"/>
              </w:rPr>
              <w:t>100</w:t>
            </w:r>
          </w:p>
        </w:tc>
      </w:tr>
    </w:tbl>
    <w:p>
      <w:pPr>
        <w:ind w:firstLine="480"/>
        <w:rPr>
          <w:rFonts w:asciiTheme="minorEastAsia" w:hAnsiTheme="minorEastAsia" w:eastAsiaTheme="minorEastAsia"/>
          <w:szCs w:val="24"/>
        </w:rPr>
      </w:pPr>
    </w:p>
    <w:p>
      <w:pPr>
        <w:pStyle w:val="4"/>
      </w:pPr>
      <w:bookmarkStart w:id="292" w:name="_Toc13760175"/>
      <w:r>
        <w:rPr>
          <w:rFonts w:hint="eastAsia"/>
        </w:rPr>
        <w:t>4.9改扩建</w:t>
      </w:r>
      <w:r>
        <w:rPr>
          <w:rFonts w:hint="eastAsia"/>
          <w:lang w:val="zh-CN"/>
        </w:rPr>
        <w:t>工程污染源分析</w:t>
      </w:r>
      <w:bookmarkEnd w:id="292"/>
    </w:p>
    <w:p>
      <w:pPr>
        <w:pStyle w:val="5"/>
      </w:pPr>
      <w:bookmarkStart w:id="293" w:name="_Toc13760176"/>
      <w:r>
        <w:rPr>
          <w:rFonts w:hint="eastAsia"/>
        </w:rPr>
        <w:t>4.9.1废气</w:t>
      </w:r>
      <w:bookmarkEnd w:id="293"/>
    </w:p>
    <w:p>
      <w:pPr>
        <w:pStyle w:val="6"/>
      </w:pPr>
      <w:r>
        <w:rPr>
          <w:rFonts w:hint="eastAsia"/>
        </w:rPr>
        <w:t>4.9.1.1有组织源</w:t>
      </w:r>
    </w:p>
    <w:p>
      <w:pPr>
        <w:pStyle w:val="739"/>
        <w:ind w:firstLine="480"/>
        <w:outlineLvl w:val="0"/>
      </w:pPr>
      <w:r>
        <w:rPr>
          <w:rFonts w:hint="eastAsia"/>
        </w:rPr>
        <w:fldChar w:fldCharType="begin"/>
      </w:r>
      <w:r>
        <w:instrText xml:space="preserve"> = 1 \* GB2 </w:instrText>
      </w:r>
      <w:r>
        <w:rPr>
          <w:rFonts w:hint="eastAsia"/>
        </w:rPr>
        <w:fldChar w:fldCharType="separate"/>
      </w:r>
      <w:bookmarkStart w:id="294" w:name="_Toc13582136"/>
      <w:bookmarkStart w:id="295" w:name="_Toc13760177"/>
      <w:r>
        <w:rPr>
          <w:rFonts w:hint="eastAsia"/>
        </w:rPr>
        <w:t>⑴</w:t>
      </w:r>
      <w:r>
        <w:rPr>
          <w:rFonts w:hint="eastAsia"/>
        </w:rPr>
        <w:fldChar w:fldCharType="end"/>
      </w:r>
      <w:r>
        <w:rPr>
          <w:rFonts w:hint="eastAsia"/>
        </w:rPr>
        <w:t>废物暂存库废气</w:t>
      </w:r>
      <w:bookmarkEnd w:id="294"/>
      <w:bookmarkEnd w:id="295"/>
    </w:p>
    <w:p>
      <w:pPr>
        <w:ind w:firstLine="480"/>
      </w:pPr>
      <w:r>
        <w:rPr>
          <w:rFonts w:hint="eastAsia"/>
        </w:rPr>
        <w:t>项目各危废暂存库内为微负压，仓库内危废卸料、危废暂存及危废出料会挥发出少量有害气体，主要成分为VOC、</w:t>
      </w:r>
      <w:r>
        <w:t>H</w:t>
      </w:r>
      <w:r>
        <w:rPr>
          <w:vertAlign w:val="subscript"/>
        </w:rPr>
        <w:t>2</w:t>
      </w:r>
      <w:r>
        <w:t>S</w:t>
      </w:r>
      <w:r>
        <w:rPr>
          <w:rFonts w:hint="eastAsia"/>
        </w:rPr>
        <w:t>和</w:t>
      </w:r>
      <w:r>
        <w:t>NH</w:t>
      </w:r>
      <w:r>
        <w:rPr>
          <w:vertAlign w:val="subscript"/>
        </w:rPr>
        <w:t>3</w:t>
      </w:r>
      <w:r>
        <w:rPr>
          <w:rFonts w:hint="eastAsia"/>
        </w:rPr>
        <w:t>，1#仓库、2#仓库和危废暂存库的废气经收集后经过同一套液碱喷淋塔+紫外光系统+活性炭纤维有机废气净化器处理，净化效率约为80</w:t>
      </w:r>
      <w:r>
        <w:t>%</w:t>
      </w:r>
      <w:r>
        <w:rPr>
          <w:rFonts w:hint="eastAsia"/>
        </w:rPr>
        <w:t>，净化后的尾气经由</w:t>
      </w:r>
      <w:r>
        <w:t>1</w:t>
      </w:r>
      <w:r>
        <w:rPr>
          <w:rFonts w:hint="eastAsia"/>
        </w:rPr>
        <w:t>根2</w:t>
      </w:r>
      <w:r>
        <w:t>0m</w:t>
      </w:r>
      <w:r>
        <w:rPr>
          <w:rFonts w:hint="eastAsia"/>
        </w:rPr>
        <w:t>高排气筒外排。</w:t>
      </w:r>
    </w:p>
    <w:p>
      <w:pPr>
        <w:pStyle w:val="739"/>
        <w:ind w:firstLine="480"/>
        <w:outlineLvl w:val="0"/>
      </w:pPr>
      <w:r>
        <w:rPr>
          <w:rFonts w:hint="eastAsia"/>
        </w:rPr>
        <w:fldChar w:fldCharType="begin"/>
      </w:r>
      <w:r>
        <w:instrText xml:space="preserve"> = 2 \* GB2 </w:instrText>
      </w:r>
      <w:r>
        <w:rPr>
          <w:rFonts w:hint="eastAsia"/>
        </w:rPr>
        <w:fldChar w:fldCharType="separate"/>
      </w:r>
      <w:bookmarkStart w:id="296" w:name="_Toc13582137"/>
      <w:bookmarkStart w:id="297" w:name="_Toc13760178"/>
      <w:r>
        <w:rPr>
          <w:rFonts w:hint="eastAsia"/>
        </w:rPr>
        <w:t>⑵</w:t>
      </w:r>
      <w:r>
        <w:rPr>
          <w:rFonts w:hint="eastAsia"/>
        </w:rPr>
        <w:fldChar w:fldCharType="end"/>
      </w:r>
      <w:r>
        <w:rPr>
          <w:rFonts w:hint="eastAsia"/>
        </w:rPr>
        <w:t>物化车间废气</w:t>
      </w:r>
      <w:bookmarkEnd w:id="296"/>
      <w:bookmarkEnd w:id="297"/>
    </w:p>
    <w:p>
      <w:pPr>
        <w:ind w:firstLine="480"/>
      </w:pPr>
      <w:r>
        <w:rPr>
          <w:rFonts w:hint="eastAsia"/>
        </w:rPr>
        <w:t>物化处理车间所产生的废气主要为酸碱中和过程中产生的酸雾。本项目在物化车间设一座酸性气体吸收塔，废气经收集管道进入吸收塔处理后经20</w:t>
      </w:r>
      <w:r>
        <w:t>m</w:t>
      </w:r>
      <w:r>
        <w:rPr>
          <w:rFonts w:hint="eastAsia"/>
        </w:rPr>
        <w:t>排气筒达标排放。吸收净化塔采用两级喷淋净化塔，内设两层填料，塔顶设除雾器层，酸性气体使用</w:t>
      </w:r>
      <w:r>
        <w:t>NaOH</w:t>
      </w:r>
      <w:r>
        <w:rPr>
          <w:rFonts w:hint="eastAsia"/>
        </w:rPr>
        <w:t>溶液进行喷淋吸收，通过高20m的烟囱进行排放，酸雾吸收塔的吸收效率按95%计。由于酸碱中和反应迅速，且喷淋塔对酸雾去除率高，因此外排的气体中酸雾含量低。</w:t>
      </w:r>
    </w:p>
    <w:p>
      <w:pPr>
        <w:pStyle w:val="739"/>
        <w:ind w:firstLine="480"/>
        <w:outlineLvl w:val="0"/>
      </w:pPr>
      <w:r>
        <w:rPr>
          <w:rFonts w:hint="eastAsia"/>
        </w:rPr>
        <w:fldChar w:fldCharType="begin"/>
      </w:r>
      <w:r>
        <w:instrText xml:space="preserve"> = 3 \* GB2 </w:instrText>
      </w:r>
      <w:r>
        <w:rPr>
          <w:rFonts w:hint="eastAsia"/>
        </w:rPr>
        <w:fldChar w:fldCharType="separate"/>
      </w:r>
      <w:bookmarkStart w:id="298" w:name="_Toc13760179"/>
      <w:bookmarkStart w:id="299" w:name="_Toc13582138"/>
      <w:r>
        <w:rPr>
          <w:rFonts w:hint="eastAsia"/>
        </w:rPr>
        <w:t>⑶</w:t>
      </w:r>
      <w:r>
        <w:rPr>
          <w:rFonts w:hint="eastAsia"/>
        </w:rPr>
        <w:fldChar w:fldCharType="end"/>
      </w:r>
      <w:r>
        <w:rPr>
          <w:rFonts w:hint="eastAsia"/>
        </w:rPr>
        <w:t>焚烧废气</w:t>
      </w:r>
      <w:bookmarkEnd w:id="298"/>
      <w:bookmarkEnd w:id="299"/>
    </w:p>
    <w:p>
      <w:pPr>
        <w:ind w:firstLine="480"/>
      </w:pPr>
      <w:r>
        <w:rPr>
          <w:rFonts w:hint="eastAsia"/>
        </w:rPr>
        <w:t>废气污染物源强主要针对焚烧废气进行，焚烧炉设计规模为100</w:t>
      </w:r>
      <w:r>
        <w:t>t/d</w:t>
      </w:r>
      <w:r>
        <w:rPr>
          <w:rFonts w:hint="eastAsia"/>
        </w:rPr>
        <w:t>，焚烧烟气量为14000</w:t>
      </w:r>
      <w:r>
        <w:t>Nm</w:t>
      </w:r>
      <w:r>
        <w:rPr>
          <w:vertAlign w:val="superscript"/>
        </w:rPr>
        <w:t>3</w:t>
      </w:r>
      <w:r>
        <w:t>/h</w:t>
      </w:r>
      <w:r>
        <w:rPr>
          <w:rFonts w:hint="eastAsia"/>
        </w:rPr>
        <w:t>。</w:t>
      </w:r>
    </w:p>
    <w:p>
      <w:pPr>
        <w:ind w:firstLine="480"/>
      </w:pPr>
      <w:r>
        <w:rPr>
          <w:rFonts w:hint="eastAsia"/>
        </w:rPr>
        <w:t>焚烧炉系统废气排放主要是废物焚烧后产生的烟气，焚烧烟气污染物排放具有不稳定、不均衡性，污染物视焚烧废物和焚烧条件而定，主要有酸性组分(</w:t>
      </w:r>
      <w:r>
        <w:t>SO</w:t>
      </w:r>
      <w:r>
        <w:rPr>
          <w:vertAlign w:val="subscript"/>
        </w:rPr>
        <w:t>2</w:t>
      </w:r>
      <w:r>
        <w:rPr>
          <w:rFonts w:hint="eastAsia"/>
        </w:rPr>
        <w:t>、</w:t>
      </w:r>
      <w:r>
        <w:t>NOx</w:t>
      </w:r>
      <w:r>
        <w:rPr>
          <w:rFonts w:hint="eastAsia"/>
        </w:rPr>
        <w:t>、</w:t>
      </w:r>
      <w:r>
        <w:t>HCl</w:t>
      </w:r>
      <w:r>
        <w:rPr>
          <w:rFonts w:hint="eastAsia"/>
        </w:rPr>
        <w:t>、</w:t>
      </w:r>
      <w:r>
        <w:t>HF</w:t>
      </w:r>
      <w:r>
        <w:rPr>
          <w:rFonts w:hint="eastAsia"/>
        </w:rPr>
        <w:t>、</w:t>
      </w:r>
      <w:r>
        <w:t>CO</w:t>
      </w:r>
      <w:r>
        <w:rPr>
          <w:rFonts w:hint="eastAsia"/>
        </w:rPr>
        <w:t>)、烟尘、挥发性重金属，二噁英类物质等。</w:t>
      </w:r>
    </w:p>
    <w:p>
      <w:pPr>
        <w:ind w:firstLine="480"/>
      </w:pPr>
      <w:r>
        <w:rPr>
          <w:kern w:val="0"/>
        </w:rPr>
        <w:t>项目焚烧烟气经过</w:t>
      </w:r>
      <w:r>
        <w:rPr>
          <w:rFonts w:hint="eastAsia"/>
          <w:kern w:val="0"/>
        </w:rPr>
        <w:t>“</w:t>
      </w:r>
      <w:r>
        <w:rPr>
          <w:rFonts w:hint="eastAsia"/>
        </w:rPr>
        <w:t>SNCR脱硝系统+余热锅炉+急冷脱酸塔+干式反应器+袋式除尘器+喷淋洗涤塔+湿电除尘</w:t>
      </w:r>
      <w:r>
        <w:rPr>
          <w:rFonts w:hint="eastAsia"/>
          <w:kern w:val="0"/>
        </w:rPr>
        <w:t>”</w:t>
      </w:r>
      <w:r>
        <w:rPr>
          <w:kern w:val="0"/>
        </w:rPr>
        <w:t>的净化处理，使焚烧不同的废弃物所排放的烟气均能达标排放。</w:t>
      </w:r>
    </w:p>
    <w:p>
      <w:pPr>
        <w:pStyle w:val="739"/>
        <w:ind w:firstLine="480"/>
        <w:outlineLvl w:val="0"/>
      </w:pPr>
      <w:r>
        <w:rPr>
          <w:rFonts w:hint="eastAsia"/>
        </w:rPr>
        <w:fldChar w:fldCharType="begin"/>
      </w:r>
      <w:r>
        <w:instrText xml:space="preserve"> = 4 \* GB2 </w:instrText>
      </w:r>
      <w:r>
        <w:rPr>
          <w:rFonts w:hint="eastAsia"/>
        </w:rPr>
        <w:fldChar w:fldCharType="separate"/>
      </w:r>
      <w:bookmarkStart w:id="300" w:name="_Toc13582139"/>
      <w:bookmarkStart w:id="301" w:name="_Toc13760180"/>
      <w:r>
        <w:rPr>
          <w:rFonts w:hint="eastAsia"/>
        </w:rPr>
        <w:t>⑷</w:t>
      </w:r>
      <w:r>
        <w:rPr>
          <w:rFonts w:hint="eastAsia"/>
        </w:rPr>
        <w:fldChar w:fldCharType="end"/>
      </w:r>
      <w:r>
        <w:rPr>
          <w:rFonts w:hint="eastAsia"/>
        </w:rPr>
        <w:t>固化车间废气</w:t>
      </w:r>
      <w:bookmarkEnd w:id="300"/>
      <w:bookmarkEnd w:id="301"/>
    </w:p>
    <w:p>
      <w:pPr>
        <w:ind w:firstLine="480"/>
      </w:pPr>
      <w:r>
        <w:rPr>
          <w:rFonts w:hint="eastAsia"/>
        </w:rPr>
        <w:t>稳定化</w:t>
      </w:r>
      <w:r>
        <w:t>/</w:t>
      </w:r>
      <w:r>
        <w:rPr>
          <w:rFonts w:hint="eastAsia"/>
        </w:rPr>
        <w:t>固化车间产生的废气主要为入固化车间飞灰及固化剂转运点、搅拌机进料时所产生的含尘废气，为了防止废气中的粉尘逸散至大气中，特别是防止其中的飞灰逸散至大气中，本项目在稳定化</w:t>
      </w:r>
      <w:r>
        <w:t>/</w:t>
      </w:r>
      <w:r>
        <w:rPr>
          <w:rFonts w:hint="eastAsia"/>
        </w:rPr>
        <w:t>固化车间各转运点及搅拌机进料口处安装集气罩，集气罩收集后的废气通过引风系统统一收集后经布袋除尘器除尘，除尘后的废气通过</w:t>
      </w:r>
      <w:r>
        <w:t>20m</w:t>
      </w:r>
      <w:r>
        <w:rPr>
          <w:rFonts w:hint="eastAsia"/>
        </w:rPr>
        <w:t>排气筒排放，集气罩的集气效率按</w:t>
      </w:r>
      <w:r>
        <w:t>98%</w:t>
      </w:r>
      <w:r>
        <w:rPr>
          <w:rFonts w:hint="eastAsia"/>
        </w:rPr>
        <w:t>计，布袋除尘器的除尘效率按</w:t>
      </w:r>
      <w:r>
        <w:t>99%</w:t>
      </w:r>
      <w:r>
        <w:rPr>
          <w:rFonts w:hint="eastAsia"/>
        </w:rPr>
        <w:t>考虑，总除尘效率为</w:t>
      </w:r>
      <w:r>
        <w:t>97%</w:t>
      </w:r>
      <w:r>
        <w:rPr>
          <w:rFonts w:hint="eastAsia"/>
        </w:rPr>
        <w:t>，布袋除尘器收下的粉尘直接返回搅拌机进行固化处理。</w:t>
      </w:r>
    </w:p>
    <w:p>
      <w:pPr>
        <w:pStyle w:val="739"/>
        <w:ind w:firstLine="480"/>
        <w:outlineLvl w:val="0"/>
      </w:pPr>
      <w:r>
        <w:rPr>
          <w:rFonts w:hint="eastAsia"/>
        </w:rPr>
        <w:fldChar w:fldCharType="begin"/>
      </w:r>
      <w:r>
        <w:instrText xml:space="preserve"> = 5 \* GB2 </w:instrText>
      </w:r>
      <w:r>
        <w:rPr>
          <w:rFonts w:hint="eastAsia"/>
        </w:rPr>
        <w:fldChar w:fldCharType="separate"/>
      </w:r>
      <w:bookmarkStart w:id="302" w:name="_Toc13760181"/>
      <w:bookmarkStart w:id="303" w:name="_Toc13582140"/>
      <w:r>
        <w:rPr>
          <w:rFonts w:hint="eastAsia"/>
        </w:rPr>
        <w:t>⑸</w:t>
      </w:r>
      <w:r>
        <w:rPr>
          <w:rFonts w:hint="eastAsia"/>
        </w:rPr>
        <w:fldChar w:fldCharType="end"/>
      </w:r>
      <w:r>
        <w:rPr>
          <w:rFonts w:hint="eastAsia"/>
        </w:rPr>
        <w:t>强制循环蒸发器排气</w:t>
      </w:r>
      <w:bookmarkEnd w:id="302"/>
      <w:bookmarkEnd w:id="303"/>
    </w:p>
    <w:p>
      <w:pPr>
        <w:ind w:firstLine="480"/>
      </w:pPr>
      <w:r>
        <w:rPr>
          <w:rFonts w:hint="eastAsia"/>
        </w:rPr>
        <w:t>强制循环蒸发系统产生的废气量较小，主要污染物为臭气，经一套活性炭纤维有机废气净化器处理后，通过15m的排气筒进行排放。</w:t>
      </w:r>
    </w:p>
    <w:p>
      <w:pPr>
        <w:ind w:firstLine="480"/>
      </w:pPr>
      <w:r>
        <w:rPr>
          <w:rFonts w:hint="eastAsia"/>
        </w:rPr>
        <w:t>本</w:t>
      </w:r>
      <w:r>
        <w:t>项目废气</w:t>
      </w:r>
      <w:r>
        <w:rPr>
          <w:rFonts w:hint="eastAsia"/>
        </w:rPr>
        <w:t>有组织源</w:t>
      </w:r>
      <w:r>
        <w:t>产生情况见表</w:t>
      </w:r>
      <w:r>
        <w:rPr>
          <w:rFonts w:hint="eastAsia"/>
        </w:rPr>
        <w:t>4.9—</w:t>
      </w:r>
      <w:r>
        <w:t>1。</w:t>
      </w: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1906" w:h="16838"/>
          <w:pgMar w:top="1418" w:right="1134" w:bottom="1418" w:left="1134" w:header="851" w:footer="850" w:gutter="0"/>
          <w:cols w:space="425" w:num="1"/>
          <w:docGrid w:type="lines" w:linePitch="326" w:charSpace="0"/>
        </w:sectPr>
      </w:pPr>
    </w:p>
    <w:p>
      <w:pPr>
        <w:spacing w:line="320" w:lineRule="exact"/>
        <w:ind w:firstLine="480"/>
      </w:pPr>
      <w:bookmarkStart w:id="304" w:name="_Ref344302197"/>
      <w:r>
        <w:rPr>
          <w:rFonts w:hint="eastAsia"/>
        </w:rPr>
        <w:t>表</w:t>
      </w:r>
      <w:bookmarkEnd w:id="304"/>
      <w:r>
        <w:rPr>
          <w:rFonts w:hint="eastAsia"/>
        </w:rPr>
        <w:t>4.9—1                         改扩建工程废气有组织源排放情况一览表</w:t>
      </w:r>
    </w:p>
    <w:tbl>
      <w:tblPr>
        <w:tblStyle w:val="181"/>
        <w:tblW w:w="14002"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1161"/>
        <w:gridCol w:w="630"/>
        <w:gridCol w:w="2117"/>
        <w:gridCol w:w="877"/>
        <w:gridCol w:w="1000"/>
        <w:gridCol w:w="952"/>
        <w:gridCol w:w="1451"/>
        <w:gridCol w:w="865"/>
        <w:gridCol w:w="1070"/>
        <w:gridCol w:w="1011"/>
        <w:gridCol w:w="905"/>
        <w:gridCol w:w="417"/>
        <w:gridCol w:w="448"/>
        <w:gridCol w:w="524"/>
        <w:gridCol w:w="574"/>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restart"/>
            <w:tcBorders>
              <w:top w:val="single" w:color="000000" w:sz="12" w:space="0"/>
              <w:left w:val="nil"/>
              <w:bottom w:val="single" w:color="000000" w:sz="12" w:space="0"/>
              <w:right w:val="dotted" w:color="auto" w:sz="4" w:space="0"/>
              <w:insideH w:val="single" w:sz="12" w:space="0"/>
              <w:insideV w:val="dotted" w:sz="4" w:space="0"/>
              <w:tl2br w:val="nil"/>
              <w:tr2bl w:val="nil"/>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排放源</w:t>
            </w:r>
          </w:p>
        </w:tc>
        <w:tc>
          <w:tcPr>
            <w:tcW w:w="630" w:type="dxa"/>
            <w:vMerge w:val="restart"/>
            <w:tcBorders>
              <w:top w:val="single" w:color="000000" w:sz="12" w:space="0"/>
              <w:bottom w:val="single" w:color="000000" w:sz="12" w:space="0"/>
              <w:right w:val="dotted" w:color="auto" w:sz="4" w:space="0"/>
              <w:insideH w:val="single" w:sz="12" w:space="0"/>
              <w:insideV w:val="dotted" w:sz="4" w:space="0"/>
              <w:tl2br w:val="nil"/>
              <w:tr2bl w:val="nil"/>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废气量</w:t>
            </w:r>
          </w:p>
          <w:p>
            <w:pPr>
              <w:spacing w:line="240" w:lineRule="atLeast"/>
              <w:ind w:firstLine="0" w:firstLineChars="0"/>
              <w:rPr>
                <w:rFonts w:cs="Times New Roman"/>
                <w:kern w:val="0"/>
                <w:sz w:val="18"/>
                <w:szCs w:val="18"/>
              </w:rPr>
            </w:pPr>
            <w:r>
              <w:rPr>
                <w:rFonts w:cs="Times New Roman"/>
                <w:kern w:val="0"/>
                <w:sz w:val="18"/>
                <w:szCs w:val="18"/>
              </w:rPr>
              <w:t>(m</w:t>
            </w:r>
            <w:r>
              <w:rPr>
                <w:rFonts w:cs="Times New Roman"/>
                <w:kern w:val="0"/>
                <w:sz w:val="18"/>
                <w:szCs w:val="18"/>
                <w:vertAlign w:val="superscript"/>
              </w:rPr>
              <w:t>3</w:t>
            </w:r>
            <w:r>
              <w:rPr>
                <w:rFonts w:cs="Times New Roman"/>
                <w:kern w:val="0"/>
                <w:sz w:val="18"/>
                <w:szCs w:val="18"/>
              </w:rPr>
              <w:t>/h)</w:t>
            </w:r>
          </w:p>
        </w:tc>
        <w:tc>
          <w:tcPr>
            <w:tcW w:w="2117" w:type="dxa"/>
            <w:vMerge w:val="restart"/>
            <w:tcBorders>
              <w:top w:val="single" w:color="000000" w:sz="12" w:space="0"/>
              <w:bottom w:val="single" w:color="000000" w:sz="12" w:space="0"/>
              <w:right w:val="dotted" w:color="auto" w:sz="4" w:space="0"/>
              <w:insideH w:val="single" w:sz="12" w:space="0"/>
              <w:insideV w:val="dotted" w:sz="4" w:space="0"/>
              <w:tl2br w:val="nil"/>
              <w:tr2bl w:val="nil"/>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污染物名称</w:t>
            </w:r>
          </w:p>
        </w:tc>
        <w:tc>
          <w:tcPr>
            <w:tcW w:w="2829" w:type="dxa"/>
            <w:gridSpan w:val="3"/>
            <w:tcBorders>
              <w:top w:val="single" w:color="000000" w:sz="12" w:space="0"/>
              <w:bottom w:val="single" w:color="000000" w:sz="12" w:space="0"/>
              <w:right w:val="dotted" w:color="auto" w:sz="4" w:space="0"/>
              <w:insideH w:val="single" w:sz="12" w:space="0"/>
              <w:insideV w:val="dotted" w:sz="4" w:space="0"/>
              <w:tl2br w:val="nil"/>
              <w:tr2bl w:val="nil"/>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产生状况</w:t>
            </w:r>
          </w:p>
        </w:tc>
        <w:tc>
          <w:tcPr>
            <w:tcW w:w="1451" w:type="dxa"/>
            <w:vMerge w:val="restart"/>
            <w:tcBorders>
              <w:top w:val="single" w:color="000000" w:sz="12" w:space="0"/>
              <w:bottom w:val="single" w:color="000000" w:sz="12" w:space="0"/>
              <w:right w:val="dotted" w:color="auto" w:sz="4" w:space="0"/>
              <w:insideH w:val="single" w:sz="12" w:space="0"/>
              <w:insideV w:val="dotted" w:sz="4" w:space="0"/>
              <w:tl2br w:val="nil"/>
              <w:tr2bl w:val="nil"/>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治理措施</w:t>
            </w:r>
          </w:p>
        </w:tc>
        <w:tc>
          <w:tcPr>
            <w:tcW w:w="865" w:type="dxa"/>
            <w:vMerge w:val="restart"/>
            <w:tcBorders>
              <w:top w:val="single" w:color="000000" w:sz="12" w:space="0"/>
              <w:bottom w:val="single" w:color="000000" w:sz="12" w:space="0"/>
              <w:right w:val="dotted" w:color="auto" w:sz="4" w:space="0"/>
              <w:insideH w:val="single" w:sz="12" w:space="0"/>
              <w:insideV w:val="dotted" w:sz="4" w:space="0"/>
              <w:tl2br w:val="nil"/>
              <w:tr2bl w:val="nil"/>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治理效率</w:t>
            </w:r>
          </w:p>
          <w:p>
            <w:pPr>
              <w:spacing w:line="240" w:lineRule="atLeast"/>
              <w:ind w:firstLine="0" w:firstLineChars="0"/>
              <w:rPr>
                <w:rFonts w:cs="Times New Roman"/>
                <w:kern w:val="0"/>
                <w:sz w:val="18"/>
                <w:szCs w:val="18"/>
              </w:rPr>
            </w:pPr>
            <w:r>
              <w:rPr>
                <w:rFonts w:cs="Times New Roman"/>
                <w:kern w:val="0"/>
                <w:sz w:val="18"/>
                <w:szCs w:val="18"/>
              </w:rPr>
              <w:t>(%)</w:t>
            </w:r>
          </w:p>
        </w:tc>
        <w:tc>
          <w:tcPr>
            <w:tcW w:w="2986" w:type="dxa"/>
            <w:gridSpan w:val="3"/>
            <w:tcBorders>
              <w:top w:val="single" w:color="000000" w:sz="12" w:space="0"/>
              <w:bottom w:val="single" w:color="000000" w:sz="12" w:space="0"/>
              <w:right w:val="dotted" w:color="auto" w:sz="4" w:space="0"/>
              <w:insideH w:val="single" w:sz="12" w:space="0"/>
              <w:insideV w:val="dotted" w:sz="4" w:space="0"/>
              <w:tl2br w:val="nil"/>
              <w:tr2bl w:val="nil"/>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排放状况</w:t>
            </w:r>
          </w:p>
        </w:tc>
        <w:tc>
          <w:tcPr>
            <w:tcW w:w="1389" w:type="dxa"/>
            <w:gridSpan w:val="3"/>
            <w:tcBorders>
              <w:top w:val="single" w:color="000000" w:sz="12" w:space="0"/>
              <w:bottom w:val="single" w:color="000000" w:sz="12" w:space="0"/>
              <w:right w:val="dotted" w:color="auto" w:sz="4" w:space="0"/>
              <w:insideH w:val="single" w:sz="12" w:space="0"/>
              <w:insideV w:val="dotted" w:sz="4" w:space="0"/>
              <w:tl2br w:val="nil"/>
              <w:tr2bl w:val="nil"/>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排放方式</w:t>
            </w:r>
          </w:p>
        </w:tc>
        <w:tc>
          <w:tcPr>
            <w:tcW w:w="574" w:type="dxa"/>
            <w:vMerge w:val="restart"/>
            <w:tcBorders>
              <w:top w:val="single" w:color="000000" w:sz="12" w:space="0"/>
              <w:bottom w:val="single" w:color="000000" w:sz="12" w:space="0"/>
              <w:right w:val="nil"/>
              <w:insideH w:val="single" w:sz="12" w:space="0"/>
              <w:insideV w:val="dotted" w:sz="4" w:space="0"/>
              <w:tl2br w:val="nil"/>
              <w:tr2bl w:val="nil"/>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排放</w:t>
            </w:r>
          </w:p>
          <w:p>
            <w:pPr>
              <w:spacing w:line="240" w:lineRule="atLeast"/>
              <w:ind w:firstLine="0" w:firstLineChars="0"/>
              <w:rPr>
                <w:rFonts w:cs="Times New Roman"/>
                <w:kern w:val="0"/>
                <w:sz w:val="18"/>
                <w:szCs w:val="18"/>
              </w:rPr>
            </w:pPr>
            <w:r>
              <w:rPr>
                <w:rFonts w:cs="Times New Roman"/>
                <w:kern w:val="0"/>
                <w:sz w:val="18"/>
                <w:szCs w:val="18"/>
              </w:rPr>
              <w:t>规律</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p>
        </w:tc>
        <w:tc>
          <w:tcPr>
            <w:tcW w:w="2117" w:type="dxa"/>
            <w:vMerge w:val="continue"/>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p>
        </w:tc>
        <w:tc>
          <w:tcPr>
            <w:tcW w:w="877" w:type="dxa"/>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产生浓度(mg/m</w:t>
            </w:r>
            <w:r>
              <w:rPr>
                <w:rFonts w:cs="Times New Roman"/>
                <w:kern w:val="0"/>
                <w:sz w:val="18"/>
                <w:szCs w:val="18"/>
                <w:vertAlign w:val="superscript"/>
              </w:rPr>
              <w:t>3</w:t>
            </w:r>
            <w:r>
              <w:rPr>
                <w:rFonts w:cs="Times New Roman"/>
                <w:kern w:val="0"/>
                <w:sz w:val="18"/>
                <w:szCs w:val="18"/>
              </w:rPr>
              <w:t>)</w:t>
            </w:r>
          </w:p>
        </w:tc>
        <w:tc>
          <w:tcPr>
            <w:tcW w:w="1000" w:type="dxa"/>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产生速率(kg/h)</w:t>
            </w:r>
          </w:p>
        </w:tc>
        <w:tc>
          <w:tcPr>
            <w:tcW w:w="952" w:type="dxa"/>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产生量</w:t>
            </w:r>
          </w:p>
          <w:p>
            <w:pPr>
              <w:spacing w:line="240" w:lineRule="atLeast"/>
              <w:ind w:firstLine="0" w:firstLineChars="0"/>
              <w:rPr>
                <w:rFonts w:cs="Times New Roman"/>
                <w:kern w:val="0"/>
                <w:sz w:val="18"/>
                <w:szCs w:val="18"/>
              </w:rPr>
            </w:pPr>
            <w:r>
              <w:rPr>
                <w:rFonts w:cs="Times New Roman"/>
                <w:kern w:val="0"/>
                <w:sz w:val="18"/>
                <w:szCs w:val="18"/>
              </w:rPr>
              <w:t>(t/a)</w:t>
            </w:r>
          </w:p>
        </w:tc>
        <w:tc>
          <w:tcPr>
            <w:tcW w:w="1451" w:type="dxa"/>
            <w:vMerge w:val="continue"/>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p>
        </w:tc>
        <w:tc>
          <w:tcPr>
            <w:tcW w:w="865" w:type="dxa"/>
            <w:vMerge w:val="continue"/>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p>
        </w:tc>
        <w:tc>
          <w:tcPr>
            <w:tcW w:w="1070" w:type="dxa"/>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排放浓度(mg/m</w:t>
            </w:r>
            <w:r>
              <w:rPr>
                <w:rFonts w:cs="Times New Roman"/>
                <w:kern w:val="0"/>
                <w:sz w:val="18"/>
                <w:szCs w:val="18"/>
                <w:vertAlign w:val="superscript"/>
              </w:rPr>
              <w:t>3</w:t>
            </w:r>
            <w:r>
              <w:rPr>
                <w:rFonts w:cs="Times New Roman"/>
                <w:kern w:val="0"/>
                <w:sz w:val="18"/>
                <w:szCs w:val="18"/>
              </w:rPr>
              <w:t>)</w:t>
            </w:r>
          </w:p>
        </w:tc>
        <w:tc>
          <w:tcPr>
            <w:tcW w:w="1011" w:type="dxa"/>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排放速率(kg/h)</w:t>
            </w:r>
          </w:p>
        </w:tc>
        <w:tc>
          <w:tcPr>
            <w:tcW w:w="905" w:type="dxa"/>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排放量</w:t>
            </w:r>
          </w:p>
          <w:p>
            <w:pPr>
              <w:spacing w:line="240" w:lineRule="atLeast"/>
              <w:ind w:firstLine="0" w:firstLineChars="0"/>
              <w:rPr>
                <w:rFonts w:cs="Times New Roman"/>
                <w:kern w:val="0"/>
                <w:sz w:val="18"/>
                <w:szCs w:val="18"/>
              </w:rPr>
            </w:pPr>
            <w:r>
              <w:rPr>
                <w:rFonts w:cs="Times New Roman"/>
                <w:kern w:val="0"/>
                <w:sz w:val="18"/>
                <w:szCs w:val="18"/>
              </w:rPr>
              <w:t>(t/a)</w:t>
            </w:r>
          </w:p>
        </w:tc>
        <w:tc>
          <w:tcPr>
            <w:tcW w:w="417" w:type="dxa"/>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高度</w:t>
            </w:r>
          </w:p>
          <w:p>
            <w:pPr>
              <w:spacing w:line="240" w:lineRule="atLeast"/>
              <w:ind w:firstLine="0" w:firstLineChars="0"/>
              <w:rPr>
                <w:rFonts w:cs="Times New Roman"/>
                <w:kern w:val="0"/>
                <w:sz w:val="18"/>
                <w:szCs w:val="18"/>
              </w:rPr>
            </w:pPr>
            <w:r>
              <w:rPr>
                <w:rFonts w:cs="Times New Roman"/>
                <w:kern w:val="0"/>
                <w:sz w:val="18"/>
                <w:szCs w:val="18"/>
              </w:rPr>
              <w:t>(m)</w:t>
            </w:r>
          </w:p>
        </w:tc>
        <w:tc>
          <w:tcPr>
            <w:tcW w:w="448" w:type="dxa"/>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内径</w:t>
            </w:r>
          </w:p>
          <w:p>
            <w:pPr>
              <w:spacing w:line="240" w:lineRule="atLeast"/>
              <w:ind w:firstLine="0" w:firstLineChars="0"/>
              <w:rPr>
                <w:rFonts w:cs="Times New Roman"/>
                <w:kern w:val="0"/>
                <w:sz w:val="18"/>
                <w:szCs w:val="18"/>
              </w:rPr>
            </w:pPr>
            <w:r>
              <w:rPr>
                <w:rFonts w:cs="Times New Roman"/>
                <w:kern w:val="0"/>
                <w:sz w:val="18"/>
                <w:szCs w:val="18"/>
              </w:rPr>
              <w:t>(mm)</w:t>
            </w:r>
          </w:p>
        </w:tc>
        <w:tc>
          <w:tcPr>
            <w:tcW w:w="524" w:type="dxa"/>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温度</w:t>
            </w:r>
          </w:p>
          <w:p>
            <w:pPr>
              <w:spacing w:line="240" w:lineRule="atLeast"/>
              <w:ind w:firstLine="0" w:firstLineChars="0"/>
              <w:rPr>
                <w:rFonts w:cs="Times New Roman"/>
                <w:kern w:val="0"/>
                <w:sz w:val="18"/>
                <w:szCs w:val="18"/>
              </w:rPr>
            </w:pPr>
            <w:r>
              <w:rPr>
                <w:rFonts w:cs="Times New Roman"/>
                <w:kern w:val="0"/>
                <w:sz w:val="18"/>
                <w:szCs w:val="18"/>
              </w:rPr>
              <w:t>(℃)</w:t>
            </w:r>
          </w:p>
        </w:tc>
        <w:tc>
          <w:tcPr>
            <w:tcW w:w="574" w:type="dxa"/>
            <w:vMerge w:val="continue"/>
            <w:tcBorders>
              <w:bottom w:val="single" w:color="auto" w:sz="12" w:space="0"/>
            </w:tcBorders>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危废暂存库有组织废气(G1)</w:t>
            </w:r>
          </w:p>
        </w:tc>
        <w:tc>
          <w:tcPr>
            <w:tcW w:w="630"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12000</w:t>
            </w:r>
          </w:p>
        </w:tc>
        <w:tc>
          <w:tcPr>
            <w:tcW w:w="2117"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VOC</w:t>
            </w:r>
          </w:p>
        </w:tc>
        <w:tc>
          <w:tcPr>
            <w:tcW w:w="877"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7.6</w:t>
            </w:r>
          </w:p>
        </w:tc>
        <w:tc>
          <w:tcPr>
            <w:tcW w:w="1000"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0.0912</w:t>
            </w:r>
          </w:p>
        </w:tc>
        <w:tc>
          <w:tcPr>
            <w:tcW w:w="952"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0.7223 </w:t>
            </w:r>
          </w:p>
        </w:tc>
        <w:tc>
          <w:tcPr>
            <w:tcW w:w="1451"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紫外光处理器+活性炭纤维有机废气净化器</w:t>
            </w:r>
          </w:p>
        </w:tc>
        <w:tc>
          <w:tcPr>
            <w:tcW w:w="865"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80</w:t>
            </w:r>
          </w:p>
        </w:tc>
        <w:tc>
          <w:tcPr>
            <w:tcW w:w="1070"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1.52</w:t>
            </w:r>
          </w:p>
        </w:tc>
        <w:tc>
          <w:tcPr>
            <w:tcW w:w="1011"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0.0182 </w:t>
            </w:r>
          </w:p>
        </w:tc>
        <w:tc>
          <w:tcPr>
            <w:tcW w:w="905"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0.1445 </w:t>
            </w:r>
          </w:p>
        </w:tc>
        <w:tc>
          <w:tcPr>
            <w:tcW w:w="417"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20</w:t>
            </w:r>
          </w:p>
        </w:tc>
        <w:tc>
          <w:tcPr>
            <w:tcW w:w="448"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800</w:t>
            </w:r>
          </w:p>
        </w:tc>
        <w:tc>
          <w:tcPr>
            <w:tcW w:w="524"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20</w:t>
            </w:r>
          </w:p>
        </w:tc>
        <w:tc>
          <w:tcPr>
            <w:tcW w:w="574"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连续</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H</w:t>
            </w:r>
            <w:r>
              <w:rPr>
                <w:rFonts w:cs="Times New Roman"/>
                <w:kern w:val="0"/>
                <w:sz w:val="18"/>
                <w:szCs w:val="18"/>
                <w:vertAlign w:val="subscript"/>
              </w:rPr>
              <w:t>2</w:t>
            </w:r>
            <w:r>
              <w:rPr>
                <w:rFonts w:cs="Times New Roman"/>
                <w:kern w:val="0"/>
                <w:sz w:val="18"/>
                <w:szCs w:val="18"/>
              </w:rPr>
              <w:t>S</w:t>
            </w:r>
          </w:p>
        </w:tc>
        <w:tc>
          <w:tcPr>
            <w:tcW w:w="877"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0.4</w:t>
            </w:r>
          </w:p>
        </w:tc>
        <w:tc>
          <w:tcPr>
            <w:tcW w:w="1000"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0.0048</w:t>
            </w:r>
          </w:p>
        </w:tc>
        <w:tc>
          <w:tcPr>
            <w:tcW w:w="952"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0.0380 </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80</w:t>
            </w:r>
          </w:p>
        </w:tc>
        <w:tc>
          <w:tcPr>
            <w:tcW w:w="1070"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0.08</w:t>
            </w:r>
          </w:p>
        </w:tc>
        <w:tc>
          <w:tcPr>
            <w:tcW w:w="1011"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0.0010 </w:t>
            </w:r>
          </w:p>
        </w:tc>
        <w:tc>
          <w:tcPr>
            <w:tcW w:w="905"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0.0076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2117"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NH</w:t>
            </w:r>
            <w:r>
              <w:rPr>
                <w:rFonts w:cs="Times New Roman"/>
                <w:kern w:val="0"/>
                <w:sz w:val="18"/>
                <w:szCs w:val="18"/>
                <w:vertAlign w:val="subscript"/>
              </w:rPr>
              <w:t>3</w:t>
            </w:r>
          </w:p>
        </w:tc>
        <w:tc>
          <w:tcPr>
            <w:tcW w:w="877"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12</w:t>
            </w:r>
          </w:p>
        </w:tc>
        <w:tc>
          <w:tcPr>
            <w:tcW w:w="1000"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0.144</w:t>
            </w:r>
          </w:p>
        </w:tc>
        <w:tc>
          <w:tcPr>
            <w:tcW w:w="952"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1.1405 </w:t>
            </w:r>
          </w:p>
        </w:tc>
        <w:tc>
          <w:tcPr>
            <w:tcW w:w="1451"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865"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80</w:t>
            </w:r>
          </w:p>
        </w:tc>
        <w:tc>
          <w:tcPr>
            <w:tcW w:w="1070"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2.4</w:t>
            </w:r>
          </w:p>
        </w:tc>
        <w:tc>
          <w:tcPr>
            <w:tcW w:w="1011"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0.0288 </w:t>
            </w:r>
          </w:p>
        </w:tc>
        <w:tc>
          <w:tcPr>
            <w:tcW w:w="905"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0.2281 </w:t>
            </w:r>
          </w:p>
        </w:tc>
        <w:tc>
          <w:tcPr>
            <w:tcW w:w="417"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中和反应池排气(G2)</w:t>
            </w:r>
          </w:p>
        </w:tc>
        <w:tc>
          <w:tcPr>
            <w:tcW w:w="630"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hint="eastAsia" w:cs="Times New Roman"/>
                <w:kern w:val="0"/>
                <w:sz w:val="18"/>
                <w:szCs w:val="18"/>
              </w:rPr>
              <w:t>130</w:t>
            </w:r>
            <w:r>
              <w:rPr>
                <w:rFonts w:cs="Times New Roman"/>
                <w:kern w:val="0"/>
                <w:sz w:val="18"/>
                <w:szCs w:val="18"/>
              </w:rPr>
              <w:t>00</w:t>
            </w:r>
          </w:p>
        </w:tc>
        <w:tc>
          <w:tcPr>
            <w:tcW w:w="2117"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硫酸雾</w:t>
            </w:r>
          </w:p>
        </w:tc>
        <w:tc>
          <w:tcPr>
            <w:tcW w:w="877"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850</w:t>
            </w:r>
          </w:p>
        </w:tc>
        <w:tc>
          <w:tcPr>
            <w:tcW w:w="1000"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11.05</w:t>
            </w:r>
          </w:p>
        </w:tc>
        <w:tc>
          <w:tcPr>
            <w:tcW w:w="952"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87.5160 </w:t>
            </w:r>
          </w:p>
        </w:tc>
        <w:tc>
          <w:tcPr>
            <w:tcW w:w="1451"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碱液喷淋</w:t>
            </w:r>
          </w:p>
        </w:tc>
        <w:tc>
          <w:tcPr>
            <w:tcW w:w="865"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95</w:t>
            </w:r>
          </w:p>
        </w:tc>
        <w:tc>
          <w:tcPr>
            <w:tcW w:w="1070"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42.5</w:t>
            </w:r>
          </w:p>
        </w:tc>
        <w:tc>
          <w:tcPr>
            <w:tcW w:w="1011"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0.5525 </w:t>
            </w:r>
          </w:p>
        </w:tc>
        <w:tc>
          <w:tcPr>
            <w:tcW w:w="905"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4.3758 </w:t>
            </w:r>
          </w:p>
        </w:tc>
        <w:tc>
          <w:tcPr>
            <w:tcW w:w="417"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20</w:t>
            </w:r>
          </w:p>
        </w:tc>
        <w:tc>
          <w:tcPr>
            <w:tcW w:w="448"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800</w:t>
            </w:r>
          </w:p>
        </w:tc>
        <w:tc>
          <w:tcPr>
            <w:tcW w:w="524"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20</w:t>
            </w:r>
          </w:p>
        </w:tc>
        <w:tc>
          <w:tcPr>
            <w:tcW w:w="574" w:type="dxa"/>
            <w:vMerge w:val="restart"/>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连续</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HCl</w:t>
            </w:r>
          </w:p>
        </w:tc>
        <w:tc>
          <w:tcPr>
            <w:tcW w:w="877"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100</w:t>
            </w:r>
          </w:p>
        </w:tc>
        <w:tc>
          <w:tcPr>
            <w:tcW w:w="1000"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1.3</w:t>
            </w:r>
            <w:r>
              <w:rPr>
                <w:rFonts w:hint="eastAsia" w:cs="Times New Roman"/>
                <w:color w:val="000000"/>
                <w:kern w:val="0"/>
                <w:sz w:val="18"/>
                <w:szCs w:val="18"/>
              </w:rPr>
              <w:t>0</w:t>
            </w:r>
          </w:p>
        </w:tc>
        <w:tc>
          <w:tcPr>
            <w:tcW w:w="952"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10.2960 </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95</w:t>
            </w:r>
          </w:p>
        </w:tc>
        <w:tc>
          <w:tcPr>
            <w:tcW w:w="1070"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5</w:t>
            </w:r>
          </w:p>
        </w:tc>
        <w:tc>
          <w:tcPr>
            <w:tcW w:w="1011"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0.0650 </w:t>
            </w:r>
          </w:p>
        </w:tc>
        <w:tc>
          <w:tcPr>
            <w:tcW w:w="905"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0.5148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2117"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HF</w:t>
            </w:r>
          </w:p>
        </w:tc>
        <w:tc>
          <w:tcPr>
            <w:tcW w:w="877"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100</w:t>
            </w:r>
          </w:p>
        </w:tc>
        <w:tc>
          <w:tcPr>
            <w:tcW w:w="1000"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1.3</w:t>
            </w:r>
            <w:r>
              <w:rPr>
                <w:rFonts w:hint="eastAsia" w:cs="Times New Roman"/>
                <w:color w:val="000000"/>
                <w:kern w:val="0"/>
                <w:sz w:val="18"/>
                <w:szCs w:val="18"/>
              </w:rPr>
              <w:t>0</w:t>
            </w:r>
          </w:p>
        </w:tc>
        <w:tc>
          <w:tcPr>
            <w:tcW w:w="952"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10.2960 </w:t>
            </w:r>
          </w:p>
        </w:tc>
        <w:tc>
          <w:tcPr>
            <w:tcW w:w="1451"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865" w:type="dxa"/>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95</w:t>
            </w:r>
          </w:p>
        </w:tc>
        <w:tc>
          <w:tcPr>
            <w:tcW w:w="1070" w:type="dxa"/>
            <w:tcBorders>
              <w:bottom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5</w:t>
            </w:r>
          </w:p>
        </w:tc>
        <w:tc>
          <w:tcPr>
            <w:tcW w:w="1011"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0.0650 </w:t>
            </w:r>
          </w:p>
        </w:tc>
        <w:tc>
          <w:tcPr>
            <w:tcW w:w="905" w:type="dxa"/>
            <w:tcBorders>
              <w:bottom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0.5148 </w:t>
            </w:r>
          </w:p>
        </w:tc>
        <w:tc>
          <w:tcPr>
            <w:tcW w:w="417"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Borders>
              <w:bottom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restart"/>
            <w:tcBorders>
              <w:top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焚烧废气(G3)</w:t>
            </w:r>
          </w:p>
        </w:tc>
        <w:tc>
          <w:tcPr>
            <w:tcW w:w="630" w:type="dxa"/>
            <w:vMerge w:val="restart"/>
            <w:tcBorders>
              <w:top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1</w:t>
            </w:r>
            <w:r>
              <w:rPr>
                <w:rFonts w:hint="eastAsia" w:cs="Times New Roman"/>
                <w:kern w:val="0"/>
                <w:sz w:val="18"/>
                <w:szCs w:val="18"/>
              </w:rPr>
              <w:t>400</w:t>
            </w:r>
            <w:r>
              <w:rPr>
                <w:rFonts w:cs="Times New Roman"/>
                <w:kern w:val="0"/>
                <w:sz w:val="18"/>
                <w:szCs w:val="18"/>
              </w:rPr>
              <w:t>0</w:t>
            </w:r>
          </w:p>
        </w:tc>
        <w:tc>
          <w:tcPr>
            <w:tcW w:w="2117" w:type="dxa"/>
            <w:tcBorders>
              <w:top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烟尘</w:t>
            </w:r>
          </w:p>
        </w:tc>
        <w:tc>
          <w:tcPr>
            <w:tcW w:w="877" w:type="dxa"/>
            <w:tcBorders>
              <w:top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3000</w:t>
            </w:r>
          </w:p>
        </w:tc>
        <w:tc>
          <w:tcPr>
            <w:tcW w:w="1000" w:type="dxa"/>
            <w:tcBorders>
              <w:top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42</w:t>
            </w:r>
            <w:r>
              <w:rPr>
                <w:rFonts w:hint="eastAsia" w:cs="Times New Roman"/>
                <w:color w:val="000000"/>
                <w:kern w:val="0"/>
                <w:sz w:val="18"/>
                <w:szCs w:val="18"/>
              </w:rPr>
              <w:t>.00</w:t>
            </w:r>
          </w:p>
        </w:tc>
        <w:tc>
          <w:tcPr>
            <w:tcW w:w="952" w:type="dxa"/>
            <w:tcBorders>
              <w:top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332.6400 </w:t>
            </w:r>
          </w:p>
        </w:tc>
        <w:tc>
          <w:tcPr>
            <w:tcW w:w="1451" w:type="dxa"/>
            <w:vMerge w:val="restart"/>
            <w:tcBorders>
              <w:top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SNCR脱硝系统+急冷脱酸塔+干式反应器+袋式除尘器+喷淋洗涤塔+</w:t>
            </w:r>
            <w:r>
              <w:rPr>
                <w:rFonts w:hint="eastAsia" w:cs="Times New Roman"/>
                <w:kern w:val="0"/>
                <w:sz w:val="18"/>
                <w:szCs w:val="18"/>
              </w:rPr>
              <w:t>湿电除尘</w:t>
            </w:r>
          </w:p>
        </w:tc>
        <w:tc>
          <w:tcPr>
            <w:tcW w:w="865" w:type="dxa"/>
            <w:tcBorders>
              <w:top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99</w:t>
            </w:r>
          </w:p>
        </w:tc>
        <w:tc>
          <w:tcPr>
            <w:tcW w:w="1070" w:type="dxa"/>
            <w:tcBorders>
              <w:top w:val="dotted" w:color="auto" w:sz="4" w:space="0"/>
            </w:tcBorders>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30</w:t>
            </w:r>
          </w:p>
        </w:tc>
        <w:tc>
          <w:tcPr>
            <w:tcW w:w="1011" w:type="dxa"/>
            <w:tcBorders>
              <w:top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0.4200 </w:t>
            </w:r>
          </w:p>
        </w:tc>
        <w:tc>
          <w:tcPr>
            <w:tcW w:w="905" w:type="dxa"/>
            <w:tcBorders>
              <w:top w:val="dotted" w:color="auto" w:sz="4" w:space="0"/>
            </w:tcBorders>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3.3264 </w:t>
            </w:r>
          </w:p>
        </w:tc>
        <w:tc>
          <w:tcPr>
            <w:tcW w:w="417" w:type="dxa"/>
            <w:vMerge w:val="restart"/>
            <w:tcBorders>
              <w:top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hint="eastAsia" w:cs="Times New Roman"/>
                <w:kern w:val="0"/>
                <w:sz w:val="18"/>
                <w:szCs w:val="18"/>
              </w:rPr>
              <w:t>50</w:t>
            </w:r>
          </w:p>
        </w:tc>
        <w:tc>
          <w:tcPr>
            <w:tcW w:w="448" w:type="dxa"/>
            <w:vMerge w:val="restart"/>
            <w:tcBorders>
              <w:top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800</w:t>
            </w:r>
          </w:p>
        </w:tc>
        <w:tc>
          <w:tcPr>
            <w:tcW w:w="524" w:type="dxa"/>
            <w:vMerge w:val="restart"/>
            <w:tcBorders>
              <w:top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120</w:t>
            </w:r>
          </w:p>
        </w:tc>
        <w:tc>
          <w:tcPr>
            <w:tcW w:w="574" w:type="dxa"/>
            <w:vMerge w:val="restart"/>
            <w:tcBorders>
              <w:top w:val="dotted" w:color="auto" w:sz="4" w:space="0"/>
            </w:tcBorders>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连续</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SO</w:t>
            </w:r>
            <w:r>
              <w:rPr>
                <w:rFonts w:cs="Times New Roman"/>
                <w:kern w:val="0"/>
                <w:sz w:val="18"/>
                <w:szCs w:val="18"/>
                <w:vertAlign w:val="subscript"/>
              </w:rPr>
              <w:t>2</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1000</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14</w:t>
            </w:r>
            <w:r>
              <w:rPr>
                <w:rFonts w:hint="eastAsia" w:cs="Times New Roman"/>
                <w:color w:val="000000"/>
                <w:kern w:val="0"/>
                <w:sz w:val="18"/>
                <w:szCs w:val="18"/>
              </w:rPr>
              <w:t>.00</w:t>
            </w:r>
          </w:p>
        </w:tc>
        <w:tc>
          <w:tcPr>
            <w:tcW w:w="952"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110.8800 </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90</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100</w:t>
            </w:r>
          </w:p>
        </w:tc>
        <w:tc>
          <w:tcPr>
            <w:tcW w:w="1011"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1.4000 </w:t>
            </w:r>
          </w:p>
        </w:tc>
        <w:tc>
          <w:tcPr>
            <w:tcW w:w="905"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11.0880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NO</w:t>
            </w:r>
            <w:r>
              <w:rPr>
                <w:rFonts w:cs="Times New Roman"/>
                <w:kern w:val="0"/>
                <w:sz w:val="18"/>
                <w:szCs w:val="18"/>
                <w:vertAlign w:val="subscript"/>
              </w:rPr>
              <w:t>X</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400</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5.6</w:t>
            </w:r>
            <w:r>
              <w:rPr>
                <w:rFonts w:hint="eastAsia" w:cs="Times New Roman"/>
                <w:color w:val="000000"/>
                <w:kern w:val="0"/>
                <w:sz w:val="18"/>
                <w:szCs w:val="18"/>
              </w:rPr>
              <w:t>0</w:t>
            </w:r>
          </w:p>
        </w:tc>
        <w:tc>
          <w:tcPr>
            <w:tcW w:w="952"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44.3520 </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40</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240</w:t>
            </w:r>
          </w:p>
        </w:tc>
        <w:tc>
          <w:tcPr>
            <w:tcW w:w="1011"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3.3600 </w:t>
            </w:r>
          </w:p>
        </w:tc>
        <w:tc>
          <w:tcPr>
            <w:tcW w:w="905"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26.6112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HCl</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1500</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21</w:t>
            </w:r>
            <w:r>
              <w:rPr>
                <w:rFonts w:hint="eastAsia" w:cs="Times New Roman"/>
                <w:color w:val="000000"/>
                <w:kern w:val="0"/>
                <w:sz w:val="18"/>
                <w:szCs w:val="18"/>
              </w:rPr>
              <w:t>.00</w:t>
            </w:r>
          </w:p>
        </w:tc>
        <w:tc>
          <w:tcPr>
            <w:tcW w:w="952"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166.3200 </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98</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30</w:t>
            </w:r>
          </w:p>
        </w:tc>
        <w:tc>
          <w:tcPr>
            <w:tcW w:w="1011"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0.4200 </w:t>
            </w:r>
          </w:p>
        </w:tc>
        <w:tc>
          <w:tcPr>
            <w:tcW w:w="905"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3.3264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HF</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200</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2.8</w:t>
            </w:r>
            <w:r>
              <w:rPr>
                <w:rFonts w:hint="eastAsia" w:cs="Times New Roman"/>
                <w:color w:val="000000"/>
                <w:kern w:val="0"/>
                <w:sz w:val="18"/>
                <w:szCs w:val="18"/>
              </w:rPr>
              <w:t>0</w:t>
            </w:r>
          </w:p>
        </w:tc>
        <w:tc>
          <w:tcPr>
            <w:tcW w:w="952"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22.1760 </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97</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6</w:t>
            </w:r>
          </w:p>
        </w:tc>
        <w:tc>
          <w:tcPr>
            <w:tcW w:w="1011"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0.0840 </w:t>
            </w:r>
          </w:p>
        </w:tc>
        <w:tc>
          <w:tcPr>
            <w:tcW w:w="905"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0.6653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CO</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50</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0.7</w:t>
            </w:r>
            <w:r>
              <w:rPr>
                <w:rFonts w:hint="eastAsia" w:cs="Times New Roman"/>
                <w:color w:val="000000"/>
                <w:kern w:val="0"/>
                <w:sz w:val="18"/>
                <w:szCs w:val="18"/>
              </w:rPr>
              <w:t>0</w:t>
            </w:r>
          </w:p>
        </w:tc>
        <w:tc>
          <w:tcPr>
            <w:tcW w:w="952"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5.5440 </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50</w:t>
            </w:r>
          </w:p>
        </w:tc>
        <w:tc>
          <w:tcPr>
            <w:tcW w:w="1011"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0.7000 </w:t>
            </w:r>
          </w:p>
        </w:tc>
        <w:tc>
          <w:tcPr>
            <w:tcW w:w="905"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5.5440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汞及其化合物(以Hg计)</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0.5</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0.007</w:t>
            </w:r>
          </w:p>
        </w:tc>
        <w:tc>
          <w:tcPr>
            <w:tcW w:w="952"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0.0554 </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90</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0.05</w:t>
            </w:r>
          </w:p>
        </w:tc>
        <w:tc>
          <w:tcPr>
            <w:tcW w:w="1011"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0.0007 </w:t>
            </w:r>
          </w:p>
        </w:tc>
        <w:tc>
          <w:tcPr>
            <w:tcW w:w="905"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0.0055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镉及其化合物(以Cd计)</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0.4</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0.0</w:t>
            </w:r>
            <w:r>
              <w:rPr>
                <w:rFonts w:hint="eastAsia" w:cs="Times New Roman"/>
                <w:color w:val="000000"/>
                <w:kern w:val="0"/>
                <w:sz w:val="18"/>
                <w:szCs w:val="18"/>
              </w:rPr>
              <w:t>06</w:t>
            </w:r>
          </w:p>
        </w:tc>
        <w:tc>
          <w:tcPr>
            <w:tcW w:w="952" w:type="dxa"/>
            <w:tcMar>
              <w:left w:w="0" w:type="dxa"/>
              <w:right w:w="0" w:type="dxa"/>
            </w:tcMar>
            <w:vAlign w:val="bottom"/>
          </w:tcPr>
          <w:p>
            <w:pPr>
              <w:spacing w:line="240" w:lineRule="atLeast"/>
              <w:ind w:firstLine="0" w:firstLineChars="0"/>
              <w:rPr>
                <w:rFonts w:cs="Times New Roman"/>
                <w:color w:val="000000"/>
                <w:kern w:val="0"/>
                <w:sz w:val="18"/>
                <w:szCs w:val="18"/>
              </w:rPr>
            </w:pPr>
            <w:r>
              <w:rPr>
                <w:rFonts w:cs="Times New Roman"/>
                <w:color w:val="000000"/>
                <w:kern w:val="0"/>
                <w:sz w:val="18"/>
                <w:szCs w:val="18"/>
              </w:rPr>
              <w:t>0.</w:t>
            </w:r>
            <w:r>
              <w:rPr>
                <w:rFonts w:hint="eastAsia" w:cs="Times New Roman"/>
                <w:color w:val="000000"/>
                <w:kern w:val="0"/>
                <w:sz w:val="18"/>
                <w:szCs w:val="18"/>
              </w:rPr>
              <w:t>0</w:t>
            </w:r>
            <w:r>
              <w:rPr>
                <w:rFonts w:cs="Times New Roman"/>
                <w:color w:val="000000"/>
                <w:kern w:val="0"/>
                <w:sz w:val="18"/>
                <w:szCs w:val="18"/>
              </w:rPr>
              <w:t>44</w:t>
            </w:r>
            <w:r>
              <w:rPr>
                <w:rFonts w:hint="eastAsia" w:cs="Times New Roman"/>
                <w:color w:val="000000"/>
                <w:kern w:val="0"/>
                <w:sz w:val="18"/>
                <w:szCs w:val="18"/>
              </w:rPr>
              <w:t>4</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90</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0.04</w:t>
            </w:r>
          </w:p>
        </w:tc>
        <w:tc>
          <w:tcPr>
            <w:tcW w:w="1011"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0.0006 </w:t>
            </w:r>
          </w:p>
        </w:tc>
        <w:tc>
          <w:tcPr>
            <w:tcW w:w="905"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0.0044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砷、镍及其化合物</w:t>
            </w:r>
          </w:p>
          <w:p>
            <w:pPr>
              <w:spacing w:line="240" w:lineRule="atLeast"/>
              <w:ind w:firstLine="0" w:firstLineChars="0"/>
              <w:rPr>
                <w:rFonts w:cs="Times New Roman"/>
                <w:kern w:val="0"/>
                <w:sz w:val="18"/>
                <w:szCs w:val="18"/>
              </w:rPr>
            </w:pPr>
            <w:r>
              <w:rPr>
                <w:rFonts w:cs="Times New Roman"/>
                <w:kern w:val="0"/>
                <w:sz w:val="18"/>
                <w:szCs w:val="18"/>
              </w:rPr>
              <w:t>(以As+Ni计)</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4</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0.056</w:t>
            </w:r>
          </w:p>
        </w:tc>
        <w:tc>
          <w:tcPr>
            <w:tcW w:w="952"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0.4435</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90</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0.4</w:t>
            </w:r>
          </w:p>
        </w:tc>
        <w:tc>
          <w:tcPr>
            <w:tcW w:w="1011"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0.0056 </w:t>
            </w:r>
          </w:p>
        </w:tc>
        <w:tc>
          <w:tcPr>
            <w:tcW w:w="905"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 xml:space="preserve">0.0444 </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铅及其化合物(以Pb计)</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5</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0.070</w:t>
            </w:r>
          </w:p>
        </w:tc>
        <w:tc>
          <w:tcPr>
            <w:tcW w:w="952"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0.5544</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90</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0.5</w:t>
            </w:r>
          </w:p>
        </w:tc>
        <w:tc>
          <w:tcPr>
            <w:tcW w:w="1011"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0.0070</w:t>
            </w:r>
          </w:p>
        </w:tc>
        <w:tc>
          <w:tcPr>
            <w:tcW w:w="905"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0.0554</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铬、锡、锑、铜、锰及其化合物</w:t>
            </w:r>
          </w:p>
          <w:p>
            <w:pPr>
              <w:spacing w:line="240" w:lineRule="atLeast"/>
              <w:ind w:firstLine="0" w:firstLineChars="0"/>
              <w:rPr>
                <w:rFonts w:cs="Times New Roman"/>
                <w:kern w:val="0"/>
                <w:sz w:val="18"/>
                <w:szCs w:val="18"/>
              </w:rPr>
            </w:pPr>
            <w:r>
              <w:rPr>
                <w:rFonts w:cs="Times New Roman"/>
                <w:kern w:val="0"/>
                <w:sz w:val="18"/>
                <w:szCs w:val="18"/>
              </w:rPr>
              <w:t>(以Cr+Sn+Sb+Cu+Mn计)</w:t>
            </w:r>
          </w:p>
        </w:tc>
        <w:tc>
          <w:tcPr>
            <w:tcW w:w="877"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2</w:t>
            </w:r>
            <w:r>
              <w:rPr>
                <w:rFonts w:cs="Times New Roman"/>
                <w:color w:val="000000"/>
                <w:kern w:val="0"/>
                <w:sz w:val="18"/>
                <w:szCs w:val="18"/>
              </w:rPr>
              <w:t>4</w:t>
            </w:r>
          </w:p>
        </w:tc>
        <w:tc>
          <w:tcPr>
            <w:tcW w:w="1000"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w:t>
            </w:r>
            <w:r>
              <w:rPr>
                <w:rFonts w:hint="eastAsia" w:cs="Times New Roman"/>
                <w:color w:val="000000"/>
                <w:kern w:val="0"/>
                <w:sz w:val="18"/>
                <w:szCs w:val="18"/>
              </w:rPr>
              <w:t>336</w:t>
            </w:r>
          </w:p>
        </w:tc>
        <w:tc>
          <w:tcPr>
            <w:tcW w:w="952"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2.6611</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90</w:t>
            </w:r>
          </w:p>
        </w:tc>
        <w:tc>
          <w:tcPr>
            <w:tcW w:w="1070" w:type="dxa"/>
            <w:tcMar>
              <w:left w:w="0" w:type="dxa"/>
              <w:right w:w="0" w:type="dxa"/>
            </w:tcMar>
            <w:vAlign w:val="center"/>
          </w:tcPr>
          <w:p>
            <w:pPr>
              <w:spacing w:line="240" w:lineRule="atLeast"/>
              <w:ind w:firstLine="0" w:firstLineChars="0"/>
              <w:rPr>
                <w:rFonts w:cs="Times New Roman"/>
                <w:color w:val="000000"/>
                <w:kern w:val="0"/>
                <w:sz w:val="18"/>
                <w:szCs w:val="18"/>
              </w:rPr>
            </w:pPr>
            <w:r>
              <w:rPr>
                <w:rFonts w:hint="eastAsia" w:cs="Times New Roman"/>
                <w:color w:val="000000"/>
                <w:kern w:val="0"/>
                <w:sz w:val="18"/>
                <w:szCs w:val="18"/>
              </w:rPr>
              <w:t>2.4</w:t>
            </w:r>
          </w:p>
        </w:tc>
        <w:tc>
          <w:tcPr>
            <w:tcW w:w="1011"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0.0</w:t>
            </w:r>
            <w:r>
              <w:rPr>
                <w:rFonts w:hint="eastAsia" w:cs="Times New Roman"/>
                <w:color w:val="000000"/>
                <w:kern w:val="0"/>
                <w:sz w:val="18"/>
                <w:szCs w:val="18"/>
              </w:rPr>
              <w:t>336</w:t>
            </w:r>
          </w:p>
        </w:tc>
        <w:tc>
          <w:tcPr>
            <w:tcW w:w="905" w:type="dxa"/>
            <w:tcMar>
              <w:left w:w="0" w:type="dxa"/>
              <w:right w:w="0" w:type="dxa"/>
            </w:tcMar>
            <w:vAlign w:val="center"/>
          </w:tcPr>
          <w:p>
            <w:pPr>
              <w:spacing w:line="240" w:lineRule="atLeast"/>
              <w:ind w:firstLine="0" w:firstLineChars="0"/>
              <w:rPr>
                <w:rFonts w:cs="Times New Roman"/>
                <w:color w:val="000000"/>
                <w:kern w:val="0"/>
                <w:sz w:val="18"/>
                <w:szCs w:val="18"/>
              </w:rPr>
            </w:pPr>
            <w:r>
              <w:rPr>
                <w:rFonts w:cs="Times New Roman"/>
                <w:color w:val="000000"/>
                <w:kern w:val="0"/>
                <w:sz w:val="18"/>
                <w:szCs w:val="18"/>
              </w:rPr>
              <w:t>0.</w:t>
            </w:r>
            <w:r>
              <w:rPr>
                <w:rFonts w:hint="eastAsia" w:cs="Times New Roman"/>
                <w:color w:val="000000"/>
                <w:kern w:val="0"/>
                <w:sz w:val="18"/>
                <w:szCs w:val="18"/>
              </w:rPr>
              <w:t>2693</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630"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二噁英类</w:t>
            </w:r>
          </w:p>
        </w:tc>
        <w:tc>
          <w:tcPr>
            <w:tcW w:w="87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5ng TEQ/Nm</w:t>
            </w:r>
            <w:r>
              <w:rPr>
                <w:rFonts w:cs="Times New Roman"/>
                <w:kern w:val="0"/>
                <w:sz w:val="18"/>
                <w:szCs w:val="18"/>
                <w:vertAlign w:val="superscript"/>
              </w:rPr>
              <w:t>3</w:t>
            </w:r>
          </w:p>
        </w:tc>
        <w:tc>
          <w:tcPr>
            <w:tcW w:w="1000"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0.0</w:t>
            </w:r>
            <w:r>
              <w:rPr>
                <w:rFonts w:hint="eastAsia" w:cs="Times New Roman"/>
                <w:kern w:val="0"/>
                <w:sz w:val="18"/>
                <w:szCs w:val="18"/>
              </w:rPr>
              <w:t>7</w:t>
            </w:r>
          </w:p>
          <w:p>
            <w:pPr>
              <w:spacing w:line="240" w:lineRule="atLeast"/>
              <w:ind w:firstLine="0" w:firstLineChars="0"/>
              <w:rPr>
                <w:rFonts w:cs="Times New Roman"/>
                <w:kern w:val="0"/>
                <w:sz w:val="18"/>
                <w:szCs w:val="18"/>
              </w:rPr>
            </w:pPr>
            <w:r>
              <w:rPr>
                <w:rFonts w:cs="Times New Roman"/>
                <w:kern w:val="0"/>
                <w:sz w:val="18"/>
                <w:szCs w:val="18"/>
              </w:rPr>
              <w:t>mg/h</w:t>
            </w:r>
          </w:p>
        </w:tc>
        <w:tc>
          <w:tcPr>
            <w:tcW w:w="952"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0.</w:t>
            </w:r>
            <w:r>
              <w:rPr>
                <w:rFonts w:hint="eastAsia" w:cs="Times New Roman"/>
                <w:kern w:val="0"/>
                <w:sz w:val="18"/>
                <w:szCs w:val="18"/>
              </w:rPr>
              <w:t>5544</w:t>
            </w:r>
          </w:p>
          <w:p>
            <w:pPr>
              <w:spacing w:line="240" w:lineRule="atLeast"/>
              <w:ind w:firstLine="0" w:firstLineChars="0"/>
              <w:rPr>
                <w:rFonts w:cs="Times New Roman"/>
                <w:kern w:val="0"/>
                <w:sz w:val="18"/>
                <w:szCs w:val="18"/>
              </w:rPr>
            </w:pPr>
            <w:r>
              <w:rPr>
                <w:rFonts w:cs="Times New Roman"/>
                <w:kern w:val="0"/>
                <w:sz w:val="18"/>
                <w:szCs w:val="18"/>
              </w:rPr>
              <w:t>g/a</w:t>
            </w:r>
          </w:p>
        </w:tc>
        <w:tc>
          <w:tcPr>
            <w:tcW w:w="1451"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98</w:t>
            </w:r>
          </w:p>
        </w:tc>
        <w:tc>
          <w:tcPr>
            <w:tcW w:w="1070"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0.1ng</w:t>
            </w:r>
          </w:p>
          <w:p>
            <w:pPr>
              <w:spacing w:line="240" w:lineRule="atLeast"/>
              <w:ind w:firstLine="0" w:firstLineChars="0"/>
              <w:rPr>
                <w:rFonts w:cs="Times New Roman"/>
                <w:kern w:val="0"/>
                <w:sz w:val="18"/>
                <w:szCs w:val="18"/>
              </w:rPr>
            </w:pPr>
            <w:r>
              <w:rPr>
                <w:rFonts w:cs="Times New Roman"/>
                <w:kern w:val="0"/>
                <w:sz w:val="18"/>
                <w:szCs w:val="18"/>
              </w:rPr>
              <w:t>TEQ/Nm</w:t>
            </w:r>
            <w:r>
              <w:rPr>
                <w:rFonts w:cs="Times New Roman"/>
                <w:kern w:val="0"/>
                <w:sz w:val="18"/>
                <w:szCs w:val="18"/>
                <w:vertAlign w:val="superscript"/>
              </w:rPr>
              <w:t>3</w:t>
            </w:r>
          </w:p>
        </w:tc>
        <w:tc>
          <w:tcPr>
            <w:tcW w:w="1011"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0.001</w:t>
            </w:r>
            <w:r>
              <w:rPr>
                <w:rFonts w:hint="eastAsia" w:cs="Times New Roman"/>
                <w:kern w:val="0"/>
                <w:sz w:val="18"/>
                <w:szCs w:val="18"/>
              </w:rPr>
              <w:t>4</w:t>
            </w:r>
          </w:p>
          <w:p>
            <w:pPr>
              <w:spacing w:line="240" w:lineRule="atLeast"/>
              <w:ind w:firstLine="0" w:firstLineChars="0"/>
              <w:rPr>
                <w:rFonts w:cs="Times New Roman"/>
                <w:kern w:val="0"/>
                <w:sz w:val="18"/>
                <w:szCs w:val="18"/>
              </w:rPr>
            </w:pPr>
            <w:r>
              <w:rPr>
                <w:rFonts w:cs="Times New Roman"/>
                <w:kern w:val="0"/>
                <w:sz w:val="18"/>
                <w:szCs w:val="18"/>
              </w:rPr>
              <w:t>mg/h</w:t>
            </w:r>
          </w:p>
        </w:tc>
        <w:tc>
          <w:tcPr>
            <w:tcW w:w="90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0.0</w:t>
            </w:r>
            <w:r>
              <w:rPr>
                <w:rFonts w:hint="eastAsia" w:cs="Times New Roman"/>
                <w:kern w:val="0"/>
                <w:sz w:val="18"/>
                <w:szCs w:val="18"/>
              </w:rPr>
              <w:t>111</w:t>
            </w:r>
          </w:p>
          <w:p>
            <w:pPr>
              <w:spacing w:line="240" w:lineRule="atLeast"/>
              <w:ind w:firstLine="0" w:firstLineChars="0"/>
              <w:rPr>
                <w:rFonts w:cs="Times New Roman"/>
                <w:kern w:val="0"/>
                <w:sz w:val="18"/>
                <w:szCs w:val="18"/>
              </w:rPr>
            </w:pPr>
            <w:r>
              <w:rPr>
                <w:rFonts w:cs="Times New Roman"/>
                <w:kern w:val="0"/>
                <w:sz w:val="18"/>
                <w:szCs w:val="18"/>
              </w:rPr>
              <w:t>g/a</w:t>
            </w:r>
          </w:p>
        </w:tc>
        <w:tc>
          <w:tcPr>
            <w:tcW w:w="417"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448"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24" w:type="dxa"/>
            <w:vMerge w:val="continue"/>
            <w:tcMar>
              <w:left w:w="0" w:type="dxa"/>
              <w:right w:w="0" w:type="dxa"/>
            </w:tcMar>
            <w:vAlign w:val="center"/>
          </w:tcPr>
          <w:p>
            <w:pPr>
              <w:spacing w:line="240" w:lineRule="atLeast"/>
              <w:ind w:firstLine="0" w:firstLineChars="0"/>
              <w:rPr>
                <w:rFonts w:cs="Times New Roman"/>
                <w:kern w:val="0"/>
                <w:sz w:val="18"/>
                <w:szCs w:val="18"/>
              </w:rPr>
            </w:pPr>
          </w:p>
        </w:tc>
        <w:tc>
          <w:tcPr>
            <w:tcW w:w="574" w:type="dxa"/>
            <w:vMerge w:val="continue"/>
            <w:tcMar>
              <w:left w:w="0" w:type="dxa"/>
              <w:right w:w="0" w:type="dxa"/>
            </w:tcMar>
            <w:vAlign w:val="center"/>
          </w:tcPr>
          <w:p>
            <w:pPr>
              <w:spacing w:line="240" w:lineRule="atLeast"/>
              <w:ind w:firstLine="0" w:firstLineChars="0"/>
              <w:rPr>
                <w:rFonts w:cs="Times New Roman"/>
                <w:kern w:val="0"/>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转运及上料系统排气(G4)</w:t>
            </w:r>
            <w:r>
              <w:rPr>
                <w:rFonts w:hint="eastAsia" w:cs="Times New Roman"/>
                <w:kern w:val="0"/>
                <w:sz w:val="18"/>
                <w:szCs w:val="18"/>
              </w:rPr>
              <w:t>处置厂</w:t>
            </w:r>
          </w:p>
        </w:tc>
        <w:tc>
          <w:tcPr>
            <w:tcW w:w="630" w:type="dxa"/>
            <w:tcMar>
              <w:left w:w="0" w:type="dxa"/>
              <w:right w:w="0" w:type="dxa"/>
            </w:tcMar>
            <w:vAlign w:val="center"/>
          </w:tcPr>
          <w:p>
            <w:pPr>
              <w:spacing w:line="240" w:lineRule="atLeast"/>
              <w:ind w:firstLine="0" w:firstLineChars="0"/>
              <w:rPr>
                <w:rFonts w:cs="Times New Roman"/>
                <w:kern w:val="0"/>
                <w:sz w:val="18"/>
                <w:szCs w:val="18"/>
              </w:rPr>
            </w:pPr>
            <w:r>
              <w:rPr>
                <w:rFonts w:hint="eastAsia" w:cs="Times New Roman"/>
                <w:kern w:val="0"/>
                <w:sz w:val="18"/>
                <w:szCs w:val="18"/>
              </w:rPr>
              <w:t>15</w:t>
            </w:r>
            <w:r>
              <w:rPr>
                <w:rFonts w:cs="Times New Roman"/>
                <w:kern w:val="0"/>
                <w:sz w:val="18"/>
                <w:szCs w:val="18"/>
              </w:rPr>
              <w:t>000</w:t>
            </w: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粉尘</w:t>
            </w:r>
          </w:p>
        </w:tc>
        <w:tc>
          <w:tcPr>
            <w:tcW w:w="87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1000</w:t>
            </w:r>
          </w:p>
        </w:tc>
        <w:tc>
          <w:tcPr>
            <w:tcW w:w="1000" w:type="dxa"/>
            <w:tcMar>
              <w:left w:w="0" w:type="dxa"/>
              <w:right w:w="0" w:type="dxa"/>
            </w:tcMar>
            <w:vAlign w:val="center"/>
          </w:tcPr>
          <w:p>
            <w:pPr>
              <w:spacing w:line="240" w:lineRule="atLeast"/>
              <w:ind w:firstLine="0" w:firstLineChars="0"/>
              <w:rPr>
                <w:rFonts w:cs="Times New Roman"/>
                <w:kern w:val="0"/>
                <w:sz w:val="18"/>
                <w:szCs w:val="18"/>
              </w:rPr>
            </w:pPr>
            <w:r>
              <w:rPr>
                <w:rFonts w:hint="eastAsia" w:cs="Times New Roman"/>
                <w:kern w:val="0"/>
                <w:sz w:val="18"/>
                <w:szCs w:val="18"/>
              </w:rPr>
              <w:t>15</w:t>
            </w:r>
            <w:r>
              <w:rPr>
                <w:rFonts w:cs="Times New Roman"/>
                <w:kern w:val="0"/>
                <w:sz w:val="18"/>
                <w:szCs w:val="18"/>
              </w:rPr>
              <w:t>.000</w:t>
            </w:r>
          </w:p>
        </w:tc>
        <w:tc>
          <w:tcPr>
            <w:tcW w:w="952" w:type="dxa"/>
            <w:tcMar>
              <w:left w:w="0" w:type="dxa"/>
              <w:right w:w="0" w:type="dxa"/>
            </w:tcMar>
            <w:vAlign w:val="center"/>
          </w:tcPr>
          <w:p>
            <w:pPr>
              <w:spacing w:line="240" w:lineRule="atLeast"/>
              <w:ind w:firstLine="0" w:firstLineChars="0"/>
              <w:rPr>
                <w:rFonts w:cs="Times New Roman"/>
                <w:kern w:val="0"/>
                <w:sz w:val="18"/>
                <w:szCs w:val="18"/>
              </w:rPr>
            </w:pPr>
            <w:r>
              <w:rPr>
                <w:rFonts w:hint="eastAsia" w:cs="Times New Roman"/>
                <w:kern w:val="0"/>
                <w:sz w:val="18"/>
                <w:szCs w:val="18"/>
              </w:rPr>
              <w:t>118.80</w:t>
            </w:r>
          </w:p>
        </w:tc>
        <w:tc>
          <w:tcPr>
            <w:tcW w:w="1451"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布袋除尘</w:t>
            </w: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97</w:t>
            </w:r>
          </w:p>
        </w:tc>
        <w:tc>
          <w:tcPr>
            <w:tcW w:w="1070"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30</w:t>
            </w:r>
          </w:p>
        </w:tc>
        <w:tc>
          <w:tcPr>
            <w:tcW w:w="1011"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0.</w:t>
            </w:r>
            <w:r>
              <w:rPr>
                <w:rFonts w:hint="eastAsia" w:cs="Times New Roman"/>
                <w:kern w:val="0"/>
                <w:sz w:val="18"/>
                <w:szCs w:val="18"/>
              </w:rPr>
              <w:t>45</w:t>
            </w:r>
            <w:r>
              <w:rPr>
                <w:rFonts w:cs="Times New Roman"/>
                <w:kern w:val="0"/>
                <w:sz w:val="18"/>
                <w:szCs w:val="18"/>
              </w:rPr>
              <w:t>00</w:t>
            </w:r>
          </w:p>
        </w:tc>
        <w:tc>
          <w:tcPr>
            <w:tcW w:w="905" w:type="dxa"/>
            <w:tcMar>
              <w:left w:w="0" w:type="dxa"/>
              <w:right w:w="0" w:type="dxa"/>
            </w:tcMar>
            <w:vAlign w:val="center"/>
          </w:tcPr>
          <w:p>
            <w:pPr>
              <w:spacing w:line="240" w:lineRule="atLeast"/>
              <w:ind w:firstLine="0" w:firstLineChars="0"/>
              <w:rPr>
                <w:rFonts w:cs="Times New Roman"/>
                <w:kern w:val="0"/>
                <w:sz w:val="18"/>
                <w:szCs w:val="18"/>
              </w:rPr>
            </w:pPr>
            <w:r>
              <w:rPr>
                <w:rFonts w:hint="eastAsia" w:cs="Times New Roman"/>
                <w:kern w:val="0"/>
                <w:sz w:val="18"/>
                <w:szCs w:val="18"/>
              </w:rPr>
              <w:t>3.6072</w:t>
            </w:r>
          </w:p>
        </w:tc>
        <w:tc>
          <w:tcPr>
            <w:tcW w:w="4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20</w:t>
            </w:r>
          </w:p>
        </w:tc>
        <w:tc>
          <w:tcPr>
            <w:tcW w:w="448"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800</w:t>
            </w:r>
          </w:p>
        </w:tc>
        <w:tc>
          <w:tcPr>
            <w:tcW w:w="524"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20</w:t>
            </w:r>
          </w:p>
        </w:tc>
        <w:tc>
          <w:tcPr>
            <w:tcW w:w="574"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连续</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98" w:hRule="atLeast"/>
        </w:trPr>
        <w:tc>
          <w:tcPr>
            <w:tcW w:w="1161"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强制循环蒸发系统排气(G</w:t>
            </w:r>
            <w:r>
              <w:rPr>
                <w:rFonts w:hint="eastAsia" w:cs="Times New Roman"/>
                <w:kern w:val="0"/>
                <w:sz w:val="18"/>
                <w:szCs w:val="18"/>
              </w:rPr>
              <w:t>5</w:t>
            </w:r>
            <w:r>
              <w:rPr>
                <w:rFonts w:cs="Times New Roman"/>
                <w:kern w:val="0"/>
                <w:sz w:val="18"/>
                <w:szCs w:val="18"/>
              </w:rPr>
              <w:t>)</w:t>
            </w:r>
          </w:p>
        </w:tc>
        <w:tc>
          <w:tcPr>
            <w:tcW w:w="630"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15</w:t>
            </w:r>
          </w:p>
        </w:tc>
        <w:tc>
          <w:tcPr>
            <w:tcW w:w="21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臭气</w:t>
            </w:r>
          </w:p>
        </w:tc>
        <w:tc>
          <w:tcPr>
            <w:tcW w:w="2829" w:type="dxa"/>
            <w:gridSpan w:val="3"/>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5000(无量纲)</w:t>
            </w:r>
          </w:p>
        </w:tc>
        <w:tc>
          <w:tcPr>
            <w:tcW w:w="1451"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活性炭纤维有机废气净化器</w:t>
            </w:r>
          </w:p>
        </w:tc>
        <w:tc>
          <w:tcPr>
            <w:tcW w:w="865"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80</w:t>
            </w:r>
          </w:p>
        </w:tc>
        <w:tc>
          <w:tcPr>
            <w:tcW w:w="2986" w:type="dxa"/>
            <w:gridSpan w:val="3"/>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1000(无量纲)</w:t>
            </w:r>
          </w:p>
        </w:tc>
        <w:tc>
          <w:tcPr>
            <w:tcW w:w="417"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15</w:t>
            </w:r>
          </w:p>
        </w:tc>
        <w:tc>
          <w:tcPr>
            <w:tcW w:w="448"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600</w:t>
            </w:r>
          </w:p>
        </w:tc>
        <w:tc>
          <w:tcPr>
            <w:tcW w:w="524"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20</w:t>
            </w:r>
          </w:p>
        </w:tc>
        <w:tc>
          <w:tcPr>
            <w:tcW w:w="574" w:type="dxa"/>
            <w:tcMar>
              <w:left w:w="0" w:type="dxa"/>
              <w:right w:w="0" w:type="dxa"/>
            </w:tcMar>
            <w:vAlign w:val="center"/>
          </w:tcPr>
          <w:p>
            <w:pPr>
              <w:spacing w:line="240" w:lineRule="atLeast"/>
              <w:ind w:firstLine="0" w:firstLineChars="0"/>
              <w:rPr>
                <w:rFonts w:cs="Times New Roman"/>
                <w:kern w:val="0"/>
                <w:sz w:val="18"/>
                <w:szCs w:val="18"/>
              </w:rPr>
            </w:pPr>
            <w:r>
              <w:rPr>
                <w:rFonts w:cs="Times New Roman"/>
                <w:kern w:val="0"/>
                <w:sz w:val="18"/>
                <w:szCs w:val="18"/>
              </w:rPr>
              <w:t>连续</w:t>
            </w:r>
          </w:p>
        </w:tc>
      </w:tr>
    </w:tbl>
    <w:p>
      <w:pPr>
        <w:spacing w:line="320" w:lineRule="exact"/>
        <w:ind w:firstLine="480"/>
      </w:pPr>
    </w:p>
    <w:p>
      <w:pPr>
        <w:spacing w:line="320" w:lineRule="exact"/>
        <w:ind w:firstLine="480"/>
      </w:pPr>
      <w:bookmarkStart w:id="305" w:name="_Hlk530158202"/>
      <w:r>
        <w:rPr>
          <w:rFonts w:hint="eastAsia"/>
        </w:rPr>
        <w:t>表4.10—</w:t>
      </w:r>
      <w:r>
        <w:t xml:space="preserve">2                       </w:t>
      </w:r>
      <w:r>
        <w:rPr>
          <w:rFonts w:hint="eastAsia"/>
        </w:rPr>
        <w:t>改扩建前后全厂废气产生及污染物排放情况对比一览表</w:t>
      </w:r>
    </w:p>
    <w:tbl>
      <w:tblPr>
        <w:tblStyle w:val="88"/>
        <w:tblW w:w="14002" w:type="dxa"/>
        <w:jc w:val="center"/>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1418"/>
        <w:gridCol w:w="850"/>
        <w:gridCol w:w="851"/>
        <w:gridCol w:w="742"/>
        <w:gridCol w:w="1384"/>
        <w:gridCol w:w="992"/>
        <w:gridCol w:w="851"/>
        <w:gridCol w:w="992"/>
        <w:gridCol w:w="901"/>
        <w:gridCol w:w="780"/>
        <w:gridCol w:w="7"/>
        <w:gridCol w:w="550"/>
        <w:gridCol w:w="739"/>
        <w:gridCol w:w="507"/>
        <w:gridCol w:w="621"/>
        <w:gridCol w:w="7"/>
        <w:gridCol w:w="1803"/>
        <w:gridCol w:w="7"/>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15" w:hRule="atLeast"/>
          <w:jc w:val="center"/>
        </w:trPr>
        <w:tc>
          <w:tcPr>
            <w:tcW w:w="1418" w:type="dxa"/>
            <w:vMerge w:val="restart"/>
            <w:vAlign w:val="center"/>
          </w:tcPr>
          <w:p>
            <w:pPr>
              <w:spacing w:line="240" w:lineRule="atLeast"/>
              <w:ind w:firstLine="0" w:firstLineChars="0"/>
              <w:jc w:val="center"/>
              <w:rPr>
                <w:sz w:val="18"/>
                <w:szCs w:val="18"/>
              </w:rPr>
            </w:pPr>
            <w:r>
              <w:rPr>
                <w:sz w:val="18"/>
                <w:szCs w:val="18"/>
              </w:rPr>
              <w:t>废  气  名  称</w:t>
            </w:r>
          </w:p>
        </w:tc>
        <w:tc>
          <w:tcPr>
            <w:tcW w:w="2443" w:type="dxa"/>
            <w:gridSpan w:val="3"/>
            <w:vMerge w:val="restart"/>
            <w:vAlign w:val="center"/>
          </w:tcPr>
          <w:p>
            <w:pPr>
              <w:spacing w:line="240" w:lineRule="atLeast"/>
              <w:ind w:firstLine="0" w:firstLineChars="0"/>
              <w:jc w:val="center"/>
              <w:rPr>
                <w:sz w:val="18"/>
                <w:szCs w:val="18"/>
              </w:rPr>
            </w:pPr>
            <w:r>
              <w:rPr>
                <w:sz w:val="18"/>
                <w:szCs w:val="18"/>
              </w:rPr>
              <w:t>废气排放量</w:t>
            </w:r>
          </w:p>
          <w:p>
            <w:pPr>
              <w:spacing w:line="240" w:lineRule="atLeast"/>
              <w:ind w:firstLine="0" w:firstLineChars="0"/>
              <w:jc w:val="center"/>
              <w:rPr>
                <w:sz w:val="18"/>
                <w:szCs w:val="18"/>
              </w:rPr>
            </w:pPr>
            <w:r>
              <w:rPr>
                <w:sz w:val="18"/>
                <w:szCs w:val="18"/>
              </w:rPr>
              <w:t>(Nm</w:t>
            </w:r>
            <w:r>
              <w:rPr>
                <w:sz w:val="18"/>
                <w:szCs w:val="18"/>
                <w:vertAlign w:val="superscript"/>
              </w:rPr>
              <w:t>3</w:t>
            </w:r>
            <w:r>
              <w:rPr>
                <w:sz w:val="18"/>
                <w:szCs w:val="18"/>
              </w:rPr>
              <w:t>/h)</w:t>
            </w:r>
          </w:p>
        </w:tc>
        <w:tc>
          <w:tcPr>
            <w:tcW w:w="5907" w:type="dxa"/>
            <w:gridSpan w:val="7"/>
            <w:vAlign w:val="center"/>
          </w:tcPr>
          <w:p>
            <w:pPr>
              <w:pStyle w:val="196"/>
              <w:rPr>
                <w:rFonts w:hAnsi="Times New Roman"/>
                <w:sz w:val="18"/>
                <w:szCs w:val="18"/>
              </w:rPr>
            </w:pPr>
            <w:r>
              <w:rPr>
                <w:rFonts w:hAnsi="Times New Roman"/>
                <w:sz w:val="18"/>
                <w:szCs w:val="18"/>
              </w:rPr>
              <w:t>主要污染物</w:t>
            </w:r>
          </w:p>
        </w:tc>
        <w:tc>
          <w:tcPr>
            <w:tcW w:w="2424" w:type="dxa"/>
            <w:gridSpan w:val="5"/>
            <w:vAlign w:val="center"/>
          </w:tcPr>
          <w:p>
            <w:pPr>
              <w:spacing w:line="240" w:lineRule="atLeast"/>
              <w:ind w:firstLine="0" w:firstLineChars="0"/>
              <w:jc w:val="center"/>
              <w:rPr>
                <w:sz w:val="18"/>
                <w:szCs w:val="18"/>
              </w:rPr>
            </w:pPr>
            <w:r>
              <w:rPr>
                <w:rFonts w:hint="eastAsia"/>
                <w:sz w:val="18"/>
                <w:szCs w:val="18"/>
              </w:rPr>
              <w:t>改扩建</w:t>
            </w:r>
            <w:r>
              <w:rPr>
                <w:sz w:val="18"/>
                <w:szCs w:val="18"/>
              </w:rPr>
              <w:t>后</w:t>
            </w:r>
          </w:p>
          <w:p>
            <w:pPr>
              <w:spacing w:line="240" w:lineRule="atLeast"/>
              <w:ind w:firstLine="0" w:firstLineChars="0"/>
              <w:jc w:val="center"/>
              <w:rPr>
                <w:sz w:val="18"/>
                <w:szCs w:val="18"/>
              </w:rPr>
            </w:pPr>
            <w:r>
              <w:rPr>
                <w:sz w:val="18"/>
                <w:szCs w:val="18"/>
              </w:rPr>
              <w:t>排放规律及方式</w:t>
            </w:r>
          </w:p>
        </w:tc>
        <w:tc>
          <w:tcPr>
            <w:tcW w:w="1810" w:type="dxa"/>
            <w:gridSpan w:val="2"/>
            <w:vAlign w:val="center"/>
          </w:tcPr>
          <w:p>
            <w:pPr>
              <w:spacing w:line="240" w:lineRule="atLeast"/>
              <w:ind w:firstLine="0" w:firstLineChars="0"/>
              <w:jc w:val="center"/>
              <w:rPr>
                <w:sz w:val="18"/>
                <w:szCs w:val="18"/>
              </w:rPr>
            </w:pPr>
            <w:r>
              <w:rPr>
                <w:rFonts w:hint="eastAsia"/>
                <w:sz w:val="18"/>
                <w:szCs w:val="18"/>
              </w:rPr>
              <w:t>改扩建</w:t>
            </w:r>
            <w:r>
              <w:rPr>
                <w:sz w:val="18"/>
                <w:szCs w:val="18"/>
              </w:rPr>
              <w:t>后</w:t>
            </w:r>
          </w:p>
          <w:p>
            <w:pPr>
              <w:spacing w:line="240" w:lineRule="atLeast"/>
              <w:ind w:firstLine="0" w:firstLineChars="0"/>
              <w:jc w:val="center"/>
              <w:rPr>
                <w:sz w:val="18"/>
                <w:szCs w:val="18"/>
              </w:rPr>
            </w:pPr>
            <w:r>
              <w:rPr>
                <w:sz w:val="18"/>
                <w:szCs w:val="18"/>
              </w:rPr>
              <w:t>治理措施及去向</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2443" w:type="dxa"/>
            <w:gridSpan w:val="3"/>
            <w:vMerge w:val="continue"/>
            <w:tcBorders>
              <w:bottom w:val="dotted" w:color="auto" w:sz="4" w:space="0"/>
            </w:tcBorders>
            <w:vAlign w:val="center"/>
          </w:tcPr>
          <w:p>
            <w:pPr>
              <w:spacing w:line="240" w:lineRule="atLeast"/>
              <w:ind w:firstLine="0" w:firstLineChars="0"/>
              <w:jc w:val="center"/>
              <w:rPr>
                <w:sz w:val="18"/>
                <w:szCs w:val="18"/>
              </w:rPr>
            </w:pPr>
          </w:p>
        </w:tc>
        <w:tc>
          <w:tcPr>
            <w:tcW w:w="1384" w:type="dxa"/>
            <w:vMerge w:val="restart"/>
            <w:vAlign w:val="center"/>
          </w:tcPr>
          <w:p>
            <w:pPr>
              <w:pStyle w:val="28"/>
              <w:adjustRightInd w:val="0"/>
              <w:spacing w:line="240" w:lineRule="atLeast"/>
              <w:ind w:firstLine="0" w:firstLineChars="0"/>
              <w:jc w:val="center"/>
              <w:textAlignment w:val="baseline"/>
              <w:rPr>
                <w:sz w:val="18"/>
                <w:szCs w:val="18"/>
              </w:rPr>
            </w:pPr>
            <w:r>
              <w:rPr>
                <w:sz w:val="18"/>
                <w:szCs w:val="18"/>
              </w:rPr>
              <w:t>名称</w:t>
            </w:r>
          </w:p>
        </w:tc>
        <w:tc>
          <w:tcPr>
            <w:tcW w:w="1843" w:type="dxa"/>
            <w:gridSpan w:val="2"/>
            <w:tcBorders>
              <w:bottom w:val="dotted" w:color="auto" w:sz="4" w:space="0"/>
            </w:tcBorders>
            <w:vAlign w:val="center"/>
          </w:tcPr>
          <w:p>
            <w:pPr>
              <w:spacing w:line="240" w:lineRule="atLeast"/>
              <w:ind w:firstLine="0" w:firstLineChars="0"/>
              <w:jc w:val="center"/>
              <w:rPr>
                <w:sz w:val="18"/>
                <w:szCs w:val="18"/>
              </w:rPr>
            </w:pPr>
            <w:r>
              <w:rPr>
                <w:sz w:val="18"/>
                <w:szCs w:val="18"/>
              </w:rPr>
              <w:t>浓度(mg/m</w:t>
            </w:r>
            <w:r>
              <w:rPr>
                <w:sz w:val="18"/>
                <w:szCs w:val="18"/>
                <w:vertAlign w:val="superscript"/>
              </w:rPr>
              <w:t>3</w:t>
            </w:r>
            <w:r>
              <w:rPr>
                <w:sz w:val="18"/>
                <w:szCs w:val="18"/>
              </w:rPr>
              <w:t>)</w:t>
            </w:r>
          </w:p>
        </w:tc>
        <w:tc>
          <w:tcPr>
            <w:tcW w:w="2673" w:type="dxa"/>
            <w:gridSpan w:val="3"/>
            <w:tcBorders>
              <w:bottom w:val="dotted" w:color="auto" w:sz="4" w:space="0"/>
            </w:tcBorders>
            <w:vAlign w:val="center"/>
          </w:tcPr>
          <w:p>
            <w:pPr>
              <w:pStyle w:val="196"/>
              <w:rPr>
                <w:rFonts w:hAnsi="Times New Roman"/>
                <w:sz w:val="18"/>
                <w:szCs w:val="18"/>
              </w:rPr>
            </w:pPr>
            <w:r>
              <w:rPr>
                <w:rFonts w:hAnsi="Times New Roman"/>
                <w:sz w:val="18"/>
                <w:szCs w:val="18"/>
              </w:rPr>
              <w:t>排放量(t/a)</w:t>
            </w:r>
          </w:p>
        </w:tc>
        <w:tc>
          <w:tcPr>
            <w:tcW w:w="557" w:type="dxa"/>
            <w:gridSpan w:val="2"/>
            <w:vMerge w:val="restart"/>
            <w:vAlign w:val="center"/>
          </w:tcPr>
          <w:p>
            <w:pPr>
              <w:spacing w:line="240" w:lineRule="atLeast"/>
              <w:ind w:firstLine="0" w:firstLineChars="0"/>
              <w:jc w:val="center"/>
              <w:rPr>
                <w:sz w:val="18"/>
                <w:szCs w:val="18"/>
              </w:rPr>
            </w:pPr>
            <w:r>
              <w:rPr>
                <w:sz w:val="18"/>
                <w:szCs w:val="18"/>
              </w:rPr>
              <w:t>方式</w:t>
            </w:r>
          </w:p>
        </w:tc>
        <w:tc>
          <w:tcPr>
            <w:tcW w:w="739" w:type="dxa"/>
            <w:vMerge w:val="restart"/>
            <w:vAlign w:val="center"/>
          </w:tcPr>
          <w:p>
            <w:pPr>
              <w:spacing w:line="240" w:lineRule="atLeast"/>
              <w:ind w:firstLine="0" w:firstLineChars="0"/>
              <w:jc w:val="center"/>
              <w:rPr>
                <w:sz w:val="18"/>
                <w:szCs w:val="18"/>
              </w:rPr>
            </w:pPr>
            <w:r>
              <w:rPr>
                <w:sz w:val="18"/>
                <w:szCs w:val="18"/>
              </w:rPr>
              <w:t>高度</w:t>
            </w:r>
          </w:p>
          <w:p>
            <w:pPr>
              <w:spacing w:line="240" w:lineRule="atLeast"/>
              <w:ind w:firstLine="0" w:firstLineChars="0"/>
              <w:jc w:val="center"/>
              <w:rPr>
                <w:sz w:val="18"/>
                <w:szCs w:val="18"/>
              </w:rPr>
            </w:pPr>
            <w:r>
              <w:rPr>
                <w:sz w:val="18"/>
                <w:szCs w:val="18"/>
              </w:rPr>
              <w:t>(m)</w:t>
            </w:r>
          </w:p>
        </w:tc>
        <w:tc>
          <w:tcPr>
            <w:tcW w:w="507" w:type="dxa"/>
            <w:vMerge w:val="restart"/>
            <w:vAlign w:val="center"/>
          </w:tcPr>
          <w:p>
            <w:pPr>
              <w:spacing w:line="240" w:lineRule="atLeast"/>
              <w:ind w:firstLine="0" w:firstLineChars="0"/>
              <w:jc w:val="center"/>
              <w:rPr>
                <w:sz w:val="18"/>
                <w:szCs w:val="18"/>
              </w:rPr>
            </w:pPr>
            <w:r>
              <w:rPr>
                <w:sz w:val="18"/>
                <w:szCs w:val="18"/>
              </w:rPr>
              <w:t>直径(mm)</w:t>
            </w:r>
          </w:p>
        </w:tc>
        <w:tc>
          <w:tcPr>
            <w:tcW w:w="621" w:type="dxa"/>
            <w:vMerge w:val="restart"/>
            <w:vAlign w:val="center"/>
          </w:tcPr>
          <w:p>
            <w:pPr>
              <w:spacing w:line="240" w:lineRule="atLeast"/>
              <w:ind w:firstLine="0" w:firstLineChars="0"/>
              <w:jc w:val="center"/>
              <w:rPr>
                <w:sz w:val="18"/>
                <w:szCs w:val="18"/>
              </w:rPr>
            </w:pPr>
            <w:r>
              <w:rPr>
                <w:sz w:val="18"/>
                <w:szCs w:val="18"/>
              </w:rPr>
              <w:t>温度(</w:t>
            </w:r>
            <w:r>
              <w:rPr>
                <w:rFonts w:hint="eastAsia" w:ascii="宋体" w:hAnsi="宋体" w:cs="宋体"/>
                <w:sz w:val="18"/>
                <w:szCs w:val="18"/>
              </w:rPr>
              <w:t>℃</w:t>
            </w:r>
            <w:r>
              <w:rPr>
                <w:sz w:val="18"/>
                <w:szCs w:val="18"/>
              </w:rPr>
              <w:t>)</w:t>
            </w:r>
          </w:p>
        </w:tc>
        <w:tc>
          <w:tcPr>
            <w:tcW w:w="1810" w:type="dxa"/>
            <w:gridSpan w:val="2"/>
            <w:vMerge w:val="restart"/>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tcBorders>
              <w:bottom w:val="single" w:color="auto" w:sz="12" w:space="0"/>
            </w:tcBorders>
            <w:vAlign w:val="center"/>
          </w:tcPr>
          <w:p>
            <w:pPr>
              <w:spacing w:line="240" w:lineRule="atLeast"/>
              <w:ind w:firstLine="0" w:firstLineChars="0"/>
              <w:jc w:val="center"/>
              <w:rPr>
                <w:sz w:val="18"/>
                <w:szCs w:val="18"/>
              </w:rPr>
            </w:pPr>
          </w:p>
        </w:tc>
        <w:tc>
          <w:tcPr>
            <w:tcW w:w="850" w:type="dxa"/>
            <w:tcBorders>
              <w:top w:val="dotted" w:color="auto" w:sz="4" w:space="0"/>
              <w:bottom w:val="single" w:color="auto" w:sz="12" w:space="0"/>
            </w:tcBorders>
            <w:vAlign w:val="center"/>
          </w:tcPr>
          <w:p>
            <w:pPr>
              <w:spacing w:line="240" w:lineRule="atLeast"/>
              <w:ind w:firstLine="0" w:firstLineChars="0"/>
              <w:jc w:val="center"/>
              <w:rPr>
                <w:sz w:val="18"/>
                <w:szCs w:val="18"/>
              </w:rPr>
            </w:pPr>
            <w:r>
              <w:rPr>
                <w:rFonts w:hint="eastAsia"/>
                <w:sz w:val="18"/>
                <w:szCs w:val="18"/>
              </w:rPr>
              <w:t>改扩建</w:t>
            </w:r>
            <w:r>
              <w:rPr>
                <w:sz w:val="18"/>
                <w:szCs w:val="18"/>
              </w:rPr>
              <w:t>前</w:t>
            </w:r>
          </w:p>
        </w:tc>
        <w:tc>
          <w:tcPr>
            <w:tcW w:w="851" w:type="dxa"/>
            <w:tcBorders>
              <w:top w:val="dotted" w:color="auto" w:sz="4" w:space="0"/>
              <w:bottom w:val="single" w:color="auto" w:sz="12" w:space="0"/>
            </w:tcBorders>
            <w:vAlign w:val="center"/>
          </w:tcPr>
          <w:p>
            <w:pPr>
              <w:spacing w:line="240" w:lineRule="atLeast"/>
              <w:ind w:firstLine="0" w:firstLineChars="0"/>
              <w:jc w:val="center"/>
              <w:rPr>
                <w:sz w:val="18"/>
                <w:szCs w:val="18"/>
              </w:rPr>
            </w:pPr>
            <w:r>
              <w:rPr>
                <w:rFonts w:hint="eastAsia"/>
                <w:sz w:val="18"/>
                <w:szCs w:val="18"/>
              </w:rPr>
              <w:t>改扩建</w:t>
            </w:r>
            <w:r>
              <w:rPr>
                <w:sz w:val="18"/>
                <w:szCs w:val="18"/>
              </w:rPr>
              <w:t>后</w:t>
            </w:r>
          </w:p>
        </w:tc>
        <w:tc>
          <w:tcPr>
            <w:tcW w:w="742" w:type="dxa"/>
            <w:tcBorders>
              <w:top w:val="dotted" w:color="auto" w:sz="4" w:space="0"/>
              <w:bottom w:val="single" w:color="auto" w:sz="12" w:space="0"/>
            </w:tcBorders>
            <w:vAlign w:val="center"/>
          </w:tcPr>
          <w:p>
            <w:pPr>
              <w:spacing w:line="240" w:lineRule="atLeast"/>
              <w:ind w:firstLine="0" w:firstLineChars="0"/>
              <w:jc w:val="center"/>
              <w:rPr>
                <w:sz w:val="18"/>
                <w:szCs w:val="18"/>
              </w:rPr>
            </w:pPr>
            <w:r>
              <w:rPr>
                <w:sz w:val="18"/>
                <w:szCs w:val="18"/>
              </w:rPr>
              <w:t>增减量</w:t>
            </w:r>
          </w:p>
        </w:tc>
        <w:tc>
          <w:tcPr>
            <w:tcW w:w="1384" w:type="dxa"/>
            <w:vMerge w:val="continue"/>
            <w:tcBorders>
              <w:bottom w:val="single" w:color="auto" w:sz="12" w:space="0"/>
            </w:tcBorders>
            <w:vAlign w:val="center"/>
          </w:tcPr>
          <w:p>
            <w:pPr>
              <w:spacing w:line="240" w:lineRule="atLeast"/>
              <w:ind w:firstLine="0" w:firstLineChars="0"/>
              <w:rPr>
                <w:sz w:val="18"/>
                <w:szCs w:val="18"/>
              </w:rPr>
            </w:pPr>
          </w:p>
        </w:tc>
        <w:tc>
          <w:tcPr>
            <w:tcW w:w="992" w:type="dxa"/>
            <w:tcBorders>
              <w:top w:val="dotted" w:color="auto" w:sz="4" w:space="0"/>
              <w:bottom w:val="single" w:color="auto" w:sz="12" w:space="0"/>
            </w:tcBorders>
            <w:vAlign w:val="center"/>
          </w:tcPr>
          <w:p>
            <w:pPr>
              <w:spacing w:line="240" w:lineRule="atLeast"/>
              <w:ind w:firstLine="0" w:firstLineChars="0"/>
              <w:jc w:val="center"/>
              <w:rPr>
                <w:sz w:val="18"/>
                <w:szCs w:val="18"/>
              </w:rPr>
            </w:pPr>
            <w:r>
              <w:rPr>
                <w:rFonts w:hint="eastAsia"/>
                <w:sz w:val="18"/>
                <w:szCs w:val="18"/>
              </w:rPr>
              <w:t>改扩建</w:t>
            </w:r>
            <w:r>
              <w:rPr>
                <w:sz w:val="18"/>
                <w:szCs w:val="18"/>
              </w:rPr>
              <w:t>前</w:t>
            </w:r>
          </w:p>
        </w:tc>
        <w:tc>
          <w:tcPr>
            <w:tcW w:w="851" w:type="dxa"/>
            <w:tcBorders>
              <w:top w:val="dotted" w:color="auto" w:sz="4" w:space="0"/>
              <w:bottom w:val="single" w:color="auto" w:sz="12" w:space="0"/>
            </w:tcBorders>
            <w:vAlign w:val="center"/>
          </w:tcPr>
          <w:p>
            <w:pPr>
              <w:spacing w:line="240" w:lineRule="atLeast"/>
              <w:ind w:firstLine="0" w:firstLineChars="0"/>
              <w:jc w:val="center"/>
              <w:rPr>
                <w:sz w:val="18"/>
                <w:szCs w:val="18"/>
              </w:rPr>
            </w:pPr>
            <w:r>
              <w:rPr>
                <w:rFonts w:hint="eastAsia"/>
                <w:sz w:val="18"/>
                <w:szCs w:val="18"/>
              </w:rPr>
              <w:t>改扩建</w:t>
            </w:r>
            <w:r>
              <w:rPr>
                <w:sz w:val="18"/>
                <w:szCs w:val="18"/>
              </w:rPr>
              <w:t>后</w:t>
            </w:r>
          </w:p>
        </w:tc>
        <w:tc>
          <w:tcPr>
            <w:tcW w:w="992" w:type="dxa"/>
            <w:tcBorders>
              <w:top w:val="dotted" w:color="auto" w:sz="4" w:space="0"/>
              <w:bottom w:val="single" w:color="auto" w:sz="12" w:space="0"/>
            </w:tcBorders>
            <w:vAlign w:val="center"/>
          </w:tcPr>
          <w:p>
            <w:pPr>
              <w:spacing w:line="240" w:lineRule="atLeast"/>
              <w:ind w:firstLine="0" w:firstLineChars="0"/>
              <w:jc w:val="center"/>
              <w:rPr>
                <w:sz w:val="18"/>
                <w:szCs w:val="18"/>
              </w:rPr>
            </w:pPr>
            <w:r>
              <w:rPr>
                <w:rFonts w:hint="eastAsia"/>
                <w:sz w:val="18"/>
                <w:szCs w:val="18"/>
              </w:rPr>
              <w:t>改扩建</w:t>
            </w:r>
            <w:r>
              <w:rPr>
                <w:sz w:val="18"/>
                <w:szCs w:val="18"/>
              </w:rPr>
              <w:t>前</w:t>
            </w:r>
          </w:p>
        </w:tc>
        <w:tc>
          <w:tcPr>
            <w:tcW w:w="901" w:type="dxa"/>
            <w:tcBorders>
              <w:top w:val="dotted" w:color="auto" w:sz="4" w:space="0"/>
              <w:bottom w:val="single" w:color="auto" w:sz="12" w:space="0"/>
            </w:tcBorders>
            <w:vAlign w:val="center"/>
          </w:tcPr>
          <w:p>
            <w:pPr>
              <w:spacing w:line="240" w:lineRule="atLeast"/>
              <w:ind w:firstLine="0" w:firstLineChars="0"/>
              <w:jc w:val="center"/>
              <w:rPr>
                <w:sz w:val="18"/>
                <w:szCs w:val="18"/>
              </w:rPr>
            </w:pPr>
            <w:r>
              <w:rPr>
                <w:rFonts w:hint="eastAsia"/>
                <w:sz w:val="18"/>
                <w:szCs w:val="18"/>
              </w:rPr>
              <w:t>改扩建</w:t>
            </w:r>
            <w:r>
              <w:rPr>
                <w:sz w:val="18"/>
                <w:szCs w:val="18"/>
              </w:rPr>
              <w:t>后</w:t>
            </w:r>
          </w:p>
        </w:tc>
        <w:tc>
          <w:tcPr>
            <w:tcW w:w="780" w:type="dxa"/>
            <w:tcBorders>
              <w:top w:val="dotted" w:color="auto" w:sz="4" w:space="0"/>
              <w:bottom w:val="single" w:color="auto" w:sz="12" w:space="0"/>
            </w:tcBorders>
            <w:vAlign w:val="center"/>
          </w:tcPr>
          <w:p>
            <w:pPr>
              <w:spacing w:line="240" w:lineRule="atLeast"/>
              <w:ind w:firstLine="0" w:firstLineChars="0"/>
              <w:jc w:val="center"/>
              <w:rPr>
                <w:sz w:val="18"/>
                <w:szCs w:val="18"/>
              </w:rPr>
            </w:pPr>
            <w:r>
              <w:rPr>
                <w:sz w:val="18"/>
                <w:szCs w:val="18"/>
              </w:rPr>
              <w:t>增减量</w:t>
            </w:r>
          </w:p>
        </w:tc>
        <w:tc>
          <w:tcPr>
            <w:tcW w:w="557" w:type="dxa"/>
            <w:gridSpan w:val="2"/>
            <w:vMerge w:val="continue"/>
            <w:tcBorders>
              <w:bottom w:val="single" w:color="auto" w:sz="12" w:space="0"/>
            </w:tcBorders>
            <w:vAlign w:val="center"/>
          </w:tcPr>
          <w:p>
            <w:pPr>
              <w:spacing w:line="240" w:lineRule="atLeast"/>
              <w:ind w:firstLine="0" w:firstLineChars="0"/>
              <w:jc w:val="center"/>
              <w:rPr>
                <w:sz w:val="18"/>
                <w:szCs w:val="18"/>
              </w:rPr>
            </w:pPr>
          </w:p>
        </w:tc>
        <w:tc>
          <w:tcPr>
            <w:tcW w:w="739" w:type="dxa"/>
            <w:vMerge w:val="continue"/>
            <w:tcBorders>
              <w:bottom w:val="single" w:color="auto" w:sz="12" w:space="0"/>
            </w:tcBorders>
            <w:vAlign w:val="center"/>
          </w:tcPr>
          <w:p>
            <w:pPr>
              <w:spacing w:line="240" w:lineRule="atLeast"/>
              <w:ind w:firstLine="0" w:firstLineChars="0"/>
              <w:jc w:val="center"/>
              <w:rPr>
                <w:sz w:val="18"/>
                <w:szCs w:val="18"/>
              </w:rPr>
            </w:pPr>
          </w:p>
        </w:tc>
        <w:tc>
          <w:tcPr>
            <w:tcW w:w="507" w:type="dxa"/>
            <w:vMerge w:val="continue"/>
            <w:tcBorders>
              <w:bottom w:val="single" w:color="auto" w:sz="12" w:space="0"/>
            </w:tcBorders>
            <w:vAlign w:val="center"/>
          </w:tcPr>
          <w:p>
            <w:pPr>
              <w:spacing w:line="240" w:lineRule="atLeast"/>
              <w:ind w:firstLine="0" w:firstLineChars="0"/>
              <w:jc w:val="center"/>
              <w:rPr>
                <w:sz w:val="18"/>
                <w:szCs w:val="18"/>
              </w:rPr>
            </w:pPr>
          </w:p>
        </w:tc>
        <w:tc>
          <w:tcPr>
            <w:tcW w:w="621" w:type="dxa"/>
            <w:vMerge w:val="continue"/>
            <w:tcBorders>
              <w:bottom w:val="single" w:color="auto" w:sz="12" w:space="0"/>
            </w:tcBorders>
            <w:vAlign w:val="center"/>
          </w:tcPr>
          <w:p>
            <w:pPr>
              <w:spacing w:line="240" w:lineRule="atLeast"/>
              <w:ind w:firstLine="0" w:firstLineChars="0"/>
              <w:jc w:val="center"/>
              <w:rPr>
                <w:sz w:val="18"/>
                <w:szCs w:val="18"/>
              </w:rPr>
            </w:pPr>
          </w:p>
        </w:tc>
        <w:tc>
          <w:tcPr>
            <w:tcW w:w="1810" w:type="dxa"/>
            <w:gridSpan w:val="2"/>
            <w:vMerge w:val="continue"/>
            <w:tcBorders>
              <w:bottom w:val="single" w:color="auto" w:sz="12" w:space="0"/>
            </w:tcBorders>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restart"/>
            <w:tcBorders>
              <w:top w:val="single" w:color="auto" w:sz="12" w:space="0"/>
            </w:tcBorders>
            <w:vAlign w:val="center"/>
          </w:tcPr>
          <w:p>
            <w:pPr>
              <w:adjustRightInd w:val="0"/>
              <w:spacing w:line="240" w:lineRule="atLeast"/>
              <w:ind w:firstLine="0" w:firstLineChars="0"/>
              <w:jc w:val="center"/>
              <w:rPr>
                <w:sz w:val="18"/>
                <w:szCs w:val="18"/>
              </w:rPr>
            </w:pPr>
            <w:r>
              <w:rPr>
                <w:sz w:val="18"/>
                <w:szCs w:val="18"/>
              </w:rPr>
              <w:t>危废暂存库有组织废气</w:t>
            </w:r>
          </w:p>
        </w:tc>
        <w:tc>
          <w:tcPr>
            <w:tcW w:w="850" w:type="dxa"/>
            <w:vMerge w:val="restart"/>
            <w:tcBorders>
              <w:top w:val="single" w:color="auto" w:sz="12" w:space="0"/>
            </w:tcBorders>
            <w:vAlign w:val="center"/>
          </w:tcPr>
          <w:p>
            <w:pPr>
              <w:adjustRightInd w:val="0"/>
              <w:spacing w:line="240" w:lineRule="atLeast"/>
              <w:ind w:firstLine="0" w:firstLineChars="0"/>
              <w:jc w:val="center"/>
              <w:rPr>
                <w:sz w:val="18"/>
                <w:szCs w:val="18"/>
              </w:rPr>
            </w:pPr>
            <w:r>
              <w:rPr>
                <w:rFonts w:hint="eastAsia"/>
                <w:sz w:val="18"/>
                <w:szCs w:val="18"/>
              </w:rPr>
              <w:t>9</w:t>
            </w:r>
            <w:r>
              <w:rPr>
                <w:sz w:val="18"/>
                <w:szCs w:val="18"/>
              </w:rPr>
              <w:t>000</w:t>
            </w:r>
          </w:p>
        </w:tc>
        <w:tc>
          <w:tcPr>
            <w:tcW w:w="851" w:type="dxa"/>
            <w:vMerge w:val="restart"/>
            <w:tcBorders>
              <w:top w:val="single" w:color="auto" w:sz="12" w:space="0"/>
            </w:tcBorders>
            <w:vAlign w:val="center"/>
          </w:tcPr>
          <w:p>
            <w:pPr>
              <w:adjustRightInd w:val="0"/>
              <w:spacing w:line="240" w:lineRule="atLeast"/>
              <w:ind w:firstLine="0" w:firstLineChars="0"/>
              <w:jc w:val="center"/>
              <w:rPr>
                <w:sz w:val="18"/>
                <w:szCs w:val="18"/>
              </w:rPr>
            </w:pPr>
            <w:r>
              <w:rPr>
                <w:rFonts w:hint="eastAsia"/>
                <w:sz w:val="18"/>
                <w:szCs w:val="18"/>
              </w:rPr>
              <w:t>12000</w:t>
            </w:r>
          </w:p>
        </w:tc>
        <w:tc>
          <w:tcPr>
            <w:tcW w:w="742" w:type="dxa"/>
            <w:vMerge w:val="restart"/>
            <w:tcBorders>
              <w:top w:val="single" w:color="auto" w:sz="12" w:space="0"/>
            </w:tcBorders>
            <w:vAlign w:val="center"/>
          </w:tcPr>
          <w:p>
            <w:pPr>
              <w:adjustRightInd w:val="0"/>
              <w:spacing w:line="240" w:lineRule="atLeast"/>
              <w:ind w:firstLine="0" w:firstLineChars="0"/>
              <w:jc w:val="center"/>
              <w:rPr>
                <w:sz w:val="18"/>
                <w:szCs w:val="18"/>
              </w:rPr>
            </w:pPr>
            <w:r>
              <w:rPr>
                <w:rFonts w:hint="eastAsia"/>
                <w:sz w:val="18"/>
                <w:szCs w:val="18"/>
              </w:rPr>
              <w:t>+30</w:t>
            </w:r>
            <w:r>
              <w:rPr>
                <w:sz w:val="18"/>
                <w:szCs w:val="18"/>
              </w:rPr>
              <w:t>00</w:t>
            </w: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VOC</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7.6</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7.6</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0.1083</w:t>
            </w:r>
          </w:p>
        </w:tc>
        <w:tc>
          <w:tcPr>
            <w:tcW w:w="901" w:type="dxa"/>
            <w:vAlign w:val="bottom"/>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0.1445 </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0.0362 </w:t>
            </w:r>
          </w:p>
        </w:tc>
        <w:tc>
          <w:tcPr>
            <w:tcW w:w="557" w:type="dxa"/>
            <w:gridSpan w:val="2"/>
            <w:vMerge w:val="restart"/>
            <w:vAlign w:val="center"/>
          </w:tcPr>
          <w:p>
            <w:pPr>
              <w:adjustRightInd w:val="0"/>
              <w:spacing w:line="240" w:lineRule="atLeast"/>
              <w:ind w:firstLine="0" w:firstLineChars="0"/>
              <w:jc w:val="center"/>
              <w:rPr>
                <w:sz w:val="18"/>
                <w:szCs w:val="18"/>
              </w:rPr>
            </w:pPr>
            <w:r>
              <w:rPr>
                <w:sz w:val="18"/>
                <w:szCs w:val="18"/>
              </w:rPr>
              <w:t>连续</w:t>
            </w:r>
          </w:p>
        </w:tc>
        <w:tc>
          <w:tcPr>
            <w:tcW w:w="739" w:type="dxa"/>
            <w:vMerge w:val="restart"/>
            <w:vAlign w:val="center"/>
          </w:tcPr>
          <w:p>
            <w:pPr>
              <w:snapToGrid w:val="0"/>
              <w:spacing w:line="240" w:lineRule="atLeast"/>
              <w:ind w:firstLine="0" w:firstLineChars="0"/>
              <w:jc w:val="center"/>
              <w:rPr>
                <w:sz w:val="18"/>
                <w:szCs w:val="18"/>
              </w:rPr>
            </w:pPr>
            <w:r>
              <w:rPr>
                <w:sz w:val="18"/>
                <w:szCs w:val="18"/>
              </w:rPr>
              <w:t>20</w:t>
            </w:r>
          </w:p>
        </w:tc>
        <w:tc>
          <w:tcPr>
            <w:tcW w:w="507" w:type="dxa"/>
            <w:vMerge w:val="restart"/>
            <w:vAlign w:val="center"/>
          </w:tcPr>
          <w:p>
            <w:pPr>
              <w:snapToGrid w:val="0"/>
              <w:spacing w:line="240" w:lineRule="atLeast"/>
              <w:ind w:firstLine="0" w:firstLineChars="0"/>
              <w:jc w:val="center"/>
              <w:rPr>
                <w:sz w:val="18"/>
                <w:szCs w:val="18"/>
              </w:rPr>
            </w:pPr>
            <w:r>
              <w:rPr>
                <w:sz w:val="18"/>
                <w:szCs w:val="18"/>
              </w:rPr>
              <w:t>800</w:t>
            </w:r>
          </w:p>
        </w:tc>
        <w:tc>
          <w:tcPr>
            <w:tcW w:w="621" w:type="dxa"/>
            <w:vMerge w:val="restart"/>
            <w:vAlign w:val="center"/>
          </w:tcPr>
          <w:p>
            <w:pPr>
              <w:snapToGrid w:val="0"/>
              <w:spacing w:line="240" w:lineRule="atLeast"/>
              <w:ind w:firstLine="0" w:firstLineChars="0"/>
              <w:jc w:val="center"/>
              <w:rPr>
                <w:sz w:val="18"/>
                <w:szCs w:val="18"/>
              </w:rPr>
            </w:pPr>
            <w:r>
              <w:rPr>
                <w:sz w:val="18"/>
                <w:szCs w:val="18"/>
              </w:rPr>
              <w:t>20</w:t>
            </w:r>
          </w:p>
        </w:tc>
        <w:tc>
          <w:tcPr>
            <w:tcW w:w="1810" w:type="dxa"/>
            <w:gridSpan w:val="2"/>
            <w:vMerge w:val="restart"/>
            <w:vAlign w:val="center"/>
          </w:tcPr>
          <w:p>
            <w:pPr>
              <w:spacing w:line="240" w:lineRule="atLeast"/>
              <w:ind w:firstLine="0" w:firstLineChars="0"/>
              <w:jc w:val="center"/>
              <w:rPr>
                <w:sz w:val="18"/>
                <w:szCs w:val="18"/>
              </w:rPr>
            </w:pPr>
            <w:r>
              <w:rPr>
                <w:sz w:val="18"/>
                <w:szCs w:val="18"/>
              </w:rPr>
              <w:t>紫外光处理器+活性炭纤维有机废气净化器</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tcBorders>
              <w:top w:val="single" w:color="auto" w:sz="12" w:space="0"/>
            </w:tcBorders>
            <w:vAlign w:val="center"/>
          </w:tcPr>
          <w:p>
            <w:pPr>
              <w:adjustRightInd w:val="0"/>
              <w:spacing w:line="240" w:lineRule="atLeast"/>
              <w:ind w:firstLine="0" w:firstLineChars="0"/>
              <w:jc w:val="center"/>
              <w:rPr>
                <w:sz w:val="18"/>
                <w:szCs w:val="18"/>
              </w:rPr>
            </w:pPr>
          </w:p>
        </w:tc>
        <w:tc>
          <w:tcPr>
            <w:tcW w:w="850" w:type="dxa"/>
            <w:vMerge w:val="continue"/>
            <w:tcBorders>
              <w:top w:val="single" w:color="auto" w:sz="12" w:space="0"/>
            </w:tcBorders>
            <w:vAlign w:val="center"/>
          </w:tcPr>
          <w:p>
            <w:pPr>
              <w:adjustRightInd w:val="0"/>
              <w:spacing w:line="240" w:lineRule="atLeast"/>
              <w:ind w:firstLine="0" w:firstLineChars="0"/>
              <w:jc w:val="center"/>
              <w:rPr>
                <w:sz w:val="18"/>
                <w:szCs w:val="18"/>
              </w:rPr>
            </w:pPr>
          </w:p>
        </w:tc>
        <w:tc>
          <w:tcPr>
            <w:tcW w:w="851" w:type="dxa"/>
            <w:vMerge w:val="continue"/>
            <w:tcBorders>
              <w:top w:val="single" w:color="auto" w:sz="12" w:space="0"/>
            </w:tcBorders>
            <w:vAlign w:val="center"/>
          </w:tcPr>
          <w:p>
            <w:pPr>
              <w:adjustRightInd w:val="0"/>
              <w:spacing w:line="240" w:lineRule="atLeast"/>
              <w:ind w:firstLine="0" w:firstLineChars="0"/>
              <w:jc w:val="center"/>
              <w:rPr>
                <w:sz w:val="18"/>
                <w:szCs w:val="18"/>
              </w:rPr>
            </w:pPr>
          </w:p>
        </w:tc>
        <w:tc>
          <w:tcPr>
            <w:tcW w:w="742" w:type="dxa"/>
            <w:vMerge w:val="continue"/>
            <w:tcBorders>
              <w:top w:val="single" w:color="auto" w:sz="12" w:space="0"/>
            </w:tcBorders>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H</w:t>
            </w:r>
            <w:r>
              <w:rPr>
                <w:rFonts w:cs="Times New Roman"/>
                <w:sz w:val="18"/>
                <w:szCs w:val="18"/>
                <w:vertAlign w:val="subscript"/>
              </w:rPr>
              <w:t>2</w:t>
            </w:r>
            <w:r>
              <w:rPr>
                <w:rFonts w:cs="Times New Roman"/>
                <w:sz w:val="18"/>
                <w:szCs w:val="18"/>
              </w:rPr>
              <w:t>S</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0.4</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0.4</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0.0057</w:t>
            </w:r>
          </w:p>
        </w:tc>
        <w:tc>
          <w:tcPr>
            <w:tcW w:w="901" w:type="dxa"/>
            <w:vAlign w:val="bottom"/>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0.0076 </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0.0019 </w:t>
            </w:r>
          </w:p>
        </w:tc>
        <w:tc>
          <w:tcPr>
            <w:tcW w:w="557" w:type="dxa"/>
            <w:gridSpan w:val="2"/>
            <w:vMerge w:val="continue"/>
            <w:vAlign w:val="center"/>
          </w:tcPr>
          <w:p>
            <w:pPr>
              <w:adjustRightInd w:val="0"/>
              <w:spacing w:line="240" w:lineRule="atLeast"/>
              <w:ind w:firstLine="0" w:firstLineChars="0"/>
              <w:jc w:val="center"/>
              <w:rPr>
                <w:sz w:val="18"/>
                <w:szCs w:val="18"/>
              </w:rPr>
            </w:pPr>
          </w:p>
        </w:tc>
        <w:tc>
          <w:tcPr>
            <w:tcW w:w="739" w:type="dxa"/>
            <w:vMerge w:val="continue"/>
            <w:vAlign w:val="center"/>
          </w:tcPr>
          <w:p>
            <w:pPr>
              <w:snapToGrid w:val="0"/>
              <w:spacing w:line="240" w:lineRule="atLeast"/>
              <w:ind w:firstLine="0" w:firstLineChars="0"/>
              <w:jc w:val="center"/>
              <w:rPr>
                <w:sz w:val="18"/>
                <w:szCs w:val="18"/>
              </w:rPr>
            </w:pPr>
          </w:p>
        </w:tc>
        <w:tc>
          <w:tcPr>
            <w:tcW w:w="507" w:type="dxa"/>
            <w:vMerge w:val="continue"/>
            <w:vAlign w:val="center"/>
          </w:tcPr>
          <w:p>
            <w:pPr>
              <w:snapToGrid w:val="0"/>
              <w:spacing w:line="240" w:lineRule="atLeast"/>
              <w:ind w:firstLine="0" w:firstLineChars="0"/>
              <w:jc w:val="center"/>
              <w:rPr>
                <w:sz w:val="18"/>
                <w:szCs w:val="18"/>
              </w:rPr>
            </w:pPr>
          </w:p>
        </w:tc>
        <w:tc>
          <w:tcPr>
            <w:tcW w:w="621" w:type="dxa"/>
            <w:vMerge w:val="continue"/>
            <w:vAlign w:val="center"/>
          </w:tcPr>
          <w:p>
            <w:pPr>
              <w:snapToGrid w:val="0"/>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adjustRightInd w:val="0"/>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NH</w:t>
            </w:r>
            <w:r>
              <w:rPr>
                <w:rFonts w:cs="Times New Roman"/>
                <w:sz w:val="18"/>
                <w:szCs w:val="18"/>
                <w:vertAlign w:val="subscript"/>
              </w:rPr>
              <w:t>3</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12</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12</w:t>
            </w:r>
          </w:p>
        </w:tc>
        <w:tc>
          <w:tcPr>
            <w:tcW w:w="992" w:type="dxa"/>
            <w:tcBorders>
              <w:bottom w:val="dotted" w:color="auto" w:sz="4" w:space="0"/>
            </w:tcBorders>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0.1711</w:t>
            </w:r>
          </w:p>
        </w:tc>
        <w:tc>
          <w:tcPr>
            <w:tcW w:w="901" w:type="dxa"/>
            <w:tcBorders>
              <w:bottom w:val="dotted" w:color="auto" w:sz="4" w:space="0"/>
            </w:tcBorders>
            <w:vAlign w:val="bottom"/>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0.2281 </w:t>
            </w:r>
          </w:p>
        </w:tc>
        <w:tc>
          <w:tcPr>
            <w:tcW w:w="780" w:type="dxa"/>
            <w:tcBorders>
              <w:bottom w:val="dotted" w:color="auto" w:sz="4" w:space="0"/>
            </w:tcBorders>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0.0570 </w:t>
            </w:r>
          </w:p>
        </w:tc>
        <w:tc>
          <w:tcPr>
            <w:tcW w:w="557" w:type="dxa"/>
            <w:gridSpan w:val="2"/>
            <w:vMerge w:val="continue"/>
            <w:tcBorders>
              <w:bottom w:val="dotted" w:color="auto" w:sz="4" w:space="0"/>
            </w:tcBorders>
            <w:vAlign w:val="center"/>
          </w:tcPr>
          <w:p>
            <w:pPr>
              <w:adjustRightInd w:val="0"/>
              <w:spacing w:line="240" w:lineRule="atLeast"/>
              <w:ind w:firstLine="0" w:firstLineChars="0"/>
              <w:jc w:val="center"/>
              <w:rPr>
                <w:sz w:val="18"/>
                <w:szCs w:val="18"/>
              </w:rPr>
            </w:pPr>
          </w:p>
        </w:tc>
        <w:tc>
          <w:tcPr>
            <w:tcW w:w="739" w:type="dxa"/>
            <w:vMerge w:val="continue"/>
            <w:tcBorders>
              <w:bottom w:val="dotted" w:color="auto" w:sz="4" w:space="0"/>
            </w:tcBorders>
            <w:vAlign w:val="center"/>
          </w:tcPr>
          <w:p>
            <w:pPr>
              <w:snapToGrid w:val="0"/>
              <w:spacing w:line="240" w:lineRule="atLeast"/>
              <w:ind w:firstLine="0" w:firstLineChars="0"/>
              <w:jc w:val="center"/>
              <w:rPr>
                <w:sz w:val="18"/>
                <w:szCs w:val="18"/>
              </w:rPr>
            </w:pPr>
          </w:p>
        </w:tc>
        <w:tc>
          <w:tcPr>
            <w:tcW w:w="507" w:type="dxa"/>
            <w:vMerge w:val="continue"/>
            <w:tcBorders>
              <w:bottom w:val="dotted" w:color="auto" w:sz="4" w:space="0"/>
            </w:tcBorders>
            <w:vAlign w:val="center"/>
          </w:tcPr>
          <w:p>
            <w:pPr>
              <w:snapToGrid w:val="0"/>
              <w:spacing w:line="240" w:lineRule="atLeast"/>
              <w:ind w:firstLine="0" w:firstLineChars="0"/>
              <w:jc w:val="center"/>
              <w:rPr>
                <w:sz w:val="18"/>
                <w:szCs w:val="18"/>
              </w:rPr>
            </w:pPr>
          </w:p>
        </w:tc>
        <w:tc>
          <w:tcPr>
            <w:tcW w:w="621" w:type="dxa"/>
            <w:vMerge w:val="continue"/>
            <w:tcBorders>
              <w:bottom w:val="dotted" w:color="auto" w:sz="4" w:space="0"/>
            </w:tcBorders>
            <w:vAlign w:val="center"/>
          </w:tcPr>
          <w:p>
            <w:pPr>
              <w:snapToGrid w:val="0"/>
              <w:spacing w:line="240" w:lineRule="atLeast"/>
              <w:ind w:firstLine="0" w:firstLineChars="0"/>
              <w:jc w:val="center"/>
              <w:rPr>
                <w:sz w:val="18"/>
                <w:szCs w:val="18"/>
              </w:rPr>
            </w:pPr>
          </w:p>
        </w:tc>
        <w:tc>
          <w:tcPr>
            <w:tcW w:w="1810" w:type="dxa"/>
            <w:gridSpan w:val="2"/>
            <w:vMerge w:val="continue"/>
            <w:tcBorders>
              <w:bottom w:val="dotted" w:color="auto" w:sz="4" w:space="0"/>
            </w:tcBorders>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restart"/>
            <w:tcBorders>
              <w:top w:val="dotted" w:color="auto" w:sz="4" w:space="0"/>
            </w:tcBorders>
            <w:vAlign w:val="center"/>
          </w:tcPr>
          <w:p>
            <w:pPr>
              <w:adjustRightInd w:val="0"/>
              <w:spacing w:line="240" w:lineRule="atLeast"/>
              <w:ind w:firstLine="0" w:firstLineChars="0"/>
              <w:jc w:val="center"/>
              <w:rPr>
                <w:sz w:val="18"/>
                <w:szCs w:val="18"/>
              </w:rPr>
            </w:pPr>
            <w:r>
              <w:rPr>
                <w:sz w:val="18"/>
                <w:szCs w:val="18"/>
              </w:rPr>
              <w:t>中和反应池排气</w:t>
            </w:r>
          </w:p>
        </w:tc>
        <w:tc>
          <w:tcPr>
            <w:tcW w:w="850" w:type="dxa"/>
            <w:vMerge w:val="restart"/>
            <w:tcBorders>
              <w:top w:val="dotted" w:color="auto" w:sz="4" w:space="0"/>
            </w:tcBorders>
            <w:vAlign w:val="center"/>
          </w:tcPr>
          <w:p>
            <w:pPr>
              <w:adjustRightInd w:val="0"/>
              <w:spacing w:line="240" w:lineRule="atLeast"/>
              <w:ind w:firstLine="0" w:firstLineChars="0"/>
              <w:jc w:val="center"/>
              <w:rPr>
                <w:sz w:val="18"/>
                <w:szCs w:val="18"/>
              </w:rPr>
            </w:pPr>
            <w:r>
              <w:rPr>
                <w:rFonts w:hint="eastAsia"/>
                <w:sz w:val="18"/>
                <w:szCs w:val="18"/>
              </w:rPr>
              <w:t>2800</w:t>
            </w:r>
          </w:p>
        </w:tc>
        <w:tc>
          <w:tcPr>
            <w:tcW w:w="851" w:type="dxa"/>
            <w:vMerge w:val="restart"/>
            <w:tcBorders>
              <w:top w:val="dotted" w:color="auto" w:sz="4" w:space="0"/>
            </w:tcBorders>
            <w:vAlign w:val="center"/>
          </w:tcPr>
          <w:p>
            <w:pPr>
              <w:adjustRightInd w:val="0"/>
              <w:spacing w:line="240" w:lineRule="atLeast"/>
              <w:ind w:firstLine="0" w:firstLineChars="0"/>
              <w:jc w:val="center"/>
              <w:rPr>
                <w:sz w:val="18"/>
                <w:szCs w:val="18"/>
              </w:rPr>
            </w:pPr>
            <w:r>
              <w:rPr>
                <w:rFonts w:hint="eastAsia"/>
                <w:sz w:val="18"/>
                <w:szCs w:val="18"/>
              </w:rPr>
              <w:t>13</w:t>
            </w:r>
            <w:r>
              <w:rPr>
                <w:sz w:val="18"/>
                <w:szCs w:val="18"/>
              </w:rPr>
              <w:t>000</w:t>
            </w:r>
          </w:p>
        </w:tc>
        <w:tc>
          <w:tcPr>
            <w:tcW w:w="742" w:type="dxa"/>
            <w:vMerge w:val="restart"/>
            <w:tcBorders>
              <w:top w:val="dotted" w:color="auto" w:sz="4" w:space="0"/>
            </w:tcBorders>
            <w:vAlign w:val="center"/>
          </w:tcPr>
          <w:p>
            <w:pPr>
              <w:adjustRightInd w:val="0"/>
              <w:spacing w:line="240" w:lineRule="atLeast"/>
              <w:ind w:firstLine="0" w:firstLineChars="0"/>
              <w:jc w:val="center"/>
              <w:rPr>
                <w:sz w:val="18"/>
                <w:szCs w:val="18"/>
              </w:rPr>
            </w:pPr>
            <w:r>
              <w:rPr>
                <w:rFonts w:hint="eastAsia"/>
                <w:sz w:val="18"/>
                <w:szCs w:val="18"/>
              </w:rPr>
              <w:t>+10200</w:t>
            </w:r>
          </w:p>
        </w:tc>
        <w:tc>
          <w:tcPr>
            <w:tcW w:w="1384" w:type="dxa"/>
            <w:tcBorders>
              <w:top w:val="dotted" w:color="auto" w:sz="4" w:space="0"/>
            </w:tcBorders>
            <w:vAlign w:val="center"/>
          </w:tcPr>
          <w:p>
            <w:pPr>
              <w:spacing w:line="240" w:lineRule="atLeast"/>
              <w:ind w:firstLine="0" w:firstLineChars="0"/>
              <w:jc w:val="center"/>
              <w:rPr>
                <w:rFonts w:cs="Times New Roman"/>
                <w:sz w:val="18"/>
                <w:szCs w:val="18"/>
              </w:rPr>
            </w:pPr>
            <w:r>
              <w:rPr>
                <w:rFonts w:cs="Times New Roman"/>
                <w:sz w:val="18"/>
                <w:szCs w:val="18"/>
              </w:rPr>
              <w:t>硫酸雾</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850</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850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0.9425</w:t>
            </w:r>
          </w:p>
        </w:tc>
        <w:tc>
          <w:tcPr>
            <w:tcW w:w="901" w:type="dxa"/>
            <w:tcBorders>
              <w:top w:val="dotted" w:color="auto" w:sz="4" w:space="0"/>
            </w:tcBorders>
            <w:vAlign w:val="bottom"/>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4.3758 </w:t>
            </w:r>
          </w:p>
        </w:tc>
        <w:tc>
          <w:tcPr>
            <w:tcW w:w="780" w:type="dxa"/>
            <w:tcBorders>
              <w:top w:val="dotted" w:color="auto" w:sz="4" w:space="0"/>
            </w:tcBorders>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3.4333 </w:t>
            </w:r>
          </w:p>
        </w:tc>
        <w:tc>
          <w:tcPr>
            <w:tcW w:w="557" w:type="dxa"/>
            <w:gridSpan w:val="2"/>
            <w:vMerge w:val="restart"/>
            <w:tcBorders>
              <w:top w:val="dotted" w:color="auto" w:sz="4" w:space="0"/>
            </w:tcBorders>
            <w:vAlign w:val="center"/>
          </w:tcPr>
          <w:p>
            <w:pPr>
              <w:adjustRightInd w:val="0"/>
              <w:spacing w:line="240" w:lineRule="atLeast"/>
              <w:ind w:firstLine="0" w:firstLineChars="0"/>
              <w:jc w:val="center"/>
              <w:rPr>
                <w:sz w:val="18"/>
                <w:szCs w:val="18"/>
              </w:rPr>
            </w:pPr>
            <w:r>
              <w:rPr>
                <w:sz w:val="18"/>
                <w:szCs w:val="18"/>
              </w:rPr>
              <w:t>连续</w:t>
            </w:r>
          </w:p>
        </w:tc>
        <w:tc>
          <w:tcPr>
            <w:tcW w:w="739" w:type="dxa"/>
            <w:vMerge w:val="restart"/>
            <w:tcBorders>
              <w:top w:val="dotted" w:color="auto" w:sz="4" w:space="0"/>
            </w:tcBorders>
            <w:vAlign w:val="center"/>
          </w:tcPr>
          <w:p>
            <w:pPr>
              <w:snapToGrid w:val="0"/>
              <w:spacing w:line="240" w:lineRule="atLeast"/>
              <w:ind w:firstLine="0" w:firstLineChars="0"/>
              <w:jc w:val="center"/>
              <w:rPr>
                <w:sz w:val="18"/>
                <w:szCs w:val="18"/>
              </w:rPr>
            </w:pPr>
            <w:r>
              <w:rPr>
                <w:sz w:val="18"/>
                <w:szCs w:val="18"/>
              </w:rPr>
              <w:t>20</w:t>
            </w:r>
          </w:p>
        </w:tc>
        <w:tc>
          <w:tcPr>
            <w:tcW w:w="507" w:type="dxa"/>
            <w:vMerge w:val="restart"/>
            <w:tcBorders>
              <w:top w:val="dotted" w:color="auto" w:sz="4" w:space="0"/>
            </w:tcBorders>
            <w:vAlign w:val="center"/>
          </w:tcPr>
          <w:p>
            <w:pPr>
              <w:snapToGrid w:val="0"/>
              <w:spacing w:line="240" w:lineRule="atLeast"/>
              <w:ind w:firstLine="0" w:firstLineChars="0"/>
              <w:jc w:val="center"/>
              <w:rPr>
                <w:sz w:val="18"/>
                <w:szCs w:val="18"/>
              </w:rPr>
            </w:pPr>
            <w:r>
              <w:rPr>
                <w:sz w:val="18"/>
                <w:szCs w:val="18"/>
              </w:rPr>
              <w:t>800</w:t>
            </w:r>
          </w:p>
        </w:tc>
        <w:tc>
          <w:tcPr>
            <w:tcW w:w="621" w:type="dxa"/>
            <w:vMerge w:val="restart"/>
            <w:tcBorders>
              <w:top w:val="dotted" w:color="auto" w:sz="4" w:space="0"/>
            </w:tcBorders>
            <w:vAlign w:val="center"/>
          </w:tcPr>
          <w:p>
            <w:pPr>
              <w:snapToGrid w:val="0"/>
              <w:spacing w:line="240" w:lineRule="atLeast"/>
              <w:ind w:firstLine="0" w:firstLineChars="0"/>
              <w:jc w:val="center"/>
              <w:rPr>
                <w:sz w:val="18"/>
                <w:szCs w:val="18"/>
              </w:rPr>
            </w:pPr>
            <w:r>
              <w:rPr>
                <w:sz w:val="18"/>
                <w:szCs w:val="18"/>
              </w:rPr>
              <w:t>20</w:t>
            </w:r>
          </w:p>
        </w:tc>
        <w:tc>
          <w:tcPr>
            <w:tcW w:w="1810" w:type="dxa"/>
            <w:gridSpan w:val="2"/>
            <w:vMerge w:val="restart"/>
            <w:tcBorders>
              <w:top w:val="dotted" w:color="auto" w:sz="4" w:space="0"/>
            </w:tcBorders>
            <w:vAlign w:val="center"/>
          </w:tcPr>
          <w:p>
            <w:pPr>
              <w:spacing w:line="240" w:lineRule="atLeast"/>
              <w:ind w:firstLine="0" w:firstLineChars="0"/>
              <w:jc w:val="center"/>
              <w:rPr>
                <w:sz w:val="18"/>
                <w:szCs w:val="18"/>
              </w:rPr>
            </w:pPr>
            <w:r>
              <w:rPr>
                <w:sz w:val="18"/>
                <w:szCs w:val="18"/>
              </w:rPr>
              <w:t>碱液喷淋</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adjustRightInd w:val="0"/>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tcBorders>
              <w:top w:val="dotted" w:color="auto" w:sz="4" w:space="0"/>
            </w:tcBorders>
            <w:vAlign w:val="center"/>
          </w:tcPr>
          <w:p>
            <w:pPr>
              <w:spacing w:line="240" w:lineRule="atLeast"/>
              <w:ind w:firstLine="0" w:firstLineChars="0"/>
              <w:jc w:val="center"/>
              <w:rPr>
                <w:rFonts w:cs="Times New Roman"/>
                <w:sz w:val="18"/>
                <w:szCs w:val="18"/>
              </w:rPr>
            </w:pPr>
            <w:r>
              <w:rPr>
                <w:rFonts w:cs="Times New Roman"/>
                <w:sz w:val="18"/>
                <w:szCs w:val="18"/>
              </w:rPr>
              <w:t>HCl</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100</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100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0.1109</w:t>
            </w:r>
          </w:p>
        </w:tc>
        <w:tc>
          <w:tcPr>
            <w:tcW w:w="901" w:type="dxa"/>
            <w:tcBorders>
              <w:top w:val="dotted" w:color="auto" w:sz="4" w:space="0"/>
            </w:tcBorders>
            <w:vAlign w:val="bottom"/>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0.5148 </w:t>
            </w:r>
          </w:p>
        </w:tc>
        <w:tc>
          <w:tcPr>
            <w:tcW w:w="780" w:type="dxa"/>
            <w:tcBorders>
              <w:top w:val="dotted" w:color="auto" w:sz="4" w:space="0"/>
            </w:tcBorders>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0.4039 </w:t>
            </w:r>
          </w:p>
        </w:tc>
        <w:tc>
          <w:tcPr>
            <w:tcW w:w="557" w:type="dxa"/>
            <w:gridSpan w:val="2"/>
            <w:vMerge w:val="continue"/>
            <w:vAlign w:val="center"/>
          </w:tcPr>
          <w:p>
            <w:pPr>
              <w:adjustRightInd w:val="0"/>
              <w:spacing w:line="240" w:lineRule="atLeast"/>
              <w:ind w:firstLine="0" w:firstLineChars="0"/>
              <w:jc w:val="center"/>
              <w:rPr>
                <w:sz w:val="18"/>
                <w:szCs w:val="18"/>
              </w:rPr>
            </w:pPr>
          </w:p>
        </w:tc>
        <w:tc>
          <w:tcPr>
            <w:tcW w:w="739" w:type="dxa"/>
            <w:vMerge w:val="continue"/>
            <w:vAlign w:val="center"/>
          </w:tcPr>
          <w:p>
            <w:pPr>
              <w:snapToGrid w:val="0"/>
              <w:spacing w:line="240" w:lineRule="atLeast"/>
              <w:ind w:firstLine="0" w:firstLineChars="0"/>
              <w:jc w:val="center"/>
              <w:rPr>
                <w:sz w:val="18"/>
                <w:szCs w:val="18"/>
              </w:rPr>
            </w:pPr>
          </w:p>
        </w:tc>
        <w:tc>
          <w:tcPr>
            <w:tcW w:w="507" w:type="dxa"/>
            <w:vMerge w:val="continue"/>
            <w:vAlign w:val="center"/>
          </w:tcPr>
          <w:p>
            <w:pPr>
              <w:snapToGrid w:val="0"/>
              <w:spacing w:line="240" w:lineRule="atLeast"/>
              <w:ind w:firstLine="0" w:firstLineChars="0"/>
              <w:jc w:val="center"/>
              <w:rPr>
                <w:sz w:val="18"/>
                <w:szCs w:val="18"/>
              </w:rPr>
            </w:pPr>
          </w:p>
        </w:tc>
        <w:tc>
          <w:tcPr>
            <w:tcW w:w="621" w:type="dxa"/>
            <w:vMerge w:val="continue"/>
            <w:vAlign w:val="center"/>
          </w:tcPr>
          <w:p>
            <w:pPr>
              <w:snapToGrid w:val="0"/>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adjustRightInd w:val="0"/>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tcBorders>
              <w:top w:val="dotted" w:color="auto" w:sz="4" w:space="0"/>
            </w:tcBorders>
            <w:vAlign w:val="center"/>
          </w:tcPr>
          <w:p>
            <w:pPr>
              <w:spacing w:line="240" w:lineRule="atLeast"/>
              <w:ind w:firstLine="0" w:firstLineChars="0"/>
              <w:jc w:val="center"/>
              <w:rPr>
                <w:rFonts w:cs="Times New Roman"/>
                <w:sz w:val="18"/>
                <w:szCs w:val="18"/>
              </w:rPr>
            </w:pPr>
            <w:r>
              <w:rPr>
                <w:rFonts w:cs="Times New Roman"/>
                <w:sz w:val="18"/>
                <w:szCs w:val="18"/>
              </w:rPr>
              <w:t>HF</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100</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100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0.1109</w:t>
            </w:r>
          </w:p>
        </w:tc>
        <w:tc>
          <w:tcPr>
            <w:tcW w:w="901" w:type="dxa"/>
            <w:tcBorders>
              <w:top w:val="dotted" w:color="auto" w:sz="4" w:space="0"/>
            </w:tcBorders>
            <w:vAlign w:val="bottom"/>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0.5148 </w:t>
            </w:r>
          </w:p>
        </w:tc>
        <w:tc>
          <w:tcPr>
            <w:tcW w:w="780" w:type="dxa"/>
            <w:tcBorders>
              <w:top w:val="dotted" w:color="auto" w:sz="4" w:space="0"/>
            </w:tcBorders>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0.4039 </w:t>
            </w:r>
          </w:p>
        </w:tc>
        <w:tc>
          <w:tcPr>
            <w:tcW w:w="557" w:type="dxa"/>
            <w:gridSpan w:val="2"/>
            <w:vMerge w:val="continue"/>
            <w:vAlign w:val="center"/>
          </w:tcPr>
          <w:p>
            <w:pPr>
              <w:adjustRightInd w:val="0"/>
              <w:spacing w:line="240" w:lineRule="atLeast"/>
              <w:ind w:firstLine="0" w:firstLineChars="0"/>
              <w:jc w:val="center"/>
              <w:rPr>
                <w:sz w:val="18"/>
                <w:szCs w:val="18"/>
              </w:rPr>
            </w:pPr>
          </w:p>
        </w:tc>
        <w:tc>
          <w:tcPr>
            <w:tcW w:w="739" w:type="dxa"/>
            <w:vMerge w:val="continue"/>
            <w:vAlign w:val="center"/>
          </w:tcPr>
          <w:p>
            <w:pPr>
              <w:snapToGrid w:val="0"/>
              <w:spacing w:line="240" w:lineRule="atLeast"/>
              <w:ind w:firstLine="0" w:firstLineChars="0"/>
              <w:jc w:val="center"/>
              <w:rPr>
                <w:sz w:val="18"/>
                <w:szCs w:val="18"/>
              </w:rPr>
            </w:pPr>
          </w:p>
        </w:tc>
        <w:tc>
          <w:tcPr>
            <w:tcW w:w="507" w:type="dxa"/>
            <w:vMerge w:val="continue"/>
            <w:vAlign w:val="center"/>
          </w:tcPr>
          <w:p>
            <w:pPr>
              <w:snapToGrid w:val="0"/>
              <w:spacing w:line="240" w:lineRule="atLeast"/>
              <w:ind w:firstLine="0" w:firstLineChars="0"/>
              <w:jc w:val="center"/>
              <w:rPr>
                <w:sz w:val="18"/>
                <w:szCs w:val="18"/>
              </w:rPr>
            </w:pPr>
          </w:p>
        </w:tc>
        <w:tc>
          <w:tcPr>
            <w:tcW w:w="621" w:type="dxa"/>
            <w:vMerge w:val="continue"/>
            <w:vAlign w:val="center"/>
          </w:tcPr>
          <w:p>
            <w:pPr>
              <w:snapToGrid w:val="0"/>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restart"/>
            <w:vAlign w:val="center"/>
          </w:tcPr>
          <w:p>
            <w:pPr>
              <w:spacing w:line="240" w:lineRule="atLeast"/>
              <w:ind w:firstLine="0" w:firstLineChars="0"/>
              <w:jc w:val="center"/>
              <w:rPr>
                <w:sz w:val="18"/>
                <w:szCs w:val="18"/>
              </w:rPr>
            </w:pPr>
            <w:r>
              <w:rPr>
                <w:sz w:val="18"/>
                <w:szCs w:val="18"/>
              </w:rPr>
              <w:t>焚烧废气</w:t>
            </w:r>
          </w:p>
        </w:tc>
        <w:tc>
          <w:tcPr>
            <w:tcW w:w="850" w:type="dxa"/>
            <w:vMerge w:val="restart"/>
            <w:vAlign w:val="center"/>
          </w:tcPr>
          <w:p>
            <w:pPr>
              <w:adjustRightInd w:val="0"/>
              <w:spacing w:line="240" w:lineRule="atLeast"/>
              <w:ind w:firstLine="0" w:firstLineChars="0"/>
              <w:jc w:val="center"/>
              <w:rPr>
                <w:sz w:val="18"/>
                <w:szCs w:val="18"/>
              </w:rPr>
            </w:pPr>
            <w:r>
              <w:rPr>
                <w:rFonts w:hint="eastAsia"/>
                <w:sz w:val="18"/>
                <w:szCs w:val="18"/>
              </w:rPr>
              <w:t>11330</w:t>
            </w:r>
          </w:p>
        </w:tc>
        <w:tc>
          <w:tcPr>
            <w:tcW w:w="851" w:type="dxa"/>
            <w:vMerge w:val="restart"/>
            <w:vAlign w:val="center"/>
          </w:tcPr>
          <w:p>
            <w:pPr>
              <w:adjustRightInd w:val="0"/>
              <w:spacing w:line="240" w:lineRule="atLeast"/>
              <w:ind w:firstLine="0" w:firstLineChars="0"/>
              <w:jc w:val="center"/>
              <w:rPr>
                <w:sz w:val="18"/>
                <w:szCs w:val="18"/>
              </w:rPr>
            </w:pPr>
            <w:r>
              <w:rPr>
                <w:rFonts w:hint="eastAsia"/>
                <w:sz w:val="18"/>
                <w:szCs w:val="18"/>
              </w:rPr>
              <w:t>14000</w:t>
            </w:r>
          </w:p>
        </w:tc>
        <w:tc>
          <w:tcPr>
            <w:tcW w:w="742" w:type="dxa"/>
            <w:vMerge w:val="restart"/>
            <w:vAlign w:val="center"/>
          </w:tcPr>
          <w:p>
            <w:pPr>
              <w:adjustRightInd w:val="0"/>
              <w:spacing w:line="240" w:lineRule="atLeast"/>
              <w:ind w:firstLine="0" w:firstLineChars="0"/>
              <w:jc w:val="center"/>
              <w:rPr>
                <w:sz w:val="18"/>
                <w:szCs w:val="18"/>
              </w:rPr>
            </w:pPr>
            <w:r>
              <w:rPr>
                <w:rFonts w:hint="eastAsia"/>
                <w:sz w:val="18"/>
                <w:szCs w:val="18"/>
              </w:rPr>
              <w:t>+2670</w:t>
            </w: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烟尘</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3000</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3000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2.692</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3.3264</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0.6344 </w:t>
            </w:r>
          </w:p>
        </w:tc>
        <w:tc>
          <w:tcPr>
            <w:tcW w:w="557" w:type="dxa"/>
            <w:gridSpan w:val="2"/>
            <w:vMerge w:val="restart"/>
            <w:vAlign w:val="center"/>
          </w:tcPr>
          <w:p>
            <w:pPr>
              <w:adjustRightInd w:val="0"/>
              <w:spacing w:line="240" w:lineRule="atLeast"/>
              <w:ind w:firstLine="0" w:firstLineChars="0"/>
              <w:jc w:val="center"/>
              <w:rPr>
                <w:sz w:val="18"/>
                <w:szCs w:val="18"/>
              </w:rPr>
            </w:pPr>
            <w:r>
              <w:rPr>
                <w:sz w:val="18"/>
                <w:szCs w:val="18"/>
              </w:rPr>
              <w:t>连续</w:t>
            </w:r>
          </w:p>
        </w:tc>
        <w:tc>
          <w:tcPr>
            <w:tcW w:w="739" w:type="dxa"/>
            <w:vMerge w:val="restart"/>
            <w:vAlign w:val="center"/>
          </w:tcPr>
          <w:p>
            <w:pPr>
              <w:snapToGrid w:val="0"/>
              <w:spacing w:line="240" w:lineRule="atLeast"/>
              <w:ind w:firstLine="0" w:firstLineChars="0"/>
              <w:jc w:val="center"/>
              <w:rPr>
                <w:sz w:val="18"/>
                <w:szCs w:val="18"/>
              </w:rPr>
            </w:pPr>
            <w:r>
              <w:rPr>
                <w:sz w:val="18"/>
                <w:szCs w:val="18"/>
              </w:rPr>
              <w:t>50</w:t>
            </w:r>
          </w:p>
        </w:tc>
        <w:tc>
          <w:tcPr>
            <w:tcW w:w="507" w:type="dxa"/>
            <w:vMerge w:val="restart"/>
            <w:vAlign w:val="center"/>
          </w:tcPr>
          <w:p>
            <w:pPr>
              <w:snapToGrid w:val="0"/>
              <w:spacing w:line="240" w:lineRule="atLeast"/>
              <w:ind w:firstLine="0" w:firstLineChars="0"/>
              <w:jc w:val="center"/>
              <w:rPr>
                <w:sz w:val="18"/>
                <w:szCs w:val="18"/>
              </w:rPr>
            </w:pPr>
            <w:r>
              <w:rPr>
                <w:sz w:val="18"/>
                <w:szCs w:val="18"/>
              </w:rPr>
              <w:t>1200</w:t>
            </w:r>
          </w:p>
        </w:tc>
        <w:tc>
          <w:tcPr>
            <w:tcW w:w="621" w:type="dxa"/>
            <w:vMerge w:val="restart"/>
            <w:vAlign w:val="center"/>
          </w:tcPr>
          <w:p>
            <w:pPr>
              <w:snapToGrid w:val="0"/>
              <w:spacing w:line="240" w:lineRule="atLeast"/>
              <w:ind w:firstLine="0" w:firstLineChars="0"/>
              <w:jc w:val="center"/>
              <w:rPr>
                <w:sz w:val="18"/>
                <w:szCs w:val="18"/>
              </w:rPr>
            </w:pPr>
            <w:r>
              <w:rPr>
                <w:sz w:val="18"/>
                <w:szCs w:val="18"/>
              </w:rPr>
              <w:t>155</w:t>
            </w:r>
          </w:p>
        </w:tc>
        <w:tc>
          <w:tcPr>
            <w:tcW w:w="1810" w:type="dxa"/>
            <w:gridSpan w:val="2"/>
            <w:vMerge w:val="restart"/>
            <w:vAlign w:val="center"/>
          </w:tcPr>
          <w:p>
            <w:pPr>
              <w:spacing w:line="240" w:lineRule="atLeast"/>
              <w:ind w:firstLine="0" w:firstLineChars="0"/>
              <w:rPr>
                <w:sz w:val="18"/>
                <w:szCs w:val="18"/>
              </w:rPr>
            </w:pPr>
            <w:r>
              <w:rPr>
                <w:sz w:val="18"/>
                <w:szCs w:val="18"/>
              </w:rPr>
              <w:t>SNCR脱硝+急冷塔+干式反应器+袋式除尘+二级湿法脱酸系统+湿式电除雾器</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SO</w:t>
            </w:r>
            <w:r>
              <w:rPr>
                <w:rFonts w:cs="Times New Roman"/>
                <w:sz w:val="18"/>
                <w:szCs w:val="18"/>
                <w:vertAlign w:val="subscript"/>
              </w:rPr>
              <w:t>2</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1000</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1000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8.9734</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11.088</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2.1146 </w:t>
            </w:r>
          </w:p>
        </w:tc>
        <w:tc>
          <w:tcPr>
            <w:tcW w:w="557" w:type="dxa"/>
            <w:gridSpan w:val="2"/>
            <w:vMerge w:val="continue"/>
            <w:vAlign w:val="center"/>
          </w:tcPr>
          <w:p>
            <w:pPr>
              <w:spacing w:line="240" w:lineRule="atLeast"/>
              <w:ind w:firstLine="0" w:firstLineChars="0"/>
              <w:jc w:val="center"/>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NO</w:t>
            </w:r>
            <w:r>
              <w:rPr>
                <w:rFonts w:cs="Times New Roman"/>
                <w:sz w:val="18"/>
                <w:szCs w:val="18"/>
                <w:vertAlign w:val="subscript"/>
              </w:rPr>
              <w:t>X</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400</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400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21.5361</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26.6112</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5.0751 </w:t>
            </w:r>
          </w:p>
        </w:tc>
        <w:tc>
          <w:tcPr>
            <w:tcW w:w="557" w:type="dxa"/>
            <w:gridSpan w:val="2"/>
            <w:vMerge w:val="continue"/>
            <w:vAlign w:val="center"/>
          </w:tcPr>
          <w:p>
            <w:pPr>
              <w:spacing w:line="240" w:lineRule="atLeast"/>
              <w:ind w:firstLine="0" w:firstLineChars="0"/>
              <w:jc w:val="center"/>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HCl</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1500</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1500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2.692</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3.3264</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0.6344 </w:t>
            </w:r>
          </w:p>
        </w:tc>
        <w:tc>
          <w:tcPr>
            <w:tcW w:w="557" w:type="dxa"/>
            <w:gridSpan w:val="2"/>
            <w:vMerge w:val="continue"/>
            <w:vAlign w:val="center"/>
          </w:tcPr>
          <w:p>
            <w:pPr>
              <w:spacing w:line="240" w:lineRule="atLeast"/>
              <w:ind w:firstLine="0" w:firstLineChars="0"/>
              <w:jc w:val="center"/>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HF</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200</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200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0.5384</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0.6653</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0.1269 </w:t>
            </w:r>
          </w:p>
        </w:tc>
        <w:tc>
          <w:tcPr>
            <w:tcW w:w="557" w:type="dxa"/>
            <w:gridSpan w:val="2"/>
            <w:vMerge w:val="continue"/>
            <w:vAlign w:val="center"/>
          </w:tcPr>
          <w:p>
            <w:pPr>
              <w:spacing w:line="240" w:lineRule="atLeast"/>
              <w:ind w:firstLine="0" w:firstLineChars="0"/>
              <w:jc w:val="center"/>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CO</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50</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50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4.4867</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5.544</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1.0573 </w:t>
            </w:r>
          </w:p>
        </w:tc>
        <w:tc>
          <w:tcPr>
            <w:tcW w:w="557" w:type="dxa"/>
            <w:gridSpan w:val="2"/>
            <w:vMerge w:val="continue"/>
            <w:vAlign w:val="center"/>
          </w:tcPr>
          <w:p>
            <w:pPr>
              <w:spacing w:line="240" w:lineRule="atLeast"/>
              <w:ind w:firstLine="0" w:firstLineChars="0"/>
              <w:jc w:val="center"/>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汞及其化合物(以Hg计)</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0.5</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0.5</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0.0045</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0.0055</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0.0010 </w:t>
            </w:r>
          </w:p>
        </w:tc>
        <w:tc>
          <w:tcPr>
            <w:tcW w:w="557" w:type="dxa"/>
            <w:gridSpan w:val="2"/>
            <w:vMerge w:val="continue"/>
            <w:vAlign w:val="center"/>
          </w:tcPr>
          <w:p>
            <w:pPr>
              <w:spacing w:line="240" w:lineRule="atLeast"/>
              <w:ind w:firstLine="0" w:firstLineChars="0"/>
              <w:jc w:val="center"/>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镉及其化合物(以Cd计)</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0.4</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0.4</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0.0036</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0.0044</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0.0008 </w:t>
            </w:r>
          </w:p>
        </w:tc>
        <w:tc>
          <w:tcPr>
            <w:tcW w:w="557" w:type="dxa"/>
            <w:gridSpan w:val="2"/>
            <w:vMerge w:val="continue"/>
            <w:vAlign w:val="center"/>
          </w:tcPr>
          <w:p>
            <w:pPr>
              <w:pStyle w:val="195"/>
              <w:spacing w:line="240" w:lineRule="atLeast"/>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砷、镍及其化合物</w:t>
            </w:r>
          </w:p>
          <w:p>
            <w:pPr>
              <w:spacing w:line="240" w:lineRule="atLeast"/>
              <w:ind w:firstLine="0" w:firstLineChars="0"/>
              <w:jc w:val="center"/>
              <w:rPr>
                <w:rFonts w:cs="Times New Roman"/>
                <w:sz w:val="18"/>
                <w:szCs w:val="18"/>
              </w:rPr>
            </w:pPr>
            <w:r>
              <w:rPr>
                <w:rFonts w:cs="Times New Roman"/>
                <w:sz w:val="18"/>
                <w:szCs w:val="18"/>
              </w:rPr>
              <w:t>(以As+Ni计)</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4.0</w:t>
            </w:r>
          </w:p>
        </w:tc>
        <w:tc>
          <w:tcPr>
            <w:tcW w:w="851" w:type="dxa"/>
            <w:vAlign w:val="center"/>
          </w:tcPr>
          <w:p>
            <w:pPr>
              <w:pStyle w:val="195"/>
              <w:spacing w:line="240" w:lineRule="atLeast"/>
              <w:rPr>
                <w:sz w:val="18"/>
                <w:szCs w:val="18"/>
              </w:rPr>
            </w:pPr>
            <w:r>
              <w:rPr>
                <w:sz w:val="18"/>
                <w:szCs w:val="18"/>
              </w:rPr>
              <w:t>4.0</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0.0359</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0.0444</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 xml:space="preserve">0.0085 </w:t>
            </w:r>
          </w:p>
        </w:tc>
        <w:tc>
          <w:tcPr>
            <w:tcW w:w="557" w:type="dxa"/>
            <w:gridSpan w:val="2"/>
            <w:vMerge w:val="continue"/>
            <w:vAlign w:val="center"/>
          </w:tcPr>
          <w:p>
            <w:pPr>
              <w:pStyle w:val="195"/>
              <w:spacing w:line="240" w:lineRule="atLeast"/>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铅及其化合物(以Pb计)</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5.0</w:t>
            </w:r>
          </w:p>
        </w:tc>
        <w:tc>
          <w:tcPr>
            <w:tcW w:w="851" w:type="dxa"/>
            <w:vAlign w:val="center"/>
          </w:tcPr>
          <w:p>
            <w:pPr>
              <w:pStyle w:val="195"/>
              <w:spacing w:line="240" w:lineRule="atLeast"/>
              <w:rPr>
                <w:sz w:val="18"/>
                <w:szCs w:val="18"/>
              </w:rPr>
            </w:pPr>
            <w:r>
              <w:rPr>
                <w:sz w:val="18"/>
                <w:szCs w:val="18"/>
              </w:rPr>
              <w:t>5.0</w:t>
            </w:r>
          </w:p>
        </w:tc>
        <w:tc>
          <w:tcPr>
            <w:tcW w:w="992" w:type="dxa"/>
            <w:vAlign w:val="center"/>
          </w:tcPr>
          <w:p>
            <w:pPr>
              <w:spacing w:line="240" w:lineRule="atLeast"/>
              <w:ind w:firstLine="0" w:firstLineChars="0"/>
              <w:jc w:val="center"/>
              <w:rPr>
                <w:rFonts w:cs="Times New Roman"/>
                <w:color w:val="000000"/>
                <w:sz w:val="18"/>
                <w:szCs w:val="18"/>
              </w:rPr>
            </w:pPr>
            <w:r>
              <w:rPr>
                <w:rFonts w:hint="eastAsia" w:cs="Times New Roman"/>
                <w:color w:val="000000"/>
                <w:sz w:val="18"/>
                <w:szCs w:val="18"/>
              </w:rPr>
              <w:t>0.0449</w:t>
            </w:r>
          </w:p>
        </w:tc>
        <w:tc>
          <w:tcPr>
            <w:tcW w:w="901" w:type="dxa"/>
            <w:vAlign w:val="center"/>
          </w:tcPr>
          <w:p>
            <w:pPr>
              <w:spacing w:line="240" w:lineRule="atLeast"/>
              <w:ind w:firstLine="0" w:firstLineChars="0"/>
              <w:jc w:val="center"/>
              <w:rPr>
                <w:rFonts w:cs="Times New Roman"/>
                <w:color w:val="000000"/>
                <w:sz w:val="18"/>
                <w:szCs w:val="18"/>
              </w:rPr>
            </w:pPr>
            <w:r>
              <w:rPr>
                <w:rFonts w:hint="eastAsia" w:cs="Times New Roman"/>
                <w:color w:val="000000"/>
                <w:sz w:val="18"/>
                <w:szCs w:val="18"/>
              </w:rPr>
              <w:t>0.0554</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0.0</w:t>
            </w:r>
            <w:r>
              <w:rPr>
                <w:rFonts w:hint="eastAsia" w:cs="Times New Roman"/>
                <w:color w:val="000000"/>
                <w:sz w:val="18"/>
                <w:szCs w:val="18"/>
              </w:rPr>
              <w:t>105</w:t>
            </w:r>
          </w:p>
        </w:tc>
        <w:tc>
          <w:tcPr>
            <w:tcW w:w="557" w:type="dxa"/>
            <w:gridSpan w:val="2"/>
            <w:vMerge w:val="continue"/>
            <w:vAlign w:val="center"/>
          </w:tcPr>
          <w:p>
            <w:pPr>
              <w:pStyle w:val="195"/>
              <w:spacing w:line="240" w:lineRule="atLeast"/>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铬、锡、锑、铜、锰及其化合物</w:t>
            </w:r>
          </w:p>
          <w:p>
            <w:pPr>
              <w:spacing w:line="240" w:lineRule="atLeast"/>
              <w:ind w:firstLine="0" w:firstLineChars="0"/>
              <w:jc w:val="center"/>
              <w:rPr>
                <w:rFonts w:cs="Times New Roman"/>
                <w:sz w:val="18"/>
                <w:szCs w:val="18"/>
              </w:rPr>
            </w:pPr>
            <w:r>
              <w:rPr>
                <w:rFonts w:cs="Times New Roman"/>
                <w:sz w:val="18"/>
                <w:szCs w:val="18"/>
              </w:rPr>
              <w:t>(以Cr+Sn+Sb+Cu+Mn计)</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24</w:t>
            </w:r>
          </w:p>
        </w:tc>
        <w:tc>
          <w:tcPr>
            <w:tcW w:w="851" w:type="dxa"/>
            <w:vAlign w:val="center"/>
          </w:tcPr>
          <w:p>
            <w:pPr>
              <w:pStyle w:val="195"/>
              <w:spacing w:line="240" w:lineRule="atLeast"/>
              <w:rPr>
                <w:sz w:val="18"/>
                <w:szCs w:val="18"/>
              </w:rPr>
            </w:pPr>
            <w:r>
              <w:rPr>
                <w:sz w:val="18"/>
                <w:szCs w:val="18"/>
              </w:rPr>
              <w:t>24</w:t>
            </w:r>
          </w:p>
        </w:tc>
        <w:tc>
          <w:tcPr>
            <w:tcW w:w="992"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w:t>
            </w:r>
            <w:r>
              <w:rPr>
                <w:rFonts w:hint="eastAsia" w:cs="Times New Roman"/>
                <w:color w:val="000000"/>
                <w:sz w:val="18"/>
                <w:szCs w:val="18"/>
              </w:rPr>
              <w:t>2154</w:t>
            </w:r>
          </w:p>
        </w:tc>
        <w:tc>
          <w:tcPr>
            <w:tcW w:w="901"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w:t>
            </w:r>
            <w:r>
              <w:rPr>
                <w:rFonts w:hint="eastAsia" w:cs="Times New Roman"/>
                <w:color w:val="000000"/>
                <w:sz w:val="18"/>
                <w:szCs w:val="18"/>
              </w:rPr>
              <w:t>2693</w:t>
            </w:r>
          </w:p>
        </w:tc>
        <w:tc>
          <w:tcPr>
            <w:tcW w:w="780" w:type="dxa"/>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0.0</w:t>
            </w:r>
            <w:r>
              <w:rPr>
                <w:rFonts w:hint="eastAsia" w:cs="Times New Roman"/>
                <w:color w:val="000000"/>
                <w:sz w:val="18"/>
                <w:szCs w:val="18"/>
              </w:rPr>
              <w:t>539</w:t>
            </w:r>
          </w:p>
        </w:tc>
        <w:tc>
          <w:tcPr>
            <w:tcW w:w="557" w:type="dxa"/>
            <w:gridSpan w:val="2"/>
            <w:vMerge w:val="continue"/>
            <w:vAlign w:val="center"/>
          </w:tcPr>
          <w:p>
            <w:pPr>
              <w:pStyle w:val="195"/>
              <w:spacing w:line="240" w:lineRule="atLeast"/>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Merge w:val="continue"/>
            <w:vAlign w:val="center"/>
          </w:tcPr>
          <w:p>
            <w:pPr>
              <w:spacing w:line="240" w:lineRule="atLeast"/>
              <w:ind w:firstLine="0" w:firstLineChars="0"/>
              <w:jc w:val="center"/>
              <w:rPr>
                <w:sz w:val="18"/>
                <w:szCs w:val="18"/>
              </w:rPr>
            </w:pPr>
          </w:p>
        </w:tc>
        <w:tc>
          <w:tcPr>
            <w:tcW w:w="850" w:type="dxa"/>
            <w:vMerge w:val="continue"/>
            <w:vAlign w:val="center"/>
          </w:tcPr>
          <w:p>
            <w:pPr>
              <w:adjustRightInd w:val="0"/>
              <w:spacing w:line="240" w:lineRule="atLeast"/>
              <w:ind w:firstLine="0" w:firstLineChars="0"/>
              <w:jc w:val="center"/>
              <w:rPr>
                <w:sz w:val="18"/>
                <w:szCs w:val="18"/>
              </w:rPr>
            </w:pPr>
          </w:p>
        </w:tc>
        <w:tc>
          <w:tcPr>
            <w:tcW w:w="851" w:type="dxa"/>
            <w:vMerge w:val="continue"/>
            <w:vAlign w:val="center"/>
          </w:tcPr>
          <w:p>
            <w:pPr>
              <w:adjustRightInd w:val="0"/>
              <w:spacing w:line="240" w:lineRule="atLeast"/>
              <w:ind w:firstLine="0" w:firstLineChars="0"/>
              <w:jc w:val="center"/>
              <w:rPr>
                <w:sz w:val="18"/>
                <w:szCs w:val="18"/>
              </w:rPr>
            </w:pPr>
          </w:p>
        </w:tc>
        <w:tc>
          <w:tcPr>
            <w:tcW w:w="742" w:type="dxa"/>
            <w:vMerge w:val="continue"/>
            <w:vAlign w:val="center"/>
          </w:tcPr>
          <w:p>
            <w:pPr>
              <w:adjustRightInd w:val="0"/>
              <w:spacing w:line="240" w:lineRule="atLeast"/>
              <w:ind w:firstLine="0" w:firstLineChars="0"/>
              <w:jc w:val="center"/>
              <w:rPr>
                <w:sz w:val="18"/>
                <w:szCs w:val="18"/>
              </w:rPr>
            </w:pPr>
          </w:p>
        </w:tc>
        <w:tc>
          <w:tcPr>
            <w:tcW w:w="1384" w:type="dxa"/>
            <w:vAlign w:val="center"/>
          </w:tcPr>
          <w:p>
            <w:pPr>
              <w:spacing w:line="240" w:lineRule="atLeast"/>
              <w:ind w:firstLine="0" w:firstLineChars="0"/>
              <w:jc w:val="center"/>
              <w:rPr>
                <w:rFonts w:cs="Times New Roman"/>
                <w:sz w:val="18"/>
                <w:szCs w:val="18"/>
              </w:rPr>
            </w:pPr>
            <w:r>
              <w:rPr>
                <w:rFonts w:cs="Times New Roman"/>
                <w:sz w:val="18"/>
                <w:szCs w:val="18"/>
              </w:rPr>
              <w:t>二噁英类</w:t>
            </w:r>
          </w:p>
        </w:tc>
        <w:tc>
          <w:tcPr>
            <w:tcW w:w="992" w:type="dxa"/>
            <w:vAlign w:val="center"/>
          </w:tcPr>
          <w:p>
            <w:pPr>
              <w:spacing w:line="240" w:lineRule="atLeast"/>
              <w:ind w:firstLine="0" w:firstLineChars="0"/>
              <w:jc w:val="center"/>
              <w:rPr>
                <w:rFonts w:cs="Times New Roman"/>
                <w:sz w:val="18"/>
                <w:szCs w:val="18"/>
              </w:rPr>
            </w:pPr>
            <w:r>
              <w:rPr>
                <w:rFonts w:cs="Times New Roman"/>
                <w:sz w:val="18"/>
                <w:szCs w:val="18"/>
              </w:rPr>
              <w:t>5ng TEQ/Nm</w:t>
            </w:r>
            <w:r>
              <w:rPr>
                <w:rFonts w:cs="Times New Roman"/>
                <w:sz w:val="18"/>
                <w:szCs w:val="18"/>
                <w:vertAlign w:val="superscript"/>
              </w:rPr>
              <w:t>3</w:t>
            </w:r>
          </w:p>
        </w:tc>
        <w:tc>
          <w:tcPr>
            <w:tcW w:w="851" w:type="dxa"/>
            <w:vAlign w:val="center"/>
          </w:tcPr>
          <w:p>
            <w:pPr>
              <w:spacing w:line="240" w:lineRule="atLeast"/>
              <w:ind w:firstLine="0" w:firstLineChars="0"/>
              <w:jc w:val="center"/>
              <w:rPr>
                <w:rFonts w:cs="Times New Roman"/>
                <w:sz w:val="18"/>
                <w:szCs w:val="18"/>
              </w:rPr>
            </w:pPr>
            <w:r>
              <w:rPr>
                <w:rFonts w:cs="Times New Roman"/>
                <w:sz w:val="18"/>
                <w:szCs w:val="18"/>
              </w:rPr>
              <w:t>5ng TEQ/Nm</w:t>
            </w:r>
            <w:r>
              <w:rPr>
                <w:rFonts w:cs="Times New Roman"/>
                <w:sz w:val="18"/>
                <w:szCs w:val="18"/>
                <w:vertAlign w:val="superscript"/>
              </w:rPr>
              <w:t>3</w:t>
            </w:r>
          </w:p>
        </w:tc>
        <w:tc>
          <w:tcPr>
            <w:tcW w:w="992" w:type="dxa"/>
            <w:vAlign w:val="center"/>
          </w:tcPr>
          <w:p>
            <w:pPr>
              <w:spacing w:line="240" w:lineRule="atLeast"/>
              <w:ind w:firstLine="0" w:firstLineChars="0"/>
              <w:jc w:val="center"/>
              <w:rPr>
                <w:sz w:val="18"/>
                <w:szCs w:val="18"/>
              </w:rPr>
            </w:pPr>
            <w:r>
              <w:rPr>
                <w:sz w:val="18"/>
                <w:szCs w:val="18"/>
              </w:rPr>
              <w:t>0.0</w:t>
            </w:r>
            <w:r>
              <w:rPr>
                <w:rFonts w:hint="eastAsia"/>
                <w:sz w:val="18"/>
                <w:szCs w:val="18"/>
              </w:rPr>
              <w:t>090</w:t>
            </w:r>
          </w:p>
          <w:p>
            <w:pPr>
              <w:spacing w:line="240" w:lineRule="atLeast"/>
              <w:ind w:firstLine="0" w:firstLineChars="0"/>
              <w:jc w:val="center"/>
              <w:rPr>
                <w:sz w:val="18"/>
                <w:szCs w:val="18"/>
              </w:rPr>
            </w:pPr>
            <w:r>
              <w:rPr>
                <w:sz w:val="18"/>
                <w:szCs w:val="18"/>
              </w:rPr>
              <w:t>g/a</w:t>
            </w:r>
          </w:p>
        </w:tc>
        <w:tc>
          <w:tcPr>
            <w:tcW w:w="901" w:type="dxa"/>
            <w:vAlign w:val="center"/>
          </w:tcPr>
          <w:p>
            <w:pPr>
              <w:spacing w:line="240" w:lineRule="atLeast"/>
              <w:ind w:firstLine="0" w:firstLineChars="0"/>
              <w:jc w:val="center"/>
              <w:rPr>
                <w:sz w:val="18"/>
                <w:szCs w:val="18"/>
              </w:rPr>
            </w:pPr>
            <w:r>
              <w:rPr>
                <w:sz w:val="18"/>
                <w:szCs w:val="18"/>
              </w:rPr>
              <w:t>0.0</w:t>
            </w:r>
            <w:r>
              <w:rPr>
                <w:rFonts w:hint="eastAsia"/>
                <w:sz w:val="18"/>
                <w:szCs w:val="18"/>
              </w:rPr>
              <w:t>111</w:t>
            </w:r>
          </w:p>
          <w:p>
            <w:pPr>
              <w:pStyle w:val="195"/>
              <w:spacing w:line="240" w:lineRule="atLeast"/>
              <w:rPr>
                <w:sz w:val="18"/>
                <w:szCs w:val="18"/>
              </w:rPr>
            </w:pPr>
            <w:r>
              <w:rPr>
                <w:sz w:val="18"/>
                <w:szCs w:val="18"/>
              </w:rPr>
              <w:t>g/a</w:t>
            </w:r>
          </w:p>
        </w:tc>
        <w:tc>
          <w:tcPr>
            <w:tcW w:w="780" w:type="dxa"/>
            <w:vAlign w:val="center"/>
          </w:tcPr>
          <w:p>
            <w:pPr>
              <w:spacing w:line="240" w:lineRule="atLeast"/>
              <w:ind w:firstLine="0" w:firstLineChars="0"/>
              <w:jc w:val="center"/>
              <w:rPr>
                <w:sz w:val="18"/>
                <w:szCs w:val="18"/>
              </w:rPr>
            </w:pPr>
            <w:r>
              <w:rPr>
                <w:sz w:val="18"/>
                <w:szCs w:val="18"/>
              </w:rPr>
              <w:t>0.0</w:t>
            </w:r>
            <w:r>
              <w:rPr>
                <w:rFonts w:hint="eastAsia"/>
                <w:sz w:val="18"/>
                <w:szCs w:val="18"/>
              </w:rPr>
              <w:t>021</w:t>
            </w:r>
          </w:p>
          <w:p>
            <w:pPr>
              <w:pStyle w:val="195"/>
              <w:spacing w:line="240" w:lineRule="atLeast"/>
              <w:rPr>
                <w:sz w:val="18"/>
                <w:szCs w:val="18"/>
              </w:rPr>
            </w:pPr>
            <w:r>
              <w:rPr>
                <w:sz w:val="18"/>
                <w:szCs w:val="18"/>
              </w:rPr>
              <w:t>g/a</w:t>
            </w:r>
          </w:p>
        </w:tc>
        <w:tc>
          <w:tcPr>
            <w:tcW w:w="557" w:type="dxa"/>
            <w:gridSpan w:val="2"/>
            <w:vMerge w:val="continue"/>
            <w:vAlign w:val="center"/>
          </w:tcPr>
          <w:p>
            <w:pPr>
              <w:pStyle w:val="195"/>
              <w:spacing w:line="240" w:lineRule="atLeast"/>
              <w:rPr>
                <w:sz w:val="18"/>
                <w:szCs w:val="18"/>
              </w:rPr>
            </w:pPr>
          </w:p>
        </w:tc>
        <w:tc>
          <w:tcPr>
            <w:tcW w:w="739" w:type="dxa"/>
            <w:vMerge w:val="continue"/>
            <w:vAlign w:val="center"/>
          </w:tcPr>
          <w:p>
            <w:pPr>
              <w:spacing w:line="240" w:lineRule="atLeast"/>
              <w:ind w:firstLine="0" w:firstLineChars="0"/>
              <w:jc w:val="center"/>
              <w:rPr>
                <w:sz w:val="18"/>
                <w:szCs w:val="18"/>
              </w:rPr>
            </w:pPr>
          </w:p>
        </w:tc>
        <w:tc>
          <w:tcPr>
            <w:tcW w:w="507" w:type="dxa"/>
            <w:vMerge w:val="continue"/>
            <w:vAlign w:val="center"/>
          </w:tcPr>
          <w:p>
            <w:pPr>
              <w:spacing w:line="240" w:lineRule="atLeast"/>
              <w:ind w:firstLine="0" w:firstLineChars="0"/>
              <w:jc w:val="center"/>
              <w:rPr>
                <w:sz w:val="18"/>
                <w:szCs w:val="18"/>
              </w:rPr>
            </w:pPr>
          </w:p>
        </w:tc>
        <w:tc>
          <w:tcPr>
            <w:tcW w:w="621" w:type="dxa"/>
            <w:vMerge w:val="continue"/>
            <w:vAlign w:val="center"/>
          </w:tcPr>
          <w:p>
            <w:pPr>
              <w:spacing w:line="240" w:lineRule="atLeast"/>
              <w:ind w:firstLine="0" w:firstLineChars="0"/>
              <w:jc w:val="center"/>
              <w:rPr>
                <w:sz w:val="18"/>
                <w:szCs w:val="18"/>
              </w:rPr>
            </w:pPr>
          </w:p>
        </w:tc>
        <w:tc>
          <w:tcPr>
            <w:tcW w:w="1810" w:type="dxa"/>
            <w:gridSpan w:val="2"/>
            <w:vMerge w:val="continue"/>
            <w:vAlign w:val="center"/>
          </w:tcPr>
          <w:p>
            <w:pPr>
              <w:spacing w:line="240" w:lineRule="atLeast"/>
              <w:ind w:firstLine="0" w:firstLineChars="0"/>
              <w:jc w:val="center"/>
              <w:rPr>
                <w:sz w:val="18"/>
                <w:szCs w:val="18"/>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Align w:val="center"/>
          </w:tcPr>
          <w:p>
            <w:pPr>
              <w:snapToGrid w:val="0"/>
              <w:spacing w:line="240" w:lineRule="atLeast"/>
              <w:ind w:firstLine="0" w:firstLineChars="0"/>
              <w:jc w:val="center"/>
              <w:rPr>
                <w:sz w:val="18"/>
                <w:szCs w:val="18"/>
              </w:rPr>
            </w:pPr>
            <w:r>
              <w:rPr>
                <w:sz w:val="18"/>
                <w:szCs w:val="18"/>
              </w:rPr>
              <w:t>转运及上料系统排气</w:t>
            </w:r>
          </w:p>
        </w:tc>
        <w:tc>
          <w:tcPr>
            <w:tcW w:w="850" w:type="dxa"/>
            <w:vAlign w:val="center"/>
          </w:tcPr>
          <w:p>
            <w:pPr>
              <w:snapToGrid w:val="0"/>
              <w:spacing w:line="240" w:lineRule="atLeast"/>
              <w:ind w:firstLine="0" w:firstLineChars="0"/>
              <w:jc w:val="center"/>
              <w:rPr>
                <w:sz w:val="18"/>
                <w:szCs w:val="18"/>
                <w:lang w:val="pt-BR"/>
              </w:rPr>
            </w:pPr>
            <w:r>
              <w:rPr>
                <w:rFonts w:hint="eastAsia"/>
                <w:sz w:val="18"/>
                <w:szCs w:val="18"/>
                <w:lang w:val="pt-BR"/>
              </w:rPr>
              <w:t>6000</w:t>
            </w:r>
          </w:p>
        </w:tc>
        <w:tc>
          <w:tcPr>
            <w:tcW w:w="851" w:type="dxa"/>
            <w:vAlign w:val="center"/>
          </w:tcPr>
          <w:p>
            <w:pPr>
              <w:snapToGrid w:val="0"/>
              <w:spacing w:line="240" w:lineRule="atLeast"/>
              <w:ind w:firstLine="0" w:firstLineChars="0"/>
              <w:jc w:val="center"/>
              <w:rPr>
                <w:sz w:val="18"/>
                <w:szCs w:val="18"/>
                <w:lang w:val="pt-BR"/>
              </w:rPr>
            </w:pPr>
            <w:r>
              <w:rPr>
                <w:sz w:val="18"/>
                <w:szCs w:val="18"/>
                <w:lang w:val="pt-BR"/>
              </w:rPr>
              <w:t>15000</w:t>
            </w:r>
          </w:p>
        </w:tc>
        <w:tc>
          <w:tcPr>
            <w:tcW w:w="742" w:type="dxa"/>
            <w:vAlign w:val="center"/>
          </w:tcPr>
          <w:p>
            <w:pPr>
              <w:snapToGrid w:val="0"/>
              <w:spacing w:line="240" w:lineRule="atLeast"/>
              <w:ind w:firstLine="0" w:firstLineChars="0"/>
              <w:jc w:val="center"/>
              <w:rPr>
                <w:sz w:val="18"/>
                <w:szCs w:val="18"/>
                <w:lang w:val="pt-BR"/>
              </w:rPr>
            </w:pPr>
            <w:r>
              <w:rPr>
                <w:rFonts w:hint="eastAsia"/>
                <w:sz w:val="18"/>
                <w:szCs w:val="18"/>
                <w:lang w:val="pt-BR"/>
              </w:rPr>
              <w:t>+9000</w:t>
            </w:r>
          </w:p>
        </w:tc>
        <w:tc>
          <w:tcPr>
            <w:tcW w:w="1384" w:type="dxa"/>
            <w:vAlign w:val="center"/>
          </w:tcPr>
          <w:p>
            <w:pPr>
              <w:adjustRightInd w:val="0"/>
              <w:spacing w:line="240" w:lineRule="atLeast"/>
              <w:ind w:firstLine="0" w:firstLineChars="0"/>
              <w:jc w:val="center"/>
              <w:rPr>
                <w:sz w:val="18"/>
                <w:szCs w:val="18"/>
              </w:rPr>
            </w:pPr>
            <w:r>
              <w:rPr>
                <w:sz w:val="18"/>
                <w:szCs w:val="18"/>
              </w:rPr>
              <w:t>粉尘</w:t>
            </w:r>
          </w:p>
        </w:tc>
        <w:tc>
          <w:tcPr>
            <w:tcW w:w="992" w:type="dxa"/>
            <w:vAlign w:val="center"/>
          </w:tcPr>
          <w:p>
            <w:pPr>
              <w:pStyle w:val="195"/>
              <w:spacing w:line="240" w:lineRule="atLeast"/>
              <w:rPr>
                <w:sz w:val="18"/>
                <w:szCs w:val="18"/>
              </w:rPr>
            </w:pPr>
            <w:r>
              <w:rPr>
                <w:rFonts w:hint="eastAsia"/>
                <w:sz w:val="18"/>
                <w:szCs w:val="18"/>
              </w:rPr>
              <w:t>1000</w:t>
            </w:r>
          </w:p>
        </w:tc>
        <w:tc>
          <w:tcPr>
            <w:tcW w:w="851" w:type="dxa"/>
            <w:vAlign w:val="center"/>
          </w:tcPr>
          <w:p>
            <w:pPr>
              <w:pStyle w:val="195"/>
              <w:spacing w:line="240" w:lineRule="atLeast"/>
              <w:rPr>
                <w:sz w:val="18"/>
                <w:szCs w:val="18"/>
              </w:rPr>
            </w:pPr>
            <w:r>
              <w:rPr>
                <w:rFonts w:hint="eastAsia"/>
                <w:sz w:val="18"/>
                <w:szCs w:val="18"/>
              </w:rPr>
              <w:t>1000</w:t>
            </w:r>
          </w:p>
        </w:tc>
        <w:tc>
          <w:tcPr>
            <w:tcW w:w="992" w:type="dxa"/>
            <w:vAlign w:val="center"/>
          </w:tcPr>
          <w:p>
            <w:pPr>
              <w:pStyle w:val="195"/>
              <w:spacing w:line="240" w:lineRule="atLeast"/>
              <w:rPr>
                <w:sz w:val="18"/>
                <w:szCs w:val="18"/>
              </w:rPr>
            </w:pPr>
            <w:r>
              <w:rPr>
                <w:rFonts w:hint="eastAsia"/>
                <w:sz w:val="18"/>
                <w:szCs w:val="18"/>
              </w:rPr>
              <w:t>1.4256</w:t>
            </w:r>
          </w:p>
        </w:tc>
        <w:tc>
          <w:tcPr>
            <w:tcW w:w="901" w:type="dxa"/>
            <w:vAlign w:val="center"/>
          </w:tcPr>
          <w:p>
            <w:pPr>
              <w:pStyle w:val="195"/>
              <w:spacing w:line="240" w:lineRule="atLeast"/>
              <w:rPr>
                <w:sz w:val="18"/>
                <w:szCs w:val="18"/>
              </w:rPr>
            </w:pPr>
            <w:r>
              <w:rPr>
                <w:sz w:val="18"/>
                <w:szCs w:val="18"/>
              </w:rPr>
              <w:t>3.</w:t>
            </w:r>
            <w:r>
              <w:rPr>
                <w:rFonts w:hint="eastAsia"/>
                <w:sz w:val="18"/>
                <w:szCs w:val="18"/>
              </w:rPr>
              <w:t>6072</w:t>
            </w:r>
          </w:p>
        </w:tc>
        <w:tc>
          <w:tcPr>
            <w:tcW w:w="780" w:type="dxa"/>
            <w:vAlign w:val="center"/>
          </w:tcPr>
          <w:p>
            <w:pPr>
              <w:spacing w:line="240" w:lineRule="atLeast"/>
              <w:ind w:firstLine="0" w:firstLineChars="0"/>
              <w:jc w:val="center"/>
              <w:rPr>
                <w:sz w:val="18"/>
                <w:szCs w:val="18"/>
              </w:rPr>
            </w:pPr>
            <w:r>
              <w:rPr>
                <w:rFonts w:hint="eastAsia"/>
                <w:sz w:val="18"/>
                <w:szCs w:val="18"/>
              </w:rPr>
              <w:t>2.1816</w:t>
            </w:r>
          </w:p>
        </w:tc>
        <w:tc>
          <w:tcPr>
            <w:tcW w:w="557" w:type="dxa"/>
            <w:gridSpan w:val="2"/>
            <w:vAlign w:val="center"/>
          </w:tcPr>
          <w:p>
            <w:pPr>
              <w:pStyle w:val="195"/>
              <w:spacing w:line="240" w:lineRule="atLeast"/>
              <w:rPr>
                <w:sz w:val="18"/>
                <w:szCs w:val="18"/>
              </w:rPr>
            </w:pPr>
            <w:r>
              <w:rPr>
                <w:sz w:val="18"/>
                <w:szCs w:val="18"/>
              </w:rPr>
              <w:t>连续</w:t>
            </w:r>
          </w:p>
        </w:tc>
        <w:tc>
          <w:tcPr>
            <w:tcW w:w="739" w:type="dxa"/>
            <w:vAlign w:val="center"/>
          </w:tcPr>
          <w:p>
            <w:pPr>
              <w:spacing w:line="240" w:lineRule="atLeast"/>
              <w:ind w:firstLine="0" w:firstLineChars="0"/>
              <w:jc w:val="center"/>
              <w:rPr>
                <w:sz w:val="18"/>
                <w:szCs w:val="18"/>
              </w:rPr>
            </w:pPr>
            <w:r>
              <w:rPr>
                <w:sz w:val="18"/>
                <w:szCs w:val="18"/>
              </w:rPr>
              <w:t>15</w:t>
            </w:r>
          </w:p>
        </w:tc>
        <w:tc>
          <w:tcPr>
            <w:tcW w:w="507" w:type="dxa"/>
            <w:vAlign w:val="center"/>
          </w:tcPr>
          <w:p>
            <w:pPr>
              <w:spacing w:line="240" w:lineRule="atLeast"/>
              <w:ind w:firstLine="0" w:firstLineChars="0"/>
              <w:jc w:val="center"/>
              <w:rPr>
                <w:sz w:val="18"/>
                <w:szCs w:val="18"/>
              </w:rPr>
            </w:pPr>
            <w:r>
              <w:rPr>
                <w:sz w:val="18"/>
                <w:szCs w:val="18"/>
              </w:rPr>
              <w:t>600</w:t>
            </w:r>
          </w:p>
        </w:tc>
        <w:tc>
          <w:tcPr>
            <w:tcW w:w="621" w:type="dxa"/>
            <w:vAlign w:val="center"/>
          </w:tcPr>
          <w:p>
            <w:pPr>
              <w:spacing w:line="240" w:lineRule="atLeast"/>
              <w:ind w:firstLine="0" w:firstLineChars="0"/>
              <w:jc w:val="center"/>
              <w:rPr>
                <w:sz w:val="18"/>
                <w:szCs w:val="18"/>
              </w:rPr>
            </w:pPr>
            <w:r>
              <w:rPr>
                <w:sz w:val="18"/>
                <w:szCs w:val="18"/>
              </w:rPr>
              <w:t>20</w:t>
            </w:r>
          </w:p>
        </w:tc>
        <w:tc>
          <w:tcPr>
            <w:tcW w:w="1810" w:type="dxa"/>
            <w:gridSpan w:val="2"/>
            <w:vAlign w:val="center"/>
          </w:tcPr>
          <w:p>
            <w:pPr>
              <w:spacing w:line="240" w:lineRule="atLeast"/>
              <w:ind w:firstLine="0" w:firstLineChars="0"/>
              <w:jc w:val="center"/>
              <w:rPr>
                <w:sz w:val="18"/>
                <w:szCs w:val="18"/>
              </w:rPr>
            </w:pPr>
            <w:r>
              <w:rPr>
                <w:sz w:val="18"/>
                <w:szCs w:val="18"/>
              </w:rPr>
              <w:t>布袋除尘</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gridAfter w:val="1"/>
          <w:wAfter w:w="7" w:type="dxa"/>
          <w:trHeight w:val="315" w:hRule="atLeast"/>
          <w:jc w:val="center"/>
        </w:trPr>
        <w:tc>
          <w:tcPr>
            <w:tcW w:w="1418" w:type="dxa"/>
            <w:vAlign w:val="center"/>
          </w:tcPr>
          <w:p>
            <w:pPr>
              <w:snapToGrid w:val="0"/>
              <w:spacing w:line="240" w:lineRule="atLeast"/>
              <w:ind w:firstLine="0" w:firstLineChars="0"/>
              <w:jc w:val="center"/>
              <w:rPr>
                <w:sz w:val="18"/>
                <w:szCs w:val="18"/>
              </w:rPr>
            </w:pPr>
            <w:r>
              <w:rPr>
                <w:rFonts w:cs="Times New Roman"/>
                <w:sz w:val="18"/>
                <w:szCs w:val="18"/>
              </w:rPr>
              <w:t>强制循环蒸发系统排气</w:t>
            </w:r>
          </w:p>
        </w:tc>
        <w:tc>
          <w:tcPr>
            <w:tcW w:w="850" w:type="dxa"/>
            <w:vAlign w:val="center"/>
          </w:tcPr>
          <w:p>
            <w:pPr>
              <w:snapToGrid w:val="0"/>
              <w:spacing w:line="240" w:lineRule="atLeast"/>
              <w:ind w:firstLine="0" w:firstLineChars="0"/>
              <w:jc w:val="center"/>
              <w:rPr>
                <w:sz w:val="18"/>
                <w:szCs w:val="18"/>
                <w:lang w:val="pt-BR"/>
              </w:rPr>
            </w:pPr>
            <w:r>
              <w:rPr>
                <w:sz w:val="18"/>
                <w:szCs w:val="18"/>
                <w:lang w:val="pt-BR"/>
              </w:rPr>
              <w:t>15</w:t>
            </w:r>
          </w:p>
        </w:tc>
        <w:tc>
          <w:tcPr>
            <w:tcW w:w="851" w:type="dxa"/>
            <w:vAlign w:val="center"/>
          </w:tcPr>
          <w:p>
            <w:pPr>
              <w:snapToGrid w:val="0"/>
              <w:spacing w:line="240" w:lineRule="atLeast"/>
              <w:ind w:firstLine="0" w:firstLineChars="0"/>
              <w:jc w:val="center"/>
              <w:rPr>
                <w:sz w:val="18"/>
                <w:szCs w:val="18"/>
                <w:lang w:val="pt-BR"/>
              </w:rPr>
            </w:pPr>
            <w:r>
              <w:rPr>
                <w:rFonts w:hint="eastAsia"/>
                <w:sz w:val="18"/>
                <w:szCs w:val="18"/>
                <w:lang w:val="pt-BR"/>
              </w:rPr>
              <w:t>15</w:t>
            </w:r>
          </w:p>
        </w:tc>
        <w:tc>
          <w:tcPr>
            <w:tcW w:w="742" w:type="dxa"/>
            <w:vAlign w:val="center"/>
          </w:tcPr>
          <w:p>
            <w:pPr>
              <w:snapToGrid w:val="0"/>
              <w:spacing w:line="240" w:lineRule="atLeast"/>
              <w:ind w:firstLine="0" w:firstLineChars="0"/>
              <w:jc w:val="center"/>
              <w:rPr>
                <w:sz w:val="18"/>
                <w:szCs w:val="18"/>
                <w:lang w:val="pt-BR"/>
              </w:rPr>
            </w:pPr>
            <w:r>
              <w:rPr>
                <w:rFonts w:hint="eastAsia"/>
                <w:sz w:val="18"/>
                <w:szCs w:val="18"/>
                <w:lang w:val="pt-BR"/>
              </w:rPr>
              <w:t>0</w:t>
            </w:r>
          </w:p>
        </w:tc>
        <w:tc>
          <w:tcPr>
            <w:tcW w:w="1384" w:type="dxa"/>
            <w:vAlign w:val="center"/>
          </w:tcPr>
          <w:p>
            <w:pPr>
              <w:adjustRightInd w:val="0"/>
              <w:spacing w:line="240" w:lineRule="atLeast"/>
              <w:ind w:firstLine="0" w:firstLineChars="0"/>
              <w:jc w:val="center"/>
              <w:rPr>
                <w:sz w:val="18"/>
                <w:szCs w:val="18"/>
              </w:rPr>
            </w:pPr>
            <w:r>
              <w:rPr>
                <w:sz w:val="18"/>
                <w:szCs w:val="18"/>
              </w:rPr>
              <w:t>臭气</w:t>
            </w:r>
          </w:p>
        </w:tc>
        <w:tc>
          <w:tcPr>
            <w:tcW w:w="992" w:type="dxa"/>
            <w:vAlign w:val="center"/>
          </w:tcPr>
          <w:p>
            <w:pPr>
              <w:pStyle w:val="195"/>
              <w:spacing w:line="240" w:lineRule="atLeast"/>
              <w:rPr>
                <w:sz w:val="18"/>
                <w:szCs w:val="18"/>
              </w:rPr>
            </w:pPr>
            <w:r>
              <w:rPr>
                <w:rFonts w:hint="eastAsia"/>
                <w:sz w:val="18"/>
                <w:szCs w:val="18"/>
              </w:rPr>
              <w:t>5000</w:t>
            </w:r>
          </w:p>
        </w:tc>
        <w:tc>
          <w:tcPr>
            <w:tcW w:w="851" w:type="dxa"/>
            <w:vAlign w:val="center"/>
          </w:tcPr>
          <w:p>
            <w:pPr>
              <w:pStyle w:val="195"/>
              <w:spacing w:line="240" w:lineRule="atLeast"/>
              <w:rPr>
                <w:sz w:val="18"/>
                <w:szCs w:val="18"/>
              </w:rPr>
            </w:pPr>
            <w:r>
              <w:rPr>
                <w:rFonts w:hint="eastAsia"/>
                <w:sz w:val="18"/>
                <w:szCs w:val="18"/>
              </w:rPr>
              <w:t>5000</w:t>
            </w:r>
          </w:p>
        </w:tc>
        <w:tc>
          <w:tcPr>
            <w:tcW w:w="992" w:type="dxa"/>
            <w:vAlign w:val="center"/>
          </w:tcPr>
          <w:p>
            <w:pPr>
              <w:pStyle w:val="195"/>
              <w:spacing w:line="240" w:lineRule="atLeast"/>
              <w:rPr>
                <w:sz w:val="18"/>
                <w:szCs w:val="18"/>
              </w:rPr>
            </w:pPr>
            <w:r>
              <w:rPr>
                <w:sz w:val="18"/>
                <w:szCs w:val="18"/>
              </w:rPr>
              <w:t>-</w:t>
            </w:r>
          </w:p>
        </w:tc>
        <w:tc>
          <w:tcPr>
            <w:tcW w:w="901" w:type="dxa"/>
            <w:vAlign w:val="center"/>
          </w:tcPr>
          <w:p>
            <w:pPr>
              <w:pStyle w:val="195"/>
              <w:spacing w:line="240" w:lineRule="atLeast"/>
              <w:rPr>
                <w:sz w:val="18"/>
                <w:szCs w:val="18"/>
              </w:rPr>
            </w:pPr>
            <w:r>
              <w:rPr>
                <w:sz w:val="18"/>
                <w:szCs w:val="18"/>
              </w:rPr>
              <w:t>-</w:t>
            </w:r>
          </w:p>
        </w:tc>
        <w:tc>
          <w:tcPr>
            <w:tcW w:w="780" w:type="dxa"/>
            <w:vAlign w:val="center"/>
          </w:tcPr>
          <w:p>
            <w:pPr>
              <w:spacing w:line="240" w:lineRule="atLeast"/>
              <w:ind w:firstLine="0" w:firstLineChars="0"/>
              <w:jc w:val="center"/>
              <w:rPr>
                <w:sz w:val="18"/>
                <w:szCs w:val="18"/>
              </w:rPr>
            </w:pPr>
            <w:r>
              <w:rPr>
                <w:sz w:val="18"/>
                <w:szCs w:val="18"/>
              </w:rPr>
              <w:t>-</w:t>
            </w:r>
          </w:p>
        </w:tc>
        <w:tc>
          <w:tcPr>
            <w:tcW w:w="557" w:type="dxa"/>
            <w:gridSpan w:val="2"/>
            <w:vAlign w:val="center"/>
          </w:tcPr>
          <w:p>
            <w:pPr>
              <w:pStyle w:val="195"/>
              <w:spacing w:line="240" w:lineRule="atLeast"/>
              <w:rPr>
                <w:sz w:val="18"/>
                <w:szCs w:val="18"/>
              </w:rPr>
            </w:pPr>
            <w:r>
              <w:rPr>
                <w:sz w:val="18"/>
                <w:szCs w:val="18"/>
              </w:rPr>
              <w:t>连续</w:t>
            </w:r>
          </w:p>
        </w:tc>
        <w:tc>
          <w:tcPr>
            <w:tcW w:w="739" w:type="dxa"/>
            <w:vAlign w:val="center"/>
          </w:tcPr>
          <w:p>
            <w:pPr>
              <w:spacing w:line="240" w:lineRule="atLeast"/>
              <w:ind w:firstLine="0" w:firstLineChars="0"/>
              <w:jc w:val="center"/>
              <w:rPr>
                <w:sz w:val="18"/>
                <w:szCs w:val="18"/>
              </w:rPr>
            </w:pPr>
            <w:r>
              <w:rPr>
                <w:sz w:val="18"/>
                <w:szCs w:val="18"/>
              </w:rPr>
              <w:t>15</w:t>
            </w:r>
          </w:p>
        </w:tc>
        <w:tc>
          <w:tcPr>
            <w:tcW w:w="507" w:type="dxa"/>
            <w:vAlign w:val="center"/>
          </w:tcPr>
          <w:p>
            <w:pPr>
              <w:spacing w:line="240" w:lineRule="atLeast"/>
              <w:ind w:firstLine="0" w:firstLineChars="0"/>
              <w:jc w:val="center"/>
              <w:rPr>
                <w:sz w:val="18"/>
                <w:szCs w:val="18"/>
              </w:rPr>
            </w:pPr>
            <w:r>
              <w:rPr>
                <w:sz w:val="18"/>
                <w:szCs w:val="18"/>
              </w:rPr>
              <w:t>600</w:t>
            </w:r>
          </w:p>
        </w:tc>
        <w:tc>
          <w:tcPr>
            <w:tcW w:w="621" w:type="dxa"/>
            <w:vAlign w:val="center"/>
          </w:tcPr>
          <w:p>
            <w:pPr>
              <w:spacing w:line="240" w:lineRule="atLeast"/>
              <w:ind w:firstLine="0" w:firstLineChars="0"/>
              <w:jc w:val="center"/>
              <w:rPr>
                <w:sz w:val="18"/>
                <w:szCs w:val="18"/>
              </w:rPr>
            </w:pPr>
            <w:r>
              <w:rPr>
                <w:sz w:val="18"/>
                <w:szCs w:val="18"/>
              </w:rPr>
              <w:t>20</w:t>
            </w:r>
          </w:p>
        </w:tc>
        <w:tc>
          <w:tcPr>
            <w:tcW w:w="1810" w:type="dxa"/>
            <w:gridSpan w:val="2"/>
            <w:vAlign w:val="center"/>
          </w:tcPr>
          <w:p>
            <w:pPr>
              <w:spacing w:line="240" w:lineRule="atLeast"/>
              <w:ind w:firstLine="0" w:firstLineChars="0"/>
              <w:rPr>
                <w:sz w:val="18"/>
                <w:szCs w:val="18"/>
              </w:rPr>
            </w:pPr>
            <w:r>
              <w:rPr>
                <w:sz w:val="18"/>
                <w:szCs w:val="18"/>
              </w:rPr>
              <w:t>活性炭纤维有机废气净化器</w:t>
            </w:r>
          </w:p>
        </w:tc>
      </w:tr>
      <w:bookmarkEnd w:id="305"/>
    </w:tbl>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6838" w:h="11906" w:orient="landscape"/>
          <w:pgMar w:top="1134" w:right="1418" w:bottom="1134" w:left="1418" w:header="851" w:footer="850" w:gutter="0"/>
          <w:cols w:space="425" w:num="1"/>
          <w:docGrid w:type="lines" w:linePitch="326" w:charSpace="0"/>
        </w:sectPr>
      </w:pPr>
    </w:p>
    <w:p>
      <w:pPr>
        <w:pStyle w:val="6"/>
      </w:pPr>
      <w:r>
        <w:rPr>
          <w:rFonts w:hint="eastAsia"/>
        </w:rPr>
        <w:t>4.9.1.2无组织源</w:t>
      </w:r>
    </w:p>
    <w:p>
      <w:pPr>
        <w:pStyle w:val="739"/>
        <w:ind w:firstLine="480"/>
      </w:pPr>
      <w:r>
        <w:rPr>
          <w:rFonts w:hint="eastAsia"/>
        </w:rPr>
        <w:t>(1)废物暂存库无组织废气</w:t>
      </w:r>
    </w:p>
    <w:p>
      <w:pPr>
        <w:ind w:firstLine="480"/>
      </w:pPr>
      <w:r>
        <w:rPr>
          <w:rFonts w:hint="eastAsia"/>
        </w:rPr>
        <w:t>危险废物储存仓库应为保持微负压状态，废气经收集处理后排放，综上，在正常情况下，通过采取上述各种措施后，从收集、运输、贮存到焚烧处理整个过程废气的无组织排放极少。根据国内外已建相同规模的危险废物处置设施实际运行资料，考虑到车辆、人员进出车间、仓库可能造成少量恶臭物质以无组织形式向环境空气逸散，主要成分为VOC、</w:t>
      </w:r>
      <w:r>
        <w:t>H</w:t>
      </w:r>
      <w:r>
        <w:rPr>
          <w:vertAlign w:val="subscript"/>
        </w:rPr>
        <w:t>2</w:t>
      </w:r>
      <w:r>
        <w:t>S</w:t>
      </w:r>
      <w:r>
        <w:rPr>
          <w:rFonts w:hint="eastAsia"/>
        </w:rPr>
        <w:t>和</w:t>
      </w:r>
      <w:r>
        <w:t>NH</w:t>
      </w:r>
      <w:r>
        <w:rPr>
          <w:vertAlign w:val="subscript"/>
        </w:rPr>
        <w:t>3</w:t>
      </w:r>
      <w:r>
        <w:rPr>
          <w:rFonts w:hint="eastAsia"/>
        </w:rPr>
        <w:t>，在危废暂存罐区的废酸、废乳化液及废液储罐由于储罐呼吸会产生少量的酸雾及VOC。</w:t>
      </w:r>
    </w:p>
    <w:p>
      <w:pPr>
        <w:pStyle w:val="739"/>
        <w:ind w:firstLine="480"/>
        <w:outlineLvl w:val="0"/>
      </w:pPr>
      <w:bookmarkStart w:id="306" w:name="_Toc13760182"/>
      <w:bookmarkStart w:id="307" w:name="_Toc13582141"/>
      <w:r>
        <w:rPr>
          <w:rFonts w:hint="eastAsia"/>
        </w:rPr>
        <w:t>(2)焚烧车间无组织废气</w:t>
      </w:r>
      <w:bookmarkEnd w:id="306"/>
      <w:bookmarkEnd w:id="307"/>
    </w:p>
    <w:p>
      <w:pPr>
        <w:ind w:firstLine="480"/>
      </w:pPr>
      <w:r>
        <w:rPr>
          <w:rFonts w:hint="eastAsia"/>
        </w:rPr>
        <w:t>通过采取各种措施后，整个生产过程从收集、运输、贮存到焚烧处理整个过程均可有效减少废气的无组织排放。根据国内外已建相同规模的危险废物处置设施实际运行资料，本工段无组织排放源主要为：车辆、人员进出仓库、车间时造成少量恶臭物质以无组织形式向环境空气逸散。</w:t>
      </w:r>
    </w:p>
    <w:p>
      <w:pPr>
        <w:pStyle w:val="739"/>
        <w:ind w:firstLine="480"/>
        <w:outlineLvl w:val="0"/>
      </w:pPr>
      <w:bookmarkStart w:id="308" w:name="_Toc13760183"/>
      <w:bookmarkStart w:id="309" w:name="_Toc13582142"/>
      <w:r>
        <w:rPr>
          <w:rFonts w:hint="eastAsia"/>
        </w:rPr>
        <w:t>(3)固化车间无组织废气</w:t>
      </w:r>
      <w:bookmarkEnd w:id="308"/>
      <w:bookmarkEnd w:id="309"/>
    </w:p>
    <w:p>
      <w:pPr>
        <w:ind w:firstLine="480"/>
      </w:pPr>
      <w:r>
        <w:rPr>
          <w:rFonts w:hint="eastAsia"/>
        </w:rPr>
        <w:t>固废车间在危废暂存转移时会产生少量无组织排放废气，故主要污染物为粉尘。</w:t>
      </w:r>
    </w:p>
    <w:p>
      <w:pPr>
        <w:pStyle w:val="739"/>
        <w:ind w:firstLine="480"/>
        <w:outlineLvl w:val="0"/>
      </w:pPr>
      <w:bookmarkStart w:id="310" w:name="_Toc13582143"/>
      <w:bookmarkStart w:id="311" w:name="_Toc13760184"/>
      <w:r>
        <w:rPr>
          <w:rFonts w:hint="eastAsia"/>
        </w:rPr>
        <w:t>(4)</w:t>
      </w:r>
      <w:bookmarkEnd w:id="310"/>
      <w:bookmarkStart w:id="312" w:name="_Toc13582144"/>
      <w:r>
        <w:rPr>
          <w:rFonts w:hint="eastAsia"/>
        </w:rPr>
        <w:t>污水处理站无组织废气</w:t>
      </w:r>
      <w:bookmarkEnd w:id="311"/>
      <w:bookmarkEnd w:id="312"/>
    </w:p>
    <w:p>
      <w:pPr>
        <w:ind w:firstLine="480"/>
      </w:pPr>
      <w:r>
        <w:rPr>
          <w:rFonts w:hint="eastAsia"/>
        </w:rPr>
        <w:t>本项目污水处理站在水处理过程中可能产生少量恶臭物质逸散，本项目处理的废水主要为清洗废水、化验废水和渗滤液等，根据同类项目类比污水处理站废气源强。</w:t>
      </w:r>
    </w:p>
    <w:p>
      <w:pPr>
        <w:ind w:firstLine="480"/>
      </w:pPr>
      <w:r>
        <w:rPr>
          <w:rFonts w:hint="eastAsia"/>
        </w:rPr>
        <w:t>本</w:t>
      </w:r>
      <w:r>
        <w:t>项目废气</w:t>
      </w:r>
      <w:r>
        <w:rPr>
          <w:rFonts w:hint="eastAsia"/>
        </w:rPr>
        <w:t>无组织源</w:t>
      </w:r>
      <w:r>
        <w:t>产生情况见表</w:t>
      </w:r>
      <w:r>
        <w:rPr>
          <w:rFonts w:hint="eastAsia"/>
        </w:rPr>
        <w:t>4.9—3</w:t>
      </w:r>
      <w:r>
        <w:t>。</w:t>
      </w:r>
    </w:p>
    <w:p>
      <w:pPr>
        <w:ind w:firstLine="480"/>
      </w:pPr>
      <w:r>
        <w:rPr>
          <w:rFonts w:hint="eastAsia"/>
        </w:rPr>
        <w:t>表4.9—3            项目废气无组织源排放情况一览表</w:t>
      </w:r>
    </w:p>
    <w:tbl>
      <w:tblPr>
        <w:tblStyle w:val="88"/>
        <w:tblW w:w="9286"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294"/>
        <w:gridCol w:w="1256"/>
        <w:gridCol w:w="819"/>
        <w:gridCol w:w="819"/>
        <w:gridCol w:w="819"/>
        <w:gridCol w:w="819"/>
        <w:gridCol w:w="819"/>
        <w:gridCol w:w="819"/>
        <w:gridCol w:w="822"/>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trPr>
        <w:tc>
          <w:tcPr>
            <w:tcW w:w="2294" w:type="dxa"/>
            <w:vMerge w:val="restart"/>
            <w:tcBorders>
              <w:top w:val="single" w:color="000000" w:sz="12" w:space="0"/>
              <w:bottom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污染源</w:t>
            </w:r>
            <w:r>
              <w:rPr>
                <w:rFonts w:hAnsi="宋体"/>
                <w:sz w:val="21"/>
              </w:rPr>
              <w:t>名称</w:t>
            </w:r>
          </w:p>
        </w:tc>
        <w:tc>
          <w:tcPr>
            <w:tcW w:w="1256" w:type="dxa"/>
            <w:vMerge w:val="restart"/>
            <w:tcBorders>
              <w:top w:val="single" w:color="000000" w:sz="12" w:space="0"/>
              <w:bottom w:val="dotted" w:color="auto" w:sz="4" w:space="0"/>
            </w:tcBorders>
            <w:vAlign w:val="center"/>
          </w:tcPr>
          <w:p>
            <w:pPr>
              <w:adjustRightInd w:val="0"/>
              <w:snapToGrid w:val="0"/>
              <w:spacing w:line="240" w:lineRule="atLeast"/>
              <w:ind w:firstLine="0" w:firstLineChars="0"/>
              <w:jc w:val="center"/>
              <w:rPr>
                <w:sz w:val="21"/>
              </w:rPr>
            </w:pPr>
            <w:r>
              <w:rPr>
                <w:rFonts w:hint="eastAsia"/>
                <w:sz w:val="21"/>
              </w:rPr>
              <w:t>面积</w:t>
            </w:r>
          </w:p>
          <w:p>
            <w:pPr>
              <w:adjustRightInd w:val="0"/>
              <w:snapToGrid w:val="0"/>
              <w:spacing w:line="240" w:lineRule="atLeast"/>
              <w:ind w:firstLine="0" w:firstLineChars="0"/>
              <w:jc w:val="center"/>
              <w:rPr>
                <w:sz w:val="21"/>
              </w:rPr>
            </w:pPr>
            <w:r>
              <w:rPr>
                <w:rFonts w:hint="eastAsia"/>
                <w:sz w:val="21"/>
              </w:rPr>
              <w:t>(m</w:t>
            </w:r>
            <w:r>
              <w:rPr>
                <w:rFonts w:hint="eastAsia"/>
                <w:sz w:val="21"/>
                <w:vertAlign w:val="superscript"/>
              </w:rPr>
              <w:t>2</w:t>
            </w:r>
            <w:r>
              <w:rPr>
                <w:rFonts w:hint="eastAsia"/>
                <w:sz w:val="21"/>
              </w:rPr>
              <w:t>)</w:t>
            </w:r>
          </w:p>
        </w:tc>
        <w:tc>
          <w:tcPr>
            <w:tcW w:w="5736" w:type="dxa"/>
            <w:gridSpan w:val="7"/>
            <w:tcBorders>
              <w:top w:val="single" w:color="000000" w:sz="12" w:space="0"/>
              <w:bottom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无组织排放量(kg/h)</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0" w:hRule="atLeast"/>
        </w:trPr>
        <w:tc>
          <w:tcPr>
            <w:tcW w:w="2294" w:type="dxa"/>
            <w:vMerge w:val="continue"/>
            <w:tcBorders>
              <w:top w:val="dotted" w:color="auto" w:sz="4" w:space="0"/>
              <w:bottom w:val="single" w:color="000000" w:sz="12" w:space="0"/>
            </w:tcBorders>
            <w:vAlign w:val="center"/>
          </w:tcPr>
          <w:p>
            <w:pPr>
              <w:adjustRightInd w:val="0"/>
              <w:snapToGrid w:val="0"/>
              <w:spacing w:line="240" w:lineRule="atLeast"/>
              <w:ind w:firstLine="0" w:firstLineChars="0"/>
              <w:jc w:val="center"/>
              <w:rPr>
                <w:rFonts w:hAnsi="宋体"/>
                <w:sz w:val="21"/>
              </w:rPr>
            </w:pPr>
          </w:p>
        </w:tc>
        <w:tc>
          <w:tcPr>
            <w:tcW w:w="1256" w:type="dxa"/>
            <w:vMerge w:val="continue"/>
            <w:tcBorders>
              <w:top w:val="dotted" w:color="auto" w:sz="4" w:space="0"/>
              <w:bottom w:val="single" w:color="000000" w:sz="12" w:space="0"/>
            </w:tcBorders>
            <w:vAlign w:val="center"/>
          </w:tcPr>
          <w:p>
            <w:pPr>
              <w:adjustRightInd w:val="0"/>
              <w:snapToGrid w:val="0"/>
              <w:spacing w:line="240" w:lineRule="atLeast"/>
              <w:ind w:firstLine="0" w:firstLineChars="0"/>
              <w:jc w:val="center"/>
              <w:rPr>
                <w:rFonts w:hAnsi="宋体"/>
                <w:sz w:val="21"/>
              </w:rPr>
            </w:pPr>
          </w:p>
        </w:tc>
        <w:tc>
          <w:tcPr>
            <w:tcW w:w="819" w:type="dxa"/>
            <w:tcBorders>
              <w:top w:val="dotted" w:color="auto" w:sz="4" w:space="0"/>
              <w:bottom w:val="single" w:color="000000" w:sz="12"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H</w:t>
            </w:r>
            <w:r>
              <w:rPr>
                <w:rFonts w:hint="eastAsia" w:hAnsi="宋体"/>
                <w:sz w:val="21"/>
                <w:vertAlign w:val="subscript"/>
              </w:rPr>
              <w:t>2</w:t>
            </w:r>
            <w:r>
              <w:rPr>
                <w:rFonts w:hint="eastAsia" w:hAnsi="宋体"/>
                <w:sz w:val="21"/>
              </w:rPr>
              <w:t>S</w:t>
            </w:r>
          </w:p>
        </w:tc>
        <w:tc>
          <w:tcPr>
            <w:tcW w:w="819" w:type="dxa"/>
            <w:tcBorders>
              <w:top w:val="dotted" w:color="auto" w:sz="4" w:space="0"/>
              <w:bottom w:val="single" w:color="000000" w:sz="12"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NH</w:t>
            </w:r>
            <w:r>
              <w:rPr>
                <w:rFonts w:hint="eastAsia" w:hAnsi="宋体"/>
                <w:sz w:val="21"/>
                <w:vertAlign w:val="subscript"/>
              </w:rPr>
              <w:t>3</w:t>
            </w:r>
          </w:p>
        </w:tc>
        <w:tc>
          <w:tcPr>
            <w:tcW w:w="819" w:type="dxa"/>
            <w:tcBorders>
              <w:top w:val="dotted" w:color="auto" w:sz="4" w:space="0"/>
              <w:bottom w:val="single" w:color="000000" w:sz="12"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NO</w:t>
            </w:r>
            <w:r>
              <w:rPr>
                <w:rFonts w:hint="eastAsia" w:hAnsi="宋体"/>
                <w:sz w:val="21"/>
                <w:vertAlign w:val="subscript"/>
              </w:rPr>
              <w:t>X</w:t>
            </w:r>
          </w:p>
        </w:tc>
        <w:tc>
          <w:tcPr>
            <w:tcW w:w="819" w:type="dxa"/>
            <w:tcBorders>
              <w:top w:val="dotted" w:color="auto" w:sz="4" w:space="0"/>
              <w:bottom w:val="single" w:color="000000" w:sz="12"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粉尘</w:t>
            </w:r>
          </w:p>
        </w:tc>
        <w:tc>
          <w:tcPr>
            <w:tcW w:w="819" w:type="dxa"/>
            <w:tcBorders>
              <w:top w:val="dotted" w:color="auto" w:sz="4" w:space="0"/>
              <w:bottom w:val="single" w:color="000000" w:sz="12"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VOC</w:t>
            </w:r>
          </w:p>
        </w:tc>
        <w:tc>
          <w:tcPr>
            <w:tcW w:w="819" w:type="dxa"/>
            <w:tcBorders>
              <w:top w:val="dotted" w:color="auto" w:sz="4" w:space="0"/>
              <w:bottom w:val="single" w:color="000000" w:sz="12"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CO</w:t>
            </w:r>
          </w:p>
        </w:tc>
        <w:tc>
          <w:tcPr>
            <w:tcW w:w="822" w:type="dxa"/>
            <w:tcBorders>
              <w:top w:val="dotted" w:color="auto" w:sz="4" w:space="0"/>
              <w:bottom w:val="single" w:color="000000" w:sz="12"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酸雾</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5" w:hRule="atLeast"/>
        </w:trPr>
        <w:tc>
          <w:tcPr>
            <w:tcW w:w="2294" w:type="dxa"/>
            <w:tcBorders>
              <w:top w:val="single" w:color="000000" w:sz="12" w:space="0"/>
            </w:tcBorders>
            <w:vAlign w:val="center"/>
          </w:tcPr>
          <w:p>
            <w:pPr>
              <w:adjustRightInd w:val="0"/>
              <w:snapToGrid w:val="0"/>
              <w:spacing w:line="240" w:lineRule="atLeast"/>
              <w:ind w:firstLine="0" w:firstLineChars="0"/>
              <w:jc w:val="center"/>
              <w:rPr>
                <w:sz w:val="21"/>
              </w:rPr>
            </w:pPr>
            <w:r>
              <w:rPr>
                <w:rFonts w:hint="eastAsia"/>
                <w:sz w:val="21"/>
              </w:rPr>
              <w:t>危废暂存库</w:t>
            </w:r>
          </w:p>
        </w:tc>
        <w:tc>
          <w:tcPr>
            <w:tcW w:w="1256" w:type="dxa"/>
            <w:tcBorders>
              <w:top w:val="single" w:color="000000" w:sz="12" w:space="0"/>
            </w:tcBorders>
            <w:vAlign w:val="center"/>
          </w:tcPr>
          <w:p>
            <w:pPr>
              <w:adjustRightInd w:val="0"/>
              <w:snapToGrid w:val="0"/>
              <w:spacing w:line="240" w:lineRule="atLeast"/>
              <w:ind w:firstLine="0" w:firstLineChars="0"/>
              <w:jc w:val="center"/>
              <w:rPr>
                <w:sz w:val="21"/>
              </w:rPr>
            </w:pPr>
            <w:r>
              <w:rPr>
                <w:rFonts w:hint="eastAsia"/>
                <w:sz w:val="21"/>
              </w:rPr>
              <w:t>4730.81</w:t>
            </w:r>
          </w:p>
        </w:tc>
        <w:tc>
          <w:tcPr>
            <w:tcW w:w="819" w:type="dxa"/>
            <w:tcBorders>
              <w:top w:val="single" w:color="000000" w:sz="12" w:space="0"/>
            </w:tcBorders>
            <w:vAlign w:val="center"/>
          </w:tcPr>
          <w:p>
            <w:pPr>
              <w:adjustRightInd w:val="0"/>
              <w:snapToGrid w:val="0"/>
              <w:spacing w:line="240" w:lineRule="atLeast"/>
              <w:ind w:firstLine="0" w:firstLineChars="0"/>
              <w:jc w:val="center"/>
              <w:rPr>
                <w:sz w:val="21"/>
              </w:rPr>
            </w:pPr>
            <w:r>
              <w:rPr>
                <w:rFonts w:hint="eastAsia"/>
                <w:sz w:val="21"/>
              </w:rPr>
              <w:t>0.0135</w:t>
            </w:r>
          </w:p>
        </w:tc>
        <w:tc>
          <w:tcPr>
            <w:tcW w:w="819" w:type="dxa"/>
            <w:tcBorders>
              <w:top w:val="single" w:color="000000" w:sz="12" w:space="0"/>
            </w:tcBorders>
            <w:vAlign w:val="center"/>
          </w:tcPr>
          <w:p>
            <w:pPr>
              <w:adjustRightInd w:val="0"/>
              <w:snapToGrid w:val="0"/>
              <w:spacing w:line="240" w:lineRule="atLeast"/>
              <w:ind w:firstLine="0" w:firstLineChars="0"/>
              <w:jc w:val="center"/>
              <w:rPr>
                <w:sz w:val="21"/>
              </w:rPr>
            </w:pPr>
            <w:r>
              <w:rPr>
                <w:rFonts w:hint="eastAsia"/>
                <w:sz w:val="21"/>
              </w:rPr>
              <w:t>0.0297</w:t>
            </w:r>
          </w:p>
        </w:tc>
        <w:tc>
          <w:tcPr>
            <w:tcW w:w="819" w:type="dxa"/>
            <w:tcBorders>
              <w:top w:val="single" w:color="000000" w:sz="12"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19" w:type="dxa"/>
            <w:tcBorders>
              <w:top w:val="single" w:color="000000" w:sz="12"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19" w:type="dxa"/>
            <w:tcBorders>
              <w:top w:val="single" w:color="000000" w:sz="12" w:space="0"/>
            </w:tcBorders>
            <w:vAlign w:val="center"/>
          </w:tcPr>
          <w:p>
            <w:pPr>
              <w:adjustRightInd w:val="0"/>
              <w:snapToGrid w:val="0"/>
              <w:spacing w:line="240" w:lineRule="atLeast"/>
              <w:ind w:firstLine="0" w:firstLineChars="0"/>
              <w:jc w:val="center"/>
              <w:rPr>
                <w:sz w:val="21"/>
              </w:rPr>
            </w:pPr>
            <w:r>
              <w:rPr>
                <w:rFonts w:hint="eastAsia"/>
                <w:sz w:val="21"/>
              </w:rPr>
              <w:t>3.33</w:t>
            </w:r>
          </w:p>
        </w:tc>
        <w:tc>
          <w:tcPr>
            <w:tcW w:w="819" w:type="dxa"/>
            <w:tcBorders>
              <w:top w:val="single" w:color="000000" w:sz="12"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22" w:type="dxa"/>
            <w:tcBorders>
              <w:top w:val="single" w:color="000000" w:sz="12" w:space="0"/>
            </w:tcBorders>
            <w:vAlign w:val="center"/>
          </w:tcPr>
          <w:p>
            <w:pPr>
              <w:adjustRightInd w:val="0"/>
              <w:snapToGrid w:val="0"/>
              <w:spacing w:line="240" w:lineRule="atLeast"/>
              <w:ind w:firstLine="0" w:firstLineChars="0"/>
              <w:jc w:val="center"/>
              <w:rPr>
                <w:sz w:val="21"/>
              </w:rPr>
            </w:pPr>
            <w:r>
              <w:rPr>
                <w:rFonts w:hint="eastAsia"/>
                <w:sz w:val="21"/>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5" w:hRule="atLeast"/>
        </w:trPr>
        <w:tc>
          <w:tcPr>
            <w:tcW w:w="2294" w:type="dxa"/>
            <w:vAlign w:val="center"/>
          </w:tcPr>
          <w:p>
            <w:pPr>
              <w:adjustRightInd w:val="0"/>
              <w:snapToGrid w:val="0"/>
              <w:spacing w:line="240" w:lineRule="atLeast"/>
              <w:ind w:firstLine="0" w:firstLineChars="0"/>
              <w:jc w:val="center"/>
              <w:rPr>
                <w:sz w:val="21"/>
              </w:rPr>
            </w:pPr>
            <w:r>
              <w:rPr>
                <w:rFonts w:hint="eastAsia"/>
                <w:sz w:val="21"/>
              </w:rPr>
              <w:t>危废暂存罐区</w:t>
            </w:r>
          </w:p>
        </w:tc>
        <w:tc>
          <w:tcPr>
            <w:tcW w:w="1256" w:type="dxa"/>
            <w:vAlign w:val="center"/>
          </w:tcPr>
          <w:p>
            <w:pPr>
              <w:adjustRightInd w:val="0"/>
              <w:snapToGrid w:val="0"/>
              <w:spacing w:line="240" w:lineRule="atLeast"/>
              <w:ind w:firstLine="0" w:firstLineChars="0"/>
              <w:jc w:val="center"/>
              <w:rPr>
                <w:sz w:val="21"/>
              </w:rPr>
            </w:pPr>
            <w:r>
              <w:rPr>
                <w:rFonts w:hint="eastAsia"/>
                <w:sz w:val="21"/>
              </w:rPr>
              <w:t>1689</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0.30</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22" w:type="dxa"/>
            <w:vAlign w:val="center"/>
          </w:tcPr>
          <w:p>
            <w:pPr>
              <w:adjustRightInd w:val="0"/>
              <w:snapToGrid w:val="0"/>
              <w:spacing w:line="240" w:lineRule="atLeast"/>
              <w:ind w:firstLine="0" w:firstLineChars="0"/>
              <w:jc w:val="center"/>
              <w:rPr>
                <w:sz w:val="21"/>
              </w:rPr>
            </w:pPr>
            <w:r>
              <w:rPr>
                <w:rFonts w:hint="eastAsia"/>
                <w:sz w:val="21"/>
              </w:rPr>
              <w:t>0.09</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9" w:hRule="atLeast"/>
        </w:trPr>
        <w:tc>
          <w:tcPr>
            <w:tcW w:w="2294" w:type="dxa"/>
            <w:vAlign w:val="center"/>
          </w:tcPr>
          <w:p>
            <w:pPr>
              <w:adjustRightInd w:val="0"/>
              <w:snapToGrid w:val="0"/>
              <w:spacing w:line="240" w:lineRule="atLeast"/>
              <w:ind w:firstLine="0" w:firstLineChars="0"/>
              <w:jc w:val="center"/>
              <w:rPr>
                <w:sz w:val="21"/>
              </w:rPr>
            </w:pPr>
            <w:r>
              <w:rPr>
                <w:rFonts w:hint="eastAsia"/>
                <w:sz w:val="21"/>
              </w:rPr>
              <w:t>焚烧车间</w:t>
            </w:r>
          </w:p>
        </w:tc>
        <w:tc>
          <w:tcPr>
            <w:tcW w:w="1256" w:type="dxa"/>
            <w:vAlign w:val="center"/>
          </w:tcPr>
          <w:p>
            <w:pPr>
              <w:adjustRightInd w:val="0"/>
              <w:snapToGrid w:val="0"/>
              <w:spacing w:line="240" w:lineRule="atLeast"/>
              <w:ind w:firstLine="0" w:firstLineChars="0"/>
              <w:jc w:val="center"/>
              <w:rPr>
                <w:sz w:val="21"/>
              </w:rPr>
            </w:pPr>
            <w:r>
              <w:rPr>
                <w:rFonts w:hint="eastAsia"/>
                <w:sz w:val="21"/>
              </w:rPr>
              <w:t>5922</w:t>
            </w:r>
          </w:p>
        </w:tc>
        <w:tc>
          <w:tcPr>
            <w:tcW w:w="819" w:type="dxa"/>
            <w:vAlign w:val="center"/>
          </w:tcPr>
          <w:p>
            <w:pPr>
              <w:adjustRightInd w:val="0"/>
              <w:snapToGrid w:val="0"/>
              <w:spacing w:line="240" w:lineRule="atLeast"/>
              <w:ind w:firstLine="0" w:firstLineChars="0"/>
              <w:jc w:val="center"/>
              <w:rPr>
                <w:sz w:val="21"/>
              </w:rPr>
            </w:pPr>
            <w:r>
              <w:rPr>
                <w:rFonts w:hint="eastAsia"/>
                <w:sz w:val="21"/>
              </w:rPr>
              <w:t>0.018</w:t>
            </w:r>
          </w:p>
        </w:tc>
        <w:tc>
          <w:tcPr>
            <w:tcW w:w="819" w:type="dxa"/>
            <w:vAlign w:val="center"/>
          </w:tcPr>
          <w:p>
            <w:pPr>
              <w:adjustRightInd w:val="0"/>
              <w:snapToGrid w:val="0"/>
              <w:spacing w:line="240" w:lineRule="atLeast"/>
              <w:ind w:firstLine="0" w:firstLineChars="0"/>
              <w:jc w:val="center"/>
              <w:rPr>
                <w:sz w:val="21"/>
              </w:rPr>
            </w:pPr>
            <w:r>
              <w:rPr>
                <w:rFonts w:hint="eastAsia"/>
                <w:sz w:val="21"/>
              </w:rPr>
              <w:t>0.126</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0.22</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22" w:type="dxa"/>
            <w:vAlign w:val="center"/>
          </w:tcPr>
          <w:p>
            <w:pPr>
              <w:adjustRightInd w:val="0"/>
              <w:snapToGrid w:val="0"/>
              <w:spacing w:line="240" w:lineRule="atLeast"/>
              <w:ind w:firstLine="0" w:firstLineChars="0"/>
              <w:jc w:val="center"/>
              <w:rPr>
                <w:sz w:val="21"/>
              </w:rPr>
            </w:pPr>
            <w:r>
              <w:rPr>
                <w:rFonts w:hint="eastAsia"/>
                <w:sz w:val="21"/>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9" w:hRule="atLeast"/>
        </w:trPr>
        <w:tc>
          <w:tcPr>
            <w:tcW w:w="2294" w:type="dxa"/>
            <w:vAlign w:val="center"/>
          </w:tcPr>
          <w:p>
            <w:pPr>
              <w:adjustRightInd w:val="0"/>
              <w:snapToGrid w:val="0"/>
              <w:spacing w:line="240" w:lineRule="atLeast"/>
              <w:ind w:firstLine="0" w:firstLineChars="0"/>
              <w:jc w:val="center"/>
              <w:rPr>
                <w:sz w:val="21"/>
              </w:rPr>
            </w:pPr>
            <w:r>
              <w:rPr>
                <w:rFonts w:hint="eastAsia"/>
                <w:sz w:val="21"/>
              </w:rPr>
              <w:t>固化车间</w:t>
            </w:r>
          </w:p>
        </w:tc>
        <w:tc>
          <w:tcPr>
            <w:tcW w:w="1256" w:type="dxa"/>
            <w:vAlign w:val="center"/>
          </w:tcPr>
          <w:p>
            <w:pPr>
              <w:adjustRightInd w:val="0"/>
              <w:snapToGrid w:val="0"/>
              <w:spacing w:line="240" w:lineRule="atLeast"/>
              <w:ind w:firstLine="0" w:firstLineChars="0"/>
              <w:jc w:val="center"/>
              <w:rPr>
                <w:sz w:val="21"/>
              </w:rPr>
            </w:pPr>
            <w:r>
              <w:rPr>
                <w:rFonts w:hint="eastAsia"/>
                <w:sz w:val="21"/>
              </w:rPr>
              <w:t>2640</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0.23</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22" w:type="dxa"/>
            <w:vAlign w:val="center"/>
          </w:tcPr>
          <w:p>
            <w:pPr>
              <w:adjustRightInd w:val="0"/>
              <w:snapToGrid w:val="0"/>
              <w:spacing w:line="240" w:lineRule="atLeast"/>
              <w:ind w:firstLine="0" w:firstLineChars="0"/>
              <w:jc w:val="center"/>
              <w:rPr>
                <w:sz w:val="21"/>
              </w:rPr>
            </w:pPr>
            <w:r>
              <w:rPr>
                <w:rFonts w:hint="eastAsia"/>
                <w:sz w:val="21"/>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9" w:hRule="atLeast"/>
        </w:trPr>
        <w:tc>
          <w:tcPr>
            <w:tcW w:w="2294" w:type="dxa"/>
            <w:vAlign w:val="center"/>
          </w:tcPr>
          <w:p>
            <w:pPr>
              <w:adjustRightInd w:val="0"/>
              <w:snapToGrid w:val="0"/>
              <w:spacing w:line="240" w:lineRule="atLeast"/>
              <w:ind w:firstLine="0" w:firstLineChars="0"/>
              <w:jc w:val="center"/>
              <w:rPr>
                <w:sz w:val="21"/>
              </w:rPr>
            </w:pPr>
            <w:r>
              <w:rPr>
                <w:rFonts w:hint="eastAsia"/>
                <w:sz w:val="21"/>
              </w:rPr>
              <w:t>厂区污水处理站</w:t>
            </w:r>
          </w:p>
        </w:tc>
        <w:tc>
          <w:tcPr>
            <w:tcW w:w="1256" w:type="dxa"/>
            <w:vAlign w:val="center"/>
          </w:tcPr>
          <w:p>
            <w:pPr>
              <w:adjustRightInd w:val="0"/>
              <w:snapToGrid w:val="0"/>
              <w:spacing w:line="240" w:lineRule="atLeast"/>
              <w:ind w:firstLine="0" w:firstLineChars="0"/>
              <w:jc w:val="center"/>
              <w:rPr>
                <w:sz w:val="21"/>
              </w:rPr>
            </w:pPr>
            <w:r>
              <w:rPr>
                <w:rFonts w:hint="eastAsia"/>
                <w:sz w:val="21"/>
              </w:rPr>
              <w:t>2280</w:t>
            </w:r>
          </w:p>
        </w:tc>
        <w:tc>
          <w:tcPr>
            <w:tcW w:w="819" w:type="dxa"/>
            <w:vAlign w:val="center"/>
          </w:tcPr>
          <w:p>
            <w:pPr>
              <w:adjustRightInd w:val="0"/>
              <w:snapToGrid w:val="0"/>
              <w:spacing w:line="240" w:lineRule="atLeast"/>
              <w:ind w:firstLine="0" w:firstLineChars="0"/>
              <w:jc w:val="center"/>
              <w:rPr>
                <w:sz w:val="21"/>
              </w:rPr>
            </w:pPr>
            <w:r>
              <w:rPr>
                <w:rFonts w:hint="eastAsia"/>
                <w:sz w:val="21"/>
              </w:rPr>
              <w:t>0.0011</w:t>
            </w:r>
          </w:p>
        </w:tc>
        <w:tc>
          <w:tcPr>
            <w:tcW w:w="819" w:type="dxa"/>
            <w:vAlign w:val="center"/>
          </w:tcPr>
          <w:p>
            <w:pPr>
              <w:adjustRightInd w:val="0"/>
              <w:snapToGrid w:val="0"/>
              <w:spacing w:line="240" w:lineRule="atLeast"/>
              <w:ind w:firstLine="0" w:firstLineChars="0"/>
              <w:jc w:val="center"/>
              <w:rPr>
                <w:sz w:val="21"/>
              </w:rPr>
            </w:pPr>
            <w:r>
              <w:rPr>
                <w:rFonts w:hint="eastAsia"/>
                <w:sz w:val="21"/>
              </w:rPr>
              <w:t>0.0083</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19" w:type="dxa"/>
            <w:vAlign w:val="center"/>
          </w:tcPr>
          <w:p>
            <w:pPr>
              <w:adjustRightInd w:val="0"/>
              <w:snapToGrid w:val="0"/>
              <w:spacing w:line="240" w:lineRule="atLeast"/>
              <w:ind w:firstLine="0" w:firstLineChars="0"/>
              <w:jc w:val="center"/>
              <w:rPr>
                <w:sz w:val="21"/>
              </w:rPr>
            </w:pPr>
            <w:r>
              <w:rPr>
                <w:rFonts w:hint="eastAsia"/>
                <w:sz w:val="21"/>
              </w:rPr>
              <w:t>-</w:t>
            </w:r>
          </w:p>
        </w:tc>
        <w:tc>
          <w:tcPr>
            <w:tcW w:w="822" w:type="dxa"/>
            <w:vAlign w:val="center"/>
          </w:tcPr>
          <w:p>
            <w:pPr>
              <w:adjustRightInd w:val="0"/>
              <w:snapToGrid w:val="0"/>
              <w:spacing w:line="240" w:lineRule="atLeast"/>
              <w:ind w:firstLine="0" w:firstLineChars="0"/>
              <w:jc w:val="center"/>
              <w:rPr>
                <w:sz w:val="21"/>
              </w:rPr>
            </w:pPr>
            <w:r>
              <w:rPr>
                <w:rFonts w:hint="eastAsia"/>
                <w:sz w:val="21"/>
              </w:rPr>
              <w:t>-</w:t>
            </w:r>
          </w:p>
        </w:tc>
      </w:tr>
    </w:tbl>
    <w:p>
      <w:pPr>
        <w:ind w:firstLine="480"/>
      </w:pPr>
      <w:bookmarkStart w:id="313" w:name="_Toc503368910"/>
    </w:p>
    <w:p>
      <w:pPr>
        <w:pStyle w:val="5"/>
      </w:pPr>
      <w:bookmarkStart w:id="314" w:name="_Toc13760185"/>
      <w:r>
        <w:rPr>
          <w:rFonts w:hint="eastAsia"/>
        </w:rPr>
        <w:t>4.9.2</w:t>
      </w:r>
      <w:r>
        <w:t>废水</w:t>
      </w:r>
      <w:bookmarkEnd w:id="313"/>
      <w:bookmarkEnd w:id="314"/>
    </w:p>
    <w:p>
      <w:pPr>
        <w:pStyle w:val="178"/>
        <w:ind w:firstLine="480"/>
        <w:jc w:val="both"/>
        <w:rPr>
          <w:rFonts w:ascii="Times New Roman" w:hAnsi="Times New Roman"/>
          <w:szCs w:val="24"/>
        </w:rPr>
      </w:pPr>
      <w:r>
        <w:rPr>
          <w:rFonts w:ascii="Times New Roman" w:hAnsi="Times New Roman"/>
          <w:szCs w:val="24"/>
        </w:rPr>
        <w:t>本项目</w:t>
      </w:r>
      <w:r>
        <w:rPr>
          <w:rFonts w:hint="eastAsia" w:ascii="Times New Roman" w:hAnsi="Times New Roman"/>
          <w:szCs w:val="24"/>
        </w:rPr>
        <w:t>的废水污染源为实行“清污分流”、“雨污分流”的排水体制，全厂废水污染源为生活污水、冲洗废水、化验废水、填埋场渗滤液、生产排水(主要包括物化车间、软化水站、循环水系统和焚烧车间的排水)以及厂区污水处理站排水。</w:t>
      </w:r>
    </w:p>
    <w:p>
      <w:pPr>
        <w:pStyle w:val="178"/>
        <w:ind w:firstLine="480"/>
        <w:jc w:val="both"/>
        <w:rPr>
          <w:rFonts w:ascii="Times New Roman" w:hAnsi="Times New Roman"/>
          <w:szCs w:val="24"/>
        </w:rPr>
      </w:pPr>
      <w:r>
        <w:rPr>
          <w:rFonts w:hint="eastAsia"/>
        </w:rPr>
        <w:t>改扩建后项目全厂污水处理工艺没变化，改扩建后</w:t>
      </w:r>
      <w:r>
        <w:t>物化车间澄清池排水和沉淀池废水经“絮凝沉淀”处理后</w:t>
      </w:r>
      <w:r>
        <w:rPr>
          <w:rFonts w:hint="eastAsia"/>
        </w:rPr>
        <w:t>排水</w:t>
      </w:r>
      <w:r>
        <w:t>，焚烧车间喷淋洗涤塔排水由本车间污水处理模块经“絮凝沉淀”处理后排水、冲洗废水、安全填埋场渗滤液</w:t>
      </w:r>
      <w:r>
        <w:rPr>
          <w:rFonts w:hint="eastAsia"/>
        </w:rPr>
        <w:t>、</w:t>
      </w:r>
      <w:r>
        <w:t>物化车间酸雾吸收塔排水</w:t>
      </w:r>
      <w:r>
        <w:rPr>
          <w:rFonts w:hint="eastAsia"/>
        </w:rPr>
        <w:t>、</w:t>
      </w:r>
      <w:r>
        <w:t>循环水系统排水</w:t>
      </w:r>
      <w:r>
        <w:rPr>
          <w:rFonts w:hint="eastAsia"/>
        </w:rPr>
        <w:t>、</w:t>
      </w:r>
      <w:r>
        <w:t>余热锅炉排水及软化水系统排水</w:t>
      </w:r>
      <w:r>
        <w:rPr>
          <w:rFonts w:hint="eastAsia"/>
        </w:rPr>
        <w:t>、</w:t>
      </w:r>
      <w:r>
        <w:t>污水处理站排浓水</w:t>
      </w:r>
      <w:r>
        <w:rPr>
          <w:rFonts w:hint="eastAsia"/>
        </w:rPr>
        <w:t>送至污水处理站的</w:t>
      </w:r>
      <w:r>
        <w:t>“Fenton+强制循环蒸发”</w:t>
      </w:r>
      <w:r>
        <w:rPr>
          <w:rFonts w:hint="eastAsia"/>
        </w:rPr>
        <w:t>系统</w:t>
      </w:r>
      <w:r>
        <w:t>进行处理，处理后的冷凝液与化验用水以及生活污水送至全厂污水处理站，经“絮凝沉淀+水解酸化+MBR+回用系统”处理后，出水部分回用至固化车间，其余回用至焚烧车间，浓水送至</w:t>
      </w:r>
      <w:r>
        <w:rPr>
          <w:rFonts w:hint="eastAsia"/>
        </w:rPr>
        <w:t>固化</w:t>
      </w:r>
      <w:r>
        <w:t>车间。本项目处理后的废水全部回用于各生产工段，全厂无废水外排。</w:t>
      </w:r>
    </w:p>
    <w:p>
      <w:pPr>
        <w:pStyle w:val="178"/>
        <w:ind w:firstLine="480"/>
        <w:jc w:val="both"/>
        <w:rPr>
          <w:rFonts w:ascii="Times New Roman" w:hAnsi="Times New Roman"/>
        </w:rPr>
      </w:pPr>
      <w:r>
        <w:rPr>
          <w:rFonts w:ascii="Times New Roman" w:hAnsi="Times New Roman"/>
          <w:snapToGrid w:val="0"/>
          <w:szCs w:val="24"/>
        </w:rPr>
        <w:t>本项目</w:t>
      </w:r>
      <w:r>
        <w:rPr>
          <w:rFonts w:hint="eastAsia" w:ascii="Times New Roman" w:hAnsi="Times New Roman"/>
        </w:rPr>
        <w:t>正常生产时产生的废水主要有</w:t>
      </w:r>
      <w:r>
        <w:rPr>
          <w:rFonts w:ascii="Times New Roman" w:hAnsi="Times New Roman"/>
        </w:rPr>
        <w:t>生活污水、</w:t>
      </w:r>
      <w:r>
        <w:rPr>
          <w:rFonts w:ascii="Times New Roman" w:hAnsi="Times New Roman"/>
          <w:szCs w:val="24"/>
        </w:rPr>
        <w:t>冲洗废水</w:t>
      </w:r>
      <w:r>
        <w:rPr>
          <w:rFonts w:ascii="Times New Roman" w:hAnsi="Times New Roman"/>
        </w:rPr>
        <w:t>、</w:t>
      </w:r>
      <w:r>
        <w:rPr>
          <w:rFonts w:ascii="Times New Roman" w:hAnsi="Times New Roman"/>
          <w:szCs w:val="24"/>
        </w:rPr>
        <w:t>化验废水排水、填埋场渗滤液、</w:t>
      </w:r>
      <w:r>
        <w:rPr>
          <w:rFonts w:ascii="Times New Roman" w:hAnsi="Times New Roman"/>
        </w:rPr>
        <w:t>生产污水</w:t>
      </w:r>
      <w:r>
        <w:rPr>
          <w:rFonts w:hint="eastAsia" w:ascii="Times New Roman" w:hAnsi="Times New Roman"/>
        </w:rPr>
        <w:t>和</w:t>
      </w:r>
      <w:r>
        <w:rPr>
          <w:rFonts w:ascii="Times New Roman" w:hAnsi="Times New Roman"/>
        </w:rPr>
        <w:t>厂区污水处理站排水。</w:t>
      </w:r>
    </w:p>
    <w:p>
      <w:pPr>
        <w:ind w:firstLine="480"/>
        <w:outlineLvl w:val="0"/>
      </w:pPr>
      <w:r>
        <w:rPr>
          <w:rFonts w:hint="eastAsia" w:hAnsi="宋体"/>
        </w:rPr>
        <w:t>⑴</w:t>
      </w:r>
      <w:r>
        <w:rPr>
          <w:rFonts w:hint="eastAsia"/>
        </w:rPr>
        <w:t>生活污水排水系统</w:t>
      </w:r>
    </w:p>
    <w:p>
      <w:pPr>
        <w:ind w:firstLine="480"/>
      </w:pPr>
      <w:r>
        <w:rPr>
          <w:rFonts w:hint="eastAsia"/>
        </w:rPr>
        <w:t>本系统主要用于收集各装置区建筑物内卫生间、厕所、浴室、餐厅等设施的生活污水。危废综合处置厂的生活污水收集经装置区内的化粪池预处理后，</w:t>
      </w:r>
      <w:r>
        <w:rPr>
          <w:rFonts w:hint="eastAsia"/>
          <w:szCs w:val="24"/>
        </w:rPr>
        <w:t>送至全厂污水处理站进行处理</w:t>
      </w:r>
      <w:r>
        <w:rPr>
          <w:rFonts w:hint="eastAsia"/>
        </w:rPr>
        <w:t>；安全填埋场产生的生活污水排入厂区设置的防渗化粪池，定期由吸污车进行清理运输至全厂污水处理站进行处理。全厂生活污水产生量为</w:t>
      </w:r>
      <w:r>
        <w:t>9.92m</w:t>
      </w:r>
      <w:r>
        <w:rPr>
          <w:vertAlign w:val="superscript"/>
        </w:rPr>
        <w:t>3</w:t>
      </w:r>
      <w:r>
        <w:t>/d</w:t>
      </w:r>
      <w:r>
        <w:rPr>
          <w:rFonts w:hint="eastAsia"/>
        </w:rPr>
        <w:t>。</w:t>
      </w:r>
    </w:p>
    <w:p>
      <w:pPr>
        <w:ind w:firstLine="480"/>
        <w:outlineLvl w:val="0"/>
      </w:pPr>
      <w:r>
        <w:rPr>
          <w:rFonts w:hint="eastAsia" w:hAnsi="宋体"/>
          <w:szCs w:val="24"/>
        </w:rPr>
        <w:t>⑵</w:t>
      </w:r>
      <w:r>
        <w:rPr>
          <w:rFonts w:hint="eastAsia"/>
          <w:szCs w:val="24"/>
        </w:rPr>
        <w:t>化验废水排水</w:t>
      </w:r>
      <w:r>
        <w:rPr>
          <w:rFonts w:hint="eastAsia"/>
        </w:rPr>
        <w:t>系统</w:t>
      </w:r>
    </w:p>
    <w:p>
      <w:pPr>
        <w:ind w:firstLine="480"/>
      </w:pPr>
      <w:r>
        <w:rPr>
          <w:rFonts w:hint="eastAsia"/>
        </w:rPr>
        <w:t>项目设有分析中心，内设化验室对危险废物的成分、热值、重金属含量以及水质进行分析。由于化验室的特点，造成此部分水量复杂多变，污染物浓度较高，废水中主要污染物为</w:t>
      </w:r>
      <w:r>
        <w:t>COD</w:t>
      </w:r>
      <w:r>
        <w:rPr>
          <w:rFonts w:hint="eastAsia"/>
        </w:rPr>
        <w:t>、重金属、石油类等。实验室有毒的化学品废水为3</w:t>
      </w:r>
      <w:r>
        <w:t>.0m</w:t>
      </w:r>
      <w:r>
        <w:rPr>
          <w:vertAlign w:val="superscript"/>
        </w:rPr>
        <w:t>3</w:t>
      </w:r>
      <w:r>
        <w:t>/d</w:t>
      </w:r>
      <w:r>
        <w:rPr>
          <w:rFonts w:hint="eastAsia"/>
        </w:rPr>
        <w:t>，收集后送至本项目厂区污水处理站进行处理。</w:t>
      </w:r>
    </w:p>
    <w:p>
      <w:pPr>
        <w:ind w:firstLine="480"/>
        <w:outlineLvl w:val="0"/>
      </w:pPr>
      <w:r>
        <w:rPr>
          <w:rFonts w:hint="eastAsia" w:hAnsi="宋体"/>
        </w:rPr>
        <w:t>⑶</w:t>
      </w:r>
      <w:r>
        <w:rPr>
          <w:rFonts w:hint="eastAsia"/>
        </w:rPr>
        <w:t>冲洗废水排水系统</w:t>
      </w:r>
    </w:p>
    <w:p>
      <w:pPr>
        <w:ind w:firstLine="480"/>
      </w:pPr>
      <w:r>
        <w:rPr>
          <w:rFonts w:hint="eastAsia"/>
        </w:rPr>
        <w:t>冲洗废水主要包括地面清洗水、洗车废水和容器冲洗水。由于运输中的抛洒和烟气污染物进入大气候的扩散沉降，厂内道路、场地冲洗排水中含有悬浮物和少量重金属；危险废物运输车辆卸料后必须冲洗才能出场，洗车废水中含有石油类、悬浮物、重金属、有机物等；场内包装桶需要清洗，废水中含有石油类、悬浮物、重金属、有机物等。危废综合处置厂的冲洗废水收集后直接送至全厂污水处理站，安全填埋场产生的冲洗废水排入安全填埋场洗车台处设置的容积为</w:t>
      </w:r>
      <w:r>
        <w:t>100m</w:t>
      </w:r>
      <w:r>
        <w:rPr>
          <w:vertAlign w:val="superscript"/>
        </w:rPr>
        <w:t>3</w:t>
      </w:r>
      <w:r>
        <w:rPr>
          <w:rFonts w:hint="eastAsia"/>
        </w:rPr>
        <w:t>的防渗暂存池，定期由吸污车进行清理运输至全厂污水处理站，先进行</w:t>
      </w:r>
      <w:r>
        <w:t>“Fenton+强制循环蒸发”</w:t>
      </w:r>
      <w:r>
        <w:rPr>
          <w:rFonts w:hint="eastAsia"/>
        </w:rPr>
        <w:t>处理，再</w:t>
      </w:r>
      <w:r>
        <w:t>经“絮凝沉淀+水解酸化+MBR+回用系统”处理</w:t>
      </w:r>
      <w:r>
        <w:rPr>
          <w:rFonts w:hint="eastAsia"/>
        </w:rPr>
        <w:t>。全厂冲洗废水产生量为30.0</w:t>
      </w:r>
      <w:r>
        <w:t>m</w:t>
      </w:r>
      <w:r>
        <w:rPr>
          <w:vertAlign w:val="superscript"/>
        </w:rPr>
        <w:t>3</w:t>
      </w:r>
      <w:r>
        <w:t>/d</w:t>
      </w:r>
      <w:r>
        <w:rPr>
          <w:rFonts w:hint="eastAsia"/>
        </w:rPr>
        <w:t>。</w:t>
      </w:r>
    </w:p>
    <w:p>
      <w:pPr>
        <w:ind w:firstLine="480"/>
        <w:outlineLvl w:val="0"/>
      </w:pPr>
      <w:r>
        <w:rPr>
          <w:rFonts w:hint="eastAsia" w:hAnsi="宋体"/>
          <w:szCs w:val="24"/>
        </w:rPr>
        <w:t>⑷</w:t>
      </w:r>
      <w:r>
        <w:rPr>
          <w:rFonts w:hint="eastAsia"/>
          <w:szCs w:val="24"/>
        </w:rPr>
        <w:t>填埋场渗滤液排水</w:t>
      </w:r>
      <w:r>
        <w:rPr>
          <w:rFonts w:hint="eastAsia"/>
        </w:rPr>
        <w:t>系统</w:t>
      </w:r>
    </w:p>
    <w:p>
      <w:pPr>
        <w:ind w:firstLine="480"/>
      </w:pPr>
      <w:r>
        <w:rPr>
          <w:rFonts w:hint="eastAsia"/>
        </w:rPr>
        <w:t>本项目全厂渗滤液产生量为</w:t>
      </w:r>
      <w:r>
        <w:t>8.6m</w:t>
      </w:r>
      <w:r>
        <w:rPr>
          <w:vertAlign w:val="superscript"/>
        </w:rPr>
        <w:t>3</w:t>
      </w:r>
      <w:r>
        <w:t>/d</w:t>
      </w:r>
      <w:r>
        <w:rPr>
          <w:rFonts w:hint="eastAsia"/>
        </w:rPr>
        <w:t>，该部分废水由罐车送至全厂污水处理站进行处理。先进行</w:t>
      </w:r>
      <w:r>
        <w:t>“Fenton+强制循环蒸发”</w:t>
      </w:r>
      <w:r>
        <w:rPr>
          <w:rFonts w:hint="eastAsia"/>
        </w:rPr>
        <w:t>处理，再</w:t>
      </w:r>
      <w:r>
        <w:t>经“絮凝沉淀+水解酸化+MBR+回用系统”处理</w:t>
      </w:r>
      <w:r>
        <w:rPr>
          <w:rFonts w:hint="eastAsia"/>
        </w:rPr>
        <w:t>。</w:t>
      </w:r>
    </w:p>
    <w:p>
      <w:pPr>
        <w:ind w:firstLine="480"/>
        <w:outlineLvl w:val="0"/>
      </w:pPr>
      <w:r>
        <w:rPr>
          <w:rFonts w:hint="eastAsia" w:hAnsi="宋体"/>
        </w:rPr>
        <w:t>⑸</w:t>
      </w:r>
      <w:r>
        <w:t>生产污水</w:t>
      </w:r>
    </w:p>
    <w:p>
      <w:pPr>
        <w:ind w:firstLine="480"/>
      </w:pPr>
      <w:r>
        <w:rPr>
          <w:rFonts w:hint="eastAsia"/>
        </w:rPr>
        <w:t>生产废水排水系统主要收集物化车间、</w:t>
      </w:r>
      <w:r>
        <w:rPr>
          <w:rFonts w:hint="eastAsia"/>
          <w:szCs w:val="24"/>
        </w:rPr>
        <w:t>软化水站、循环水系统、余热锅炉和焚烧车间的排水。</w:t>
      </w:r>
    </w:p>
    <w:p>
      <w:pPr>
        <w:ind w:firstLine="480"/>
      </w:pPr>
      <w:r>
        <w:rPr>
          <w:rFonts w:hint="eastAsia"/>
        </w:rPr>
        <w:t>物化车间的酸雾吸收塔排水1.89</w:t>
      </w:r>
      <w:r>
        <w:t>m</w:t>
      </w:r>
      <w:r>
        <w:rPr>
          <w:vertAlign w:val="superscript"/>
        </w:rPr>
        <w:t>3</w:t>
      </w:r>
      <w:r>
        <w:t>/d</w:t>
      </w:r>
      <w:r>
        <w:rPr>
          <w:rFonts w:hint="eastAsia"/>
        </w:rPr>
        <w:t>送至污水处理站处理，澄清池排水41.948</w:t>
      </w:r>
      <w:r>
        <w:t>m</w:t>
      </w:r>
      <w:r>
        <w:rPr>
          <w:vertAlign w:val="superscript"/>
        </w:rPr>
        <w:t>3</w:t>
      </w:r>
      <w:r>
        <w:t>/d</w:t>
      </w:r>
      <w:r>
        <w:rPr>
          <w:rFonts w:hint="eastAsia"/>
        </w:rPr>
        <w:t>和沉淀池废水9.702</w:t>
      </w:r>
      <w:r>
        <w:t>m</w:t>
      </w:r>
      <w:r>
        <w:rPr>
          <w:vertAlign w:val="superscript"/>
        </w:rPr>
        <w:t>3</w:t>
      </w:r>
      <w:r>
        <w:t>/d</w:t>
      </w:r>
      <w:r>
        <w:rPr>
          <w:rFonts w:hint="eastAsia"/>
        </w:rPr>
        <w:t>经本车间污水处理模块处理、软化水站排污水3.63</w:t>
      </w:r>
      <w:r>
        <w:t>m</w:t>
      </w:r>
      <w:r>
        <w:rPr>
          <w:vertAlign w:val="superscript"/>
        </w:rPr>
        <w:t>3</w:t>
      </w:r>
      <w:r>
        <w:t>/d</w:t>
      </w:r>
      <w:r>
        <w:rPr>
          <w:rFonts w:hint="eastAsia"/>
        </w:rPr>
        <w:t>、循环水系统排污水12.00</w:t>
      </w:r>
      <w:r>
        <w:t>m</w:t>
      </w:r>
      <w:r>
        <w:rPr>
          <w:vertAlign w:val="superscript"/>
        </w:rPr>
        <w:t>3</w:t>
      </w:r>
      <w:r>
        <w:t>/d</w:t>
      </w:r>
      <w:r>
        <w:rPr>
          <w:rFonts w:hint="eastAsia"/>
        </w:rPr>
        <w:t>、余热锅炉排水11.50</w:t>
      </w:r>
      <w:r>
        <w:t>m</w:t>
      </w:r>
      <w:r>
        <w:rPr>
          <w:vertAlign w:val="superscript"/>
        </w:rPr>
        <w:t>3</w:t>
      </w:r>
      <w:r>
        <w:t>/d</w:t>
      </w:r>
      <w:r>
        <w:rPr>
          <w:rFonts w:hint="eastAsia"/>
        </w:rPr>
        <w:t>、喷淋洗涤塔排水排水29.00</w:t>
      </w:r>
      <w:r>
        <w:t>m</w:t>
      </w:r>
      <w:r>
        <w:rPr>
          <w:vertAlign w:val="superscript"/>
        </w:rPr>
        <w:t>3</w:t>
      </w:r>
      <w:r>
        <w:t>/d</w:t>
      </w:r>
      <w:r>
        <w:rPr>
          <w:rFonts w:hint="eastAsia"/>
        </w:rPr>
        <w:t>送至厂区污水处理站的强制蒸发系统；之后再</w:t>
      </w:r>
      <w:r>
        <w:t>经“絮凝沉淀+水解酸化+MBR+回用系统”处理后</w:t>
      </w:r>
      <w:r>
        <w:rPr>
          <w:rFonts w:hint="eastAsia"/>
        </w:rPr>
        <w:t>回用。</w:t>
      </w:r>
    </w:p>
    <w:p>
      <w:pPr>
        <w:ind w:firstLine="480"/>
        <w:outlineLvl w:val="0"/>
        <w:rPr>
          <w:szCs w:val="24"/>
        </w:rPr>
      </w:pPr>
      <w:r>
        <w:rPr>
          <w:rFonts w:hAnsi="宋体"/>
          <w:szCs w:val="24"/>
        </w:rPr>
        <w:t>⑹</w:t>
      </w:r>
      <w:r>
        <w:rPr>
          <w:szCs w:val="24"/>
        </w:rPr>
        <w:t>厂区污水处理站排水</w:t>
      </w:r>
    </w:p>
    <w:p>
      <w:pPr>
        <w:ind w:firstLine="480"/>
      </w:pPr>
      <w:r>
        <w:rPr>
          <w:rFonts w:hint="eastAsia"/>
        </w:rPr>
        <w:t>厂区污水处理站收集处理强制蒸发系统的浓水、化验废水、冲洗废水、填埋场渗滤液、</w:t>
      </w:r>
      <w:r>
        <w:t>物化车间酸雾吸收塔排水</w:t>
      </w:r>
      <w:r>
        <w:rPr>
          <w:rFonts w:hint="eastAsia"/>
        </w:rPr>
        <w:t>、</w:t>
      </w:r>
      <w:r>
        <w:t>循环水系统排水</w:t>
      </w:r>
      <w:r>
        <w:rPr>
          <w:rFonts w:hint="eastAsia"/>
        </w:rPr>
        <w:t>、</w:t>
      </w:r>
      <w:r>
        <w:t>余热锅炉排水及软化水系统排水以及生活污水</w:t>
      </w:r>
      <w:r>
        <w:rPr>
          <w:rFonts w:hint="eastAsia"/>
        </w:rPr>
        <w:t>共151.19</w:t>
      </w:r>
      <w:r>
        <w:t>m</w:t>
      </w:r>
      <w:r>
        <w:rPr>
          <w:vertAlign w:val="superscript"/>
        </w:rPr>
        <w:t>3</w:t>
      </w:r>
      <w:r>
        <w:t>/d</w:t>
      </w:r>
      <w:r>
        <w:rPr>
          <w:rFonts w:hint="eastAsia"/>
        </w:rPr>
        <w:t>，</w:t>
      </w:r>
      <w:r>
        <w:rPr>
          <w:rFonts w:hint="eastAsia"/>
          <w:szCs w:val="24"/>
        </w:rPr>
        <w:t>处理后的厂区污水处理站出水部分回用至固化车间，部分回用至焚烧车间，排浓水送至固化车间</w:t>
      </w:r>
      <w:r>
        <w:rPr>
          <w:rFonts w:hint="eastAsia"/>
        </w:rPr>
        <w:t>。</w:t>
      </w:r>
    </w:p>
    <w:p>
      <w:pPr>
        <w:ind w:firstLine="480"/>
      </w:pPr>
      <w:r>
        <w:t>本项目废水产排情况见表4.</w:t>
      </w:r>
      <w:r>
        <w:rPr>
          <w:rFonts w:hint="eastAsia"/>
        </w:rPr>
        <w:t>9—4</w:t>
      </w:r>
      <w:r>
        <w:t>。</w:t>
      </w: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sectPr>
          <w:pgSz w:w="11906" w:h="16838"/>
          <w:pgMar w:top="1134" w:right="1418" w:bottom="1134" w:left="1418" w:header="851" w:footer="850" w:gutter="0"/>
          <w:cols w:space="425" w:num="1"/>
          <w:docGrid w:type="lines" w:linePitch="326" w:charSpace="0"/>
        </w:sectPr>
      </w:pPr>
    </w:p>
    <w:p>
      <w:pPr>
        <w:pStyle w:val="161"/>
        <w:ind w:firstLine="480"/>
      </w:pPr>
      <w:r>
        <w:t>表</w:t>
      </w:r>
      <w:r>
        <w:rPr>
          <w:rFonts w:hint="eastAsia"/>
        </w:rPr>
        <w:t>4.9—4                                       项目废水产排情况一览表</w:t>
      </w:r>
    </w:p>
    <w:tbl>
      <w:tblPr>
        <w:tblStyle w:val="88"/>
        <w:tblW w:w="14002"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1053"/>
        <w:gridCol w:w="2769"/>
        <w:gridCol w:w="1081"/>
        <w:gridCol w:w="1263"/>
        <w:gridCol w:w="1476"/>
        <w:gridCol w:w="1084"/>
        <w:gridCol w:w="1635"/>
        <w:gridCol w:w="3641"/>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single" w:color="000000" w:sz="12" w:space="0"/>
              <w:left w:val="nil"/>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编号</w:t>
            </w:r>
          </w:p>
        </w:tc>
        <w:tc>
          <w:tcPr>
            <w:tcW w:w="2769" w:type="dxa"/>
            <w:vMerge w:val="restart"/>
            <w:tcBorders>
              <w:top w:val="single" w:color="000000" w:sz="12"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污染源名称</w:t>
            </w:r>
          </w:p>
        </w:tc>
        <w:tc>
          <w:tcPr>
            <w:tcW w:w="1081" w:type="dxa"/>
            <w:vMerge w:val="restart"/>
            <w:tcBorders>
              <w:top w:val="single" w:color="000000" w:sz="12"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排放量</w:t>
            </w:r>
            <w:r>
              <w:rPr>
                <w:rFonts w:hAnsi="宋体"/>
                <w:sz w:val="21"/>
                <w:szCs w:val="21"/>
              </w:rPr>
              <w:t>(t/d)</w:t>
            </w:r>
          </w:p>
        </w:tc>
        <w:tc>
          <w:tcPr>
            <w:tcW w:w="3823" w:type="dxa"/>
            <w:gridSpan w:val="3"/>
            <w:tcBorders>
              <w:top w:val="single" w:color="000000" w:sz="12"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主要污染物</w:t>
            </w:r>
          </w:p>
        </w:tc>
        <w:tc>
          <w:tcPr>
            <w:tcW w:w="1635" w:type="dxa"/>
            <w:vMerge w:val="restart"/>
            <w:tcBorders>
              <w:top w:val="single" w:color="000000" w:sz="12"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cs="Times New Roman"/>
                <w:sz w:val="21"/>
                <w:szCs w:val="21"/>
              </w:rPr>
            </w:pPr>
            <w:r>
              <w:rPr>
                <w:rFonts w:hint="eastAsia" w:hAnsi="宋体"/>
                <w:sz w:val="21"/>
                <w:szCs w:val="21"/>
              </w:rPr>
              <w:t>排放</w:t>
            </w:r>
          </w:p>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规律</w:t>
            </w:r>
          </w:p>
        </w:tc>
        <w:tc>
          <w:tcPr>
            <w:tcW w:w="3641" w:type="dxa"/>
            <w:vMerge w:val="restart"/>
            <w:tcBorders>
              <w:top w:val="single" w:color="000000" w:sz="12" w:space="0"/>
              <w:left w:val="dotted" w:color="auto" w:sz="4" w:space="0"/>
              <w:bottom w:val="single" w:color="auto" w:sz="12"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治理措施及去向</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名称</w:t>
            </w:r>
          </w:p>
        </w:tc>
        <w:tc>
          <w:tcPr>
            <w:tcW w:w="1476"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排放浓度</w:t>
            </w:r>
            <w:r>
              <w:rPr>
                <w:rFonts w:hAnsi="宋体"/>
                <w:sz w:val="21"/>
                <w:szCs w:val="21"/>
              </w:rPr>
              <w:t>(mg/L)</w:t>
            </w:r>
          </w:p>
        </w:tc>
        <w:tc>
          <w:tcPr>
            <w:tcW w:w="1084"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cs="Times New Roman"/>
                <w:sz w:val="21"/>
                <w:szCs w:val="21"/>
              </w:rPr>
            </w:pPr>
            <w:r>
              <w:rPr>
                <w:rFonts w:hint="eastAsia" w:hAnsi="宋体"/>
                <w:sz w:val="21"/>
                <w:szCs w:val="21"/>
              </w:rPr>
              <w:t>产生量</w:t>
            </w:r>
          </w:p>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(kg/d)</w:t>
            </w:r>
          </w:p>
        </w:tc>
        <w:tc>
          <w:tcPr>
            <w:tcW w:w="1635"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single" w:color="000000" w:sz="12" w:space="0"/>
              <w:left w:val="dotted" w:color="auto" w:sz="4" w:space="0"/>
              <w:bottom w:val="single" w:color="auto" w:sz="12"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W1</w:t>
            </w:r>
          </w:p>
        </w:tc>
        <w:tc>
          <w:tcPr>
            <w:tcW w:w="2769"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冲洗废水</w:t>
            </w:r>
          </w:p>
        </w:tc>
        <w:tc>
          <w:tcPr>
            <w:tcW w:w="1081"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20.00</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COD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400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3.84</w:t>
            </w:r>
          </w:p>
        </w:tc>
        <w:tc>
          <w:tcPr>
            <w:tcW w:w="1635"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BOD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150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1.44</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SS</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200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1.92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氨氮</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15</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0.14</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石油类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6</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0.06</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TP</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0.0048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镍</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0.0048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铜</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0.0048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汞</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0.01</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铅</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0.0048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铬</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0.0048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锌</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0.0048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W2</w:t>
            </w:r>
          </w:p>
        </w:tc>
        <w:tc>
          <w:tcPr>
            <w:tcW w:w="2769"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化验废水</w:t>
            </w:r>
          </w:p>
        </w:tc>
        <w:tc>
          <w:tcPr>
            <w:tcW w:w="1081"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3</w:t>
            </w:r>
            <w:r>
              <w:rPr>
                <w:rFonts w:hAnsi="宋体"/>
                <w:sz w:val="21"/>
                <w:szCs w:val="21"/>
              </w:rPr>
              <w:t>.0</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COD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600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1.20</w:t>
            </w:r>
          </w:p>
        </w:tc>
        <w:tc>
          <w:tcPr>
            <w:tcW w:w="1635"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BOD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250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SS</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250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氨氮</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石油类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0.04</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TP</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3</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镍</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0.0010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铜</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0.0010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汞</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铅</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六价铬</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0.0010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砷</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0.0010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镉</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0.1</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锌</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0.0010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W3</w:t>
            </w:r>
          </w:p>
        </w:tc>
        <w:tc>
          <w:tcPr>
            <w:tcW w:w="276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物化车间酸雾吸收塔排水</w:t>
            </w:r>
          </w:p>
        </w:tc>
        <w:tc>
          <w:tcPr>
            <w:tcW w:w="1081"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1.89</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盐类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28000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9.24</w:t>
            </w:r>
          </w:p>
        </w:tc>
        <w:tc>
          <w:tcPr>
            <w:tcW w:w="1635"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W4</w:t>
            </w:r>
          </w:p>
        </w:tc>
        <w:tc>
          <w:tcPr>
            <w:tcW w:w="2769"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物化车间澄清池排水</w:t>
            </w:r>
          </w:p>
        </w:tc>
        <w:tc>
          <w:tcPr>
            <w:tcW w:w="1081"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41.948</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盐类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8000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31.68</w:t>
            </w:r>
          </w:p>
        </w:tc>
        <w:tc>
          <w:tcPr>
            <w:tcW w:w="1635"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由物化车间污水处理模块进行处置</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COD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3000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11.88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BOD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300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1.19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SS</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1.58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氨氮</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60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0.24</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石油类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0.40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TP</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 xml:space="preserve">5 </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镍</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0.0059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铜</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6.0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0.0238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汞</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0.1</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0.0004</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铅</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0.0040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六价铬</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砷</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镉</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0.4</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0.0016</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锌</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W5</w:t>
            </w:r>
          </w:p>
        </w:tc>
        <w:tc>
          <w:tcPr>
            <w:tcW w:w="2769"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sz w:val="21"/>
                <w:szCs w:val="21"/>
              </w:rPr>
            </w:pPr>
            <w:r>
              <w:rPr>
                <w:rFonts w:hint="eastAsia"/>
                <w:sz w:val="21"/>
                <w:szCs w:val="21"/>
              </w:rPr>
              <w:t>物化车间沉淀池排水</w:t>
            </w:r>
          </w:p>
        </w:tc>
        <w:tc>
          <w:tcPr>
            <w:tcW w:w="1081"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9.702</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COD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3000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1.74</w:t>
            </w:r>
          </w:p>
        </w:tc>
        <w:tc>
          <w:tcPr>
            <w:tcW w:w="1635"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由物化车间污水处理模块进行处置</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石油类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0.12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镍</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铜</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6.0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0.0035</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汞</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0.1</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铅</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0.0006</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六价铬</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砷</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镉</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0.4</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锌</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W6</w:t>
            </w:r>
          </w:p>
        </w:tc>
        <w:tc>
          <w:tcPr>
            <w:tcW w:w="276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焚烧车间余热锅炉排水</w:t>
            </w:r>
          </w:p>
        </w:tc>
        <w:tc>
          <w:tcPr>
            <w:tcW w:w="1081"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11.50</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盐类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1000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1.2</w:t>
            </w:r>
          </w:p>
        </w:tc>
        <w:tc>
          <w:tcPr>
            <w:tcW w:w="1635"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jc w:val="left"/>
              <w:rPr>
                <w:rFonts w:hAnsi="宋体"/>
                <w:sz w:val="21"/>
                <w:szCs w:val="21"/>
              </w:rPr>
            </w:pPr>
            <w:r>
              <w:rPr>
                <w:rFonts w:hint="eastAsia" w:hAnsi="宋体"/>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W7</w:t>
            </w:r>
          </w:p>
        </w:tc>
        <w:tc>
          <w:tcPr>
            <w:tcW w:w="2769"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焚烧车间喷淋洗涤塔排水</w:t>
            </w:r>
          </w:p>
        </w:tc>
        <w:tc>
          <w:tcPr>
            <w:tcW w:w="1081"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29.00</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盐类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8000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45.76</w:t>
            </w:r>
          </w:p>
        </w:tc>
        <w:tc>
          <w:tcPr>
            <w:tcW w:w="1635"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jc w:val="both"/>
              <w:rPr>
                <w:rFonts w:hAnsi="宋体"/>
                <w:sz w:val="21"/>
                <w:szCs w:val="21"/>
              </w:rPr>
            </w:pPr>
            <w:r>
              <w:rPr>
                <w:rFonts w:hint="eastAsia" w:hAnsi="宋体"/>
                <w:sz w:val="21"/>
                <w:szCs w:val="21"/>
              </w:rPr>
              <w:t>由焚烧车间污水处理模块处理后，送至厂区污水处理站强制蒸发系统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COD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2000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11.44</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SS</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2.29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氨氮</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石油类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氰化物</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0.2</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0.0011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镍</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0.0086</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铜</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0.0572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汞</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0.49</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铅</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4.9</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0.0280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六价铬</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砷</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镉</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0.4</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锌</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W8</w:t>
            </w:r>
          </w:p>
        </w:tc>
        <w:tc>
          <w:tcPr>
            <w:tcW w:w="2769"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填埋场渗滤液</w:t>
            </w:r>
          </w:p>
        </w:tc>
        <w:tc>
          <w:tcPr>
            <w:tcW w:w="1081"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8.6</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pH</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6-8</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t>
            </w:r>
          </w:p>
        </w:tc>
        <w:tc>
          <w:tcPr>
            <w:tcW w:w="1635"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送厂区污水处理站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COD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1000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8.60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BOD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350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3.01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SS</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1.72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氨氮</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50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0.43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石油类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0.34</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TP</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1"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氰化物</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0.1</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镍</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3.0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0.0258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铜</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0.0344</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汞</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0.01</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铅</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0.2</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0.0017</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六价铬</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0.0043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砷</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0.1</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镉</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0.1</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0.0009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锌</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0.3</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0.0026</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W9</w:t>
            </w:r>
          </w:p>
        </w:tc>
        <w:tc>
          <w:tcPr>
            <w:tcW w:w="2769"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生活污水</w:t>
            </w:r>
          </w:p>
        </w:tc>
        <w:tc>
          <w:tcPr>
            <w:tcW w:w="1081"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9.92</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COD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500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4.96</w:t>
            </w:r>
          </w:p>
        </w:tc>
        <w:tc>
          <w:tcPr>
            <w:tcW w:w="1635"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间断</w:t>
            </w:r>
          </w:p>
        </w:tc>
        <w:tc>
          <w:tcPr>
            <w:tcW w:w="3641"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经化粪池处理后送厂区污水处理站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BOD</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150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1.49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油类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80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0.79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SS</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450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4.46</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氨氮</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20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0.20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W10</w:t>
            </w:r>
          </w:p>
        </w:tc>
        <w:tc>
          <w:tcPr>
            <w:tcW w:w="276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循环水系统排水</w:t>
            </w:r>
          </w:p>
        </w:tc>
        <w:tc>
          <w:tcPr>
            <w:tcW w:w="1081"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12.00</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盐类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1500</w:t>
            </w:r>
          </w:p>
        </w:tc>
        <w:tc>
          <w:tcPr>
            <w:tcW w:w="1084"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0.57</w:t>
            </w:r>
          </w:p>
        </w:tc>
        <w:tc>
          <w:tcPr>
            <w:tcW w:w="1635"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W11</w:t>
            </w:r>
          </w:p>
        </w:tc>
        <w:tc>
          <w:tcPr>
            <w:tcW w:w="276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软化水系统排污水</w:t>
            </w:r>
          </w:p>
        </w:tc>
        <w:tc>
          <w:tcPr>
            <w:tcW w:w="1081"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3.63</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盐类</w:t>
            </w:r>
          </w:p>
        </w:tc>
        <w:tc>
          <w:tcPr>
            <w:tcW w:w="1476"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1250</w:t>
            </w:r>
          </w:p>
        </w:tc>
        <w:tc>
          <w:tcPr>
            <w:tcW w:w="1084"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18.00</w:t>
            </w:r>
          </w:p>
        </w:tc>
        <w:tc>
          <w:tcPr>
            <w:tcW w:w="1635"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W12</w:t>
            </w:r>
          </w:p>
        </w:tc>
        <w:tc>
          <w:tcPr>
            <w:tcW w:w="2769"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厂区污水处理系统排水</w:t>
            </w:r>
          </w:p>
        </w:tc>
        <w:tc>
          <w:tcPr>
            <w:tcW w:w="1081"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145.15</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COD</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48.7</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1.91</w:t>
            </w:r>
          </w:p>
        </w:tc>
        <w:tc>
          <w:tcPr>
            <w:tcW w:w="1635"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rPr>
                <w:rFonts w:hAnsi="宋体"/>
                <w:sz w:val="21"/>
              </w:rPr>
            </w:pPr>
            <w:r>
              <w:rPr>
                <w:rFonts w:hint="eastAsia" w:cs="Times New Roman"/>
                <w:sz w:val="21"/>
              </w:rPr>
              <w:t>30.00</w:t>
            </w:r>
            <w:r>
              <w:rPr>
                <w:rFonts w:cs="Times New Roman"/>
                <w:sz w:val="21"/>
              </w:rPr>
              <w:t>t/d回用至固化车间，</w:t>
            </w:r>
            <w:r>
              <w:rPr>
                <w:rFonts w:hint="eastAsia" w:cs="Times New Roman"/>
                <w:sz w:val="21"/>
              </w:rPr>
              <w:t>151.15</w:t>
            </w:r>
            <w:r>
              <w:rPr>
                <w:rFonts w:cs="Times New Roman"/>
                <w:sz w:val="21"/>
              </w:rPr>
              <w:t>t/d送至焚烧车间。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BOD</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12</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0.47</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SS</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0.39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氨氮</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0.19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石油类</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0.12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TP</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0.18</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0.0070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镍</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0.0765</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0.0030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铜</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0.1095</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0.0043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汞</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0.0015</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0.0001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铅</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0.0264</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0.0010</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六价铬</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0.0241</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0.0009</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砷</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0.0053</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0.0002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镉</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0.0033</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0.0001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锌</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0.0202</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ascii="宋体" w:hAnsi="宋体" w:cs="宋体"/>
                <w:sz w:val="21"/>
              </w:rPr>
            </w:pPr>
            <w:r>
              <w:rPr>
                <w:sz w:val="21"/>
              </w:rPr>
              <w:t>0.0008</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W13</w:t>
            </w:r>
          </w:p>
        </w:tc>
        <w:tc>
          <w:tcPr>
            <w:tcW w:w="2769"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厂区污水处理站排浓水</w:t>
            </w:r>
          </w:p>
        </w:tc>
        <w:tc>
          <w:tcPr>
            <w:tcW w:w="1081"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6.04</w:t>
            </w: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COD</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1000</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4.61</w:t>
            </w:r>
          </w:p>
        </w:tc>
        <w:tc>
          <w:tcPr>
            <w:tcW w:w="1635"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连续</w:t>
            </w:r>
          </w:p>
        </w:tc>
        <w:tc>
          <w:tcPr>
            <w:tcW w:w="3641"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送至固化车间处理模块处置</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BOD</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200</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0.92</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SS</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0.046</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氨氮</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0.23</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石油类</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0.04</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TP</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0.01</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1053"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769"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08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126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盐类</w:t>
            </w:r>
          </w:p>
        </w:tc>
        <w:tc>
          <w:tcPr>
            <w:tcW w:w="147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15000</w:t>
            </w:r>
          </w:p>
        </w:tc>
        <w:tc>
          <w:tcPr>
            <w:tcW w:w="108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69.15</w:t>
            </w:r>
          </w:p>
        </w:tc>
        <w:tc>
          <w:tcPr>
            <w:tcW w:w="163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364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hAnsi="宋体"/>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35" w:hRule="atLeast"/>
        </w:trPr>
        <w:tc>
          <w:tcPr>
            <w:tcW w:w="1053" w:type="dxa"/>
            <w:tcBorders>
              <w:top w:val="dotted" w:color="auto" w:sz="4" w:space="0"/>
              <w:left w:val="nil"/>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合计</w:t>
            </w:r>
          </w:p>
        </w:tc>
        <w:tc>
          <w:tcPr>
            <w:tcW w:w="2769"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int="eastAsia" w:hAnsi="宋体"/>
                <w:sz w:val="21"/>
                <w:szCs w:val="21"/>
              </w:rPr>
              <w:t>全厂外排水</w:t>
            </w:r>
          </w:p>
        </w:tc>
        <w:tc>
          <w:tcPr>
            <w:tcW w:w="1081"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0</w:t>
            </w:r>
          </w:p>
        </w:tc>
        <w:tc>
          <w:tcPr>
            <w:tcW w:w="3823" w:type="dxa"/>
            <w:gridSpan w:val="3"/>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t>
            </w:r>
          </w:p>
        </w:tc>
        <w:tc>
          <w:tcPr>
            <w:tcW w:w="1635"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hAnsi="宋体"/>
                <w:sz w:val="21"/>
                <w:szCs w:val="21"/>
              </w:rPr>
            </w:pPr>
            <w:r>
              <w:rPr>
                <w:rFonts w:hAnsi="宋体"/>
                <w:sz w:val="21"/>
                <w:szCs w:val="21"/>
              </w:rPr>
              <w:t>-</w:t>
            </w:r>
          </w:p>
        </w:tc>
        <w:tc>
          <w:tcPr>
            <w:tcW w:w="3641" w:type="dxa"/>
            <w:tcBorders>
              <w:top w:val="dotted" w:color="auto" w:sz="4" w:space="0"/>
              <w:left w:val="dotted" w:color="auto" w:sz="4" w:space="0"/>
              <w:bottom w:val="single" w:color="000000" w:sz="12" w:space="0"/>
              <w:right w:val="nil"/>
            </w:tcBorders>
            <w:vAlign w:val="center"/>
          </w:tcPr>
          <w:p>
            <w:pPr>
              <w:pStyle w:val="57"/>
              <w:pBdr>
                <w:bottom w:val="none" w:color="auto" w:sz="0" w:space="0"/>
              </w:pBdr>
              <w:tabs>
                <w:tab w:val="left" w:pos="420"/>
              </w:tabs>
              <w:spacing w:line="240" w:lineRule="atLeast"/>
              <w:ind w:firstLine="0" w:firstLineChars="0"/>
              <w:jc w:val="both"/>
              <w:rPr>
                <w:rFonts w:hAnsi="宋体"/>
                <w:sz w:val="21"/>
                <w:szCs w:val="21"/>
              </w:rPr>
            </w:pPr>
            <w:r>
              <w:rPr>
                <w:rFonts w:hint="eastAsia" w:hAnsi="宋体"/>
                <w:sz w:val="21"/>
                <w:szCs w:val="21"/>
              </w:rPr>
              <w:t>本项目全厂污、废水全部回用，全厂正常运行时可实现废水“零排放”。</w:t>
            </w:r>
          </w:p>
        </w:tc>
      </w:tr>
    </w:tbl>
    <w:p>
      <w:pPr>
        <w:snapToGrid w:val="0"/>
        <w:ind w:firstLine="480"/>
      </w:pPr>
      <w:bookmarkStart w:id="315" w:name="_Hlk530158240"/>
    </w:p>
    <w:p>
      <w:pPr>
        <w:snapToGrid w:val="0"/>
        <w:ind w:firstLine="480"/>
      </w:pPr>
    </w:p>
    <w:p>
      <w:pPr>
        <w:snapToGrid w:val="0"/>
        <w:ind w:firstLine="480"/>
      </w:pPr>
    </w:p>
    <w:p>
      <w:pPr>
        <w:pStyle w:val="161"/>
        <w:ind w:firstLine="480"/>
        <w:outlineLvl w:val="0"/>
      </w:pPr>
      <w:r>
        <w:t>表</w:t>
      </w:r>
      <w:r>
        <w:rPr>
          <w:rFonts w:hint="eastAsia"/>
        </w:rPr>
        <w:t>4.9—5                  改扩建前后全厂废水产生及污染物产生情况对比一览表</w:t>
      </w:r>
    </w:p>
    <w:tbl>
      <w:tblPr>
        <w:tblStyle w:val="88"/>
        <w:tblW w:w="14002"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108"/>
        <w:gridCol w:w="703"/>
        <w:gridCol w:w="843"/>
        <w:gridCol w:w="843"/>
        <w:gridCol w:w="983"/>
        <w:gridCol w:w="927"/>
        <w:gridCol w:w="899"/>
        <w:gridCol w:w="927"/>
        <w:gridCol w:w="927"/>
        <w:gridCol w:w="1047"/>
        <w:gridCol w:w="843"/>
        <w:gridCol w:w="2952"/>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single" w:color="000000" w:sz="12" w:space="0"/>
              <w:left w:val="nil"/>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污染源名称</w:t>
            </w:r>
          </w:p>
        </w:tc>
        <w:tc>
          <w:tcPr>
            <w:tcW w:w="2389" w:type="dxa"/>
            <w:gridSpan w:val="3"/>
            <w:vMerge w:val="restart"/>
            <w:tcBorders>
              <w:top w:val="single" w:color="000000" w:sz="12"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排放量(t/d)</w:t>
            </w:r>
          </w:p>
        </w:tc>
        <w:tc>
          <w:tcPr>
            <w:tcW w:w="5710" w:type="dxa"/>
            <w:gridSpan w:val="6"/>
            <w:tcBorders>
              <w:top w:val="single" w:color="000000" w:sz="12"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主要污染物</w:t>
            </w:r>
          </w:p>
        </w:tc>
        <w:tc>
          <w:tcPr>
            <w:tcW w:w="843" w:type="dxa"/>
            <w:vMerge w:val="restart"/>
            <w:tcBorders>
              <w:top w:val="single" w:color="000000" w:sz="12"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排放</w:t>
            </w:r>
          </w:p>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规律</w:t>
            </w:r>
          </w:p>
        </w:tc>
        <w:tc>
          <w:tcPr>
            <w:tcW w:w="2952" w:type="dxa"/>
            <w:vMerge w:val="restart"/>
            <w:tcBorders>
              <w:top w:val="single" w:color="000000" w:sz="12" w:space="0"/>
              <w:left w:val="dotted" w:color="auto" w:sz="4" w:space="0"/>
              <w:bottom w:val="single" w:color="auto" w:sz="12" w:space="0"/>
              <w:right w:val="nil"/>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扩建</w:t>
            </w:r>
            <w:r>
              <w:rPr>
                <w:rFonts w:cs="Times New Roman"/>
                <w:sz w:val="21"/>
                <w:szCs w:val="21"/>
              </w:rPr>
              <w:t>后治理措施及去向</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left"/>
              <w:rPr>
                <w:rFonts w:cs="Times New Roman"/>
                <w:sz w:val="21"/>
              </w:rPr>
            </w:pPr>
          </w:p>
        </w:tc>
        <w:tc>
          <w:tcPr>
            <w:tcW w:w="2389" w:type="dxa"/>
            <w:gridSpan w:val="3"/>
            <w:vMerge w:val="continue"/>
            <w:tcBorders>
              <w:top w:val="single" w:color="000000"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vMerge w:val="restart"/>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名称</w:t>
            </w:r>
          </w:p>
        </w:tc>
        <w:tc>
          <w:tcPr>
            <w:tcW w:w="1826" w:type="dxa"/>
            <w:gridSpan w:val="2"/>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排放浓度(mg/L)</w:t>
            </w:r>
          </w:p>
        </w:tc>
        <w:tc>
          <w:tcPr>
            <w:tcW w:w="2901" w:type="dxa"/>
            <w:gridSpan w:val="3"/>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产生量(kg/d)</w:t>
            </w:r>
          </w:p>
        </w:tc>
        <w:tc>
          <w:tcPr>
            <w:tcW w:w="843"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single" w:color="000000" w:sz="12" w:space="0"/>
              <w:left w:val="dotted" w:color="auto" w:sz="4" w:space="0"/>
              <w:bottom w:val="single" w:color="auto" w:sz="12"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扩建</w:t>
            </w:r>
            <w:r>
              <w:rPr>
                <w:rFonts w:cs="Times New Roman"/>
                <w:sz w:val="21"/>
                <w:szCs w:val="21"/>
              </w:rPr>
              <w:t>前</w:t>
            </w:r>
          </w:p>
        </w:tc>
        <w:tc>
          <w:tcPr>
            <w:tcW w:w="843"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扩建</w:t>
            </w:r>
            <w:r>
              <w:rPr>
                <w:rFonts w:cs="Times New Roman"/>
                <w:sz w:val="21"/>
                <w:szCs w:val="21"/>
              </w:rPr>
              <w:t>后</w:t>
            </w:r>
          </w:p>
        </w:tc>
        <w:tc>
          <w:tcPr>
            <w:tcW w:w="843"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增减量</w:t>
            </w:r>
          </w:p>
        </w:tc>
        <w:tc>
          <w:tcPr>
            <w:tcW w:w="983"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Times New Roman"/>
                <w:sz w:val="21"/>
              </w:rPr>
            </w:pPr>
          </w:p>
        </w:tc>
        <w:tc>
          <w:tcPr>
            <w:tcW w:w="927"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扩建</w:t>
            </w:r>
            <w:r>
              <w:rPr>
                <w:rFonts w:cs="Times New Roman"/>
                <w:sz w:val="21"/>
                <w:szCs w:val="21"/>
              </w:rPr>
              <w:t>前</w:t>
            </w:r>
          </w:p>
        </w:tc>
        <w:tc>
          <w:tcPr>
            <w:tcW w:w="899"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扩建</w:t>
            </w:r>
            <w:r>
              <w:rPr>
                <w:rFonts w:cs="Times New Roman"/>
                <w:sz w:val="21"/>
                <w:szCs w:val="21"/>
              </w:rPr>
              <w:t>后</w:t>
            </w:r>
          </w:p>
        </w:tc>
        <w:tc>
          <w:tcPr>
            <w:tcW w:w="927"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扩建</w:t>
            </w:r>
            <w:r>
              <w:rPr>
                <w:rFonts w:cs="Times New Roman"/>
                <w:sz w:val="21"/>
                <w:szCs w:val="21"/>
              </w:rPr>
              <w:t>前</w:t>
            </w:r>
          </w:p>
        </w:tc>
        <w:tc>
          <w:tcPr>
            <w:tcW w:w="927"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扩建</w:t>
            </w:r>
            <w:r>
              <w:rPr>
                <w:rFonts w:cs="Times New Roman"/>
                <w:sz w:val="21"/>
                <w:szCs w:val="21"/>
              </w:rPr>
              <w:t>后</w:t>
            </w:r>
          </w:p>
        </w:tc>
        <w:tc>
          <w:tcPr>
            <w:tcW w:w="1047" w:type="dxa"/>
            <w:tcBorders>
              <w:top w:val="dotted" w:color="auto" w:sz="4" w:space="0"/>
              <w:left w:val="dotted" w:color="auto" w:sz="4" w:space="0"/>
              <w:bottom w:val="single" w:color="auto"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增减量</w:t>
            </w:r>
          </w:p>
        </w:tc>
        <w:tc>
          <w:tcPr>
            <w:tcW w:w="843"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single" w:color="000000" w:sz="12" w:space="0"/>
              <w:left w:val="dotted" w:color="auto" w:sz="4" w:space="0"/>
              <w:bottom w:val="single" w:color="auto" w:sz="12"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冲洗废水</w:t>
            </w:r>
          </w:p>
        </w:tc>
        <w:tc>
          <w:tcPr>
            <w:tcW w:w="70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9.6</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+10.4</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COD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3.84</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4.0000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0.1600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连续</w:t>
            </w:r>
          </w:p>
        </w:tc>
        <w:tc>
          <w:tcPr>
            <w:tcW w:w="2952"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BOD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1.44</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1.5000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0.0600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SS</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1.92</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2.0000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0.0800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氨氮</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0.14</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0.1500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石油类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0.06</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0.0600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TP</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0.0048</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0.0050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0.0002</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镍</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0.0048</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0.0050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0.0002</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铜</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0.0048</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0.0050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0.0002</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汞</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0.01</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0.01</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0.0001</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0.0001</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铅</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0.0048</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0.0050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0.0002</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铬</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0.0048</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0.0050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0.0002</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锌</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0.0048</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0.0050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0.0002</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化验废水</w:t>
            </w:r>
          </w:p>
        </w:tc>
        <w:tc>
          <w:tcPr>
            <w:tcW w:w="70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+1.0</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COD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600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1.20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1.8000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0.6000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连续</w:t>
            </w:r>
          </w:p>
        </w:tc>
        <w:tc>
          <w:tcPr>
            <w:tcW w:w="2952"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BOD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250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250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0.7500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0.2500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SS</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250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250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0.7500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0.2500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氨氮</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0.0450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0.0150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石油类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0.0600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0.0200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TP</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0.0090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-0.0010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镍</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0.0010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0.0015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0.0005</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铜</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0.0010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0.0015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0.0005</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汞</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0.0002</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0.0001</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铅</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0.0030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0.0010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六价铬</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0.0010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0.0015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0.0005</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砷</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0.0010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0.0015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0.0005</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镉</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0.0003</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0.0001</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锌</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0.0010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0.0015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0.0005</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物化车间酸雾吸收塔排水</w:t>
            </w:r>
          </w:p>
        </w:tc>
        <w:tc>
          <w:tcPr>
            <w:tcW w:w="70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0.33</w:t>
            </w:r>
          </w:p>
        </w:tc>
        <w:tc>
          <w:tcPr>
            <w:tcW w:w="84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1.89</w:t>
            </w:r>
          </w:p>
        </w:tc>
        <w:tc>
          <w:tcPr>
            <w:tcW w:w="84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+1.56</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盐类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28000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28000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spacing w:line="240" w:lineRule="atLeast"/>
              <w:ind w:firstLine="0" w:firstLineChars="0"/>
              <w:rPr>
                <w:rFonts w:cs="Times New Roman"/>
                <w:sz w:val="21"/>
                <w:szCs w:val="21"/>
              </w:rPr>
            </w:pPr>
            <w:r>
              <w:rPr>
                <w:rFonts w:cs="Times New Roman"/>
                <w:sz w:val="21"/>
                <w:szCs w:val="21"/>
              </w:rPr>
              <w:t>9.24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52.92</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43.6800</w:t>
            </w:r>
          </w:p>
        </w:tc>
        <w:tc>
          <w:tcPr>
            <w:tcW w:w="84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连续</w:t>
            </w:r>
          </w:p>
        </w:tc>
        <w:tc>
          <w:tcPr>
            <w:tcW w:w="2952" w:type="dxa"/>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物化车间澄清池排水</w:t>
            </w:r>
          </w:p>
        </w:tc>
        <w:tc>
          <w:tcPr>
            <w:tcW w:w="70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3.96</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41.948</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+37.988</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盐类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8000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8000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31.68</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335.5840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303.9040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连续</w:t>
            </w:r>
          </w:p>
        </w:tc>
        <w:tc>
          <w:tcPr>
            <w:tcW w:w="2952"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COD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11.88</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125.8440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113.9640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BOD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1.19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12.5844</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11.3944</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SS</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1.58</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16.7792</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15.1992</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氨氮</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0.24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2.5169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2.2769</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石油类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4.1948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3.7948</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TP</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 xml:space="preserve">5 </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 xml:space="preserve">5 </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0.2097</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0.1897</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镍</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0.0059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0.0629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0.0570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铜</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0.0238</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0.2517</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0.2279</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汞</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0.0042</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0.0038</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铅</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0.0040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0.0419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0.0379</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六价铬</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0.0210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0.0190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砷</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0.0210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0.0190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镉</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0.0016</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0.0168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0.0152</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锌</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0.0210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0.0190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dotted" w:color="auto" w:sz="4" w:space="0"/>
              <w:left w:val="nil"/>
              <w:right w:val="dotted" w:color="auto" w:sz="4" w:space="0"/>
            </w:tcBorders>
            <w:vAlign w:val="center"/>
          </w:tcPr>
          <w:p>
            <w:pPr>
              <w:widowControl/>
              <w:spacing w:line="240" w:lineRule="atLeast"/>
              <w:ind w:firstLine="0" w:firstLineChars="0"/>
              <w:jc w:val="left"/>
              <w:rPr>
                <w:rFonts w:cs="Times New Roman"/>
                <w:sz w:val="21"/>
              </w:rPr>
            </w:pPr>
            <w:r>
              <w:rPr>
                <w:rFonts w:cs="Times New Roman"/>
                <w:sz w:val="21"/>
              </w:rPr>
              <w:t>物化车间沉淀池排水</w:t>
            </w:r>
          </w:p>
        </w:tc>
        <w:tc>
          <w:tcPr>
            <w:tcW w:w="703"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left"/>
              <w:rPr>
                <w:rFonts w:cs="Times New Roman"/>
                <w:sz w:val="21"/>
              </w:rPr>
            </w:pPr>
            <w:r>
              <w:rPr>
                <w:rFonts w:cs="Times New Roman"/>
                <w:sz w:val="21"/>
              </w:rPr>
              <w:t>0.58</w:t>
            </w:r>
          </w:p>
        </w:tc>
        <w:tc>
          <w:tcPr>
            <w:tcW w:w="843"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sz w:val="21"/>
              </w:rPr>
            </w:pPr>
            <w:r>
              <w:rPr>
                <w:rFonts w:hint="eastAsia" w:cs="Times New Roman"/>
                <w:sz w:val="21"/>
              </w:rPr>
              <w:t>9.702</w:t>
            </w:r>
          </w:p>
        </w:tc>
        <w:tc>
          <w:tcPr>
            <w:tcW w:w="843"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left"/>
              <w:rPr>
                <w:rFonts w:cs="Times New Roman"/>
                <w:sz w:val="21"/>
              </w:rPr>
            </w:pPr>
            <w:r>
              <w:rPr>
                <w:rFonts w:hint="eastAsia" w:cs="Times New Roman"/>
                <w:sz w:val="21"/>
              </w:rPr>
              <w:t>+9.122</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COD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1.74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29.1060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27.3660</w:t>
            </w:r>
          </w:p>
        </w:tc>
        <w:tc>
          <w:tcPr>
            <w:tcW w:w="843"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restart"/>
            <w:tcBorders>
              <w:top w:val="dotted" w:color="auto" w:sz="4" w:space="0"/>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石油类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1.9404</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1.8204</w:t>
            </w: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镍</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0.0146</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0.0137</w:t>
            </w: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铜</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0.0035</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0.0582</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0.0547</w:t>
            </w: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汞</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0.0010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0.0009</w:t>
            </w: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铅</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0.0006</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0.0097</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0.0091</w:t>
            </w: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六价铬</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0.0049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0.0046</w:t>
            </w: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砷</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0.0049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0.0046</w:t>
            </w: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镉</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0.0039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0.0037</w:t>
            </w: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锌</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0.0049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0.0046</w:t>
            </w:r>
          </w:p>
        </w:tc>
        <w:tc>
          <w:tcPr>
            <w:tcW w:w="843"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余热锅炉排水</w:t>
            </w:r>
          </w:p>
        </w:tc>
        <w:tc>
          <w:tcPr>
            <w:tcW w:w="70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1.2</w:t>
            </w:r>
          </w:p>
        </w:tc>
        <w:tc>
          <w:tcPr>
            <w:tcW w:w="84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11.50</w:t>
            </w:r>
          </w:p>
        </w:tc>
        <w:tc>
          <w:tcPr>
            <w:tcW w:w="84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+10.3</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盐类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spacing w:line="240" w:lineRule="atLeast"/>
              <w:ind w:firstLine="0" w:firstLineChars="0"/>
              <w:rPr>
                <w:rFonts w:cs="Times New Roman"/>
                <w:sz w:val="21"/>
                <w:szCs w:val="21"/>
              </w:rPr>
            </w:pPr>
            <w:r>
              <w:rPr>
                <w:rFonts w:cs="Times New Roman"/>
                <w:sz w:val="21"/>
                <w:szCs w:val="21"/>
              </w:rPr>
              <w:t>1.2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11.5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10.3000</w:t>
            </w:r>
          </w:p>
        </w:tc>
        <w:tc>
          <w:tcPr>
            <w:tcW w:w="84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连续</w:t>
            </w:r>
          </w:p>
        </w:tc>
        <w:tc>
          <w:tcPr>
            <w:tcW w:w="2952" w:type="dxa"/>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jc w:val="left"/>
              <w:rPr>
                <w:rFonts w:cs="Times New Roman"/>
                <w:sz w:val="21"/>
                <w:szCs w:val="21"/>
              </w:rPr>
            </w:pPr>
            <w:r>
              <w:rPr>
                <w:rFonts w:cs="Times New Roman"/>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焚烧车间喷淋洗涤塔排水</w:t>
            </w:r>
          </w:p>
        </w:tc>
        <w:tc>
          <w:tcPr>
            <w:tcW w:w="70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5.72</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29.00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+23.28</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盐类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8000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8000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45.76</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232</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186.2400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连续</w:t>
            </w:r>
          </w:p>
        </w:tc>
        <w:tc>
          <w:tcPr>
            <w:tcW w:w="2952"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jc w:val="both"/>
              <w:rPr>
                <w:rFonts w:cs="Times New Roman"/>
                <w:sz w:val="21"/>
                <w:szCs w:val="21"/>
              </w:rPr>
            </w:pPr>
            <w:r>
              <w:rPr>
                <w:rFonts w:cs="Times New Roman"/>
                <w:sz w:val="21"/>
                <w:szCs w:val="21"/>
              </w:rPr>
              <w:t>由焚烧车间污水处理模块处理后，送至厂区污水处理站。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COD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11.44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58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46.5600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SS</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2.29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11.6</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9.3100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氨氮</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0.145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0.1150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石油类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0.145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0.1150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氰化物</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0.2</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0.2</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0.0011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0.0058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0.0047</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镍</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0.0086</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0.0435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0.0349</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铜</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0.0572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0.29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0.2328</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汞</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0.49</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0.49</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0.0028</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0.01421</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0.0114</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铅</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4.9</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4.9</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0.0280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0.1421</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0.1141</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六价铬</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0.0145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0.0116</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砷</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0.0145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0.0116</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镉</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0.0116</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0.0093</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锌</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0.0145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0.0116</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填埋场渗滤液</w:t>
            </w:r>
          </w:p>
        </w:tc>
        <w:tc>
          <w:tcPr>
            <w:tcW w:w="70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8.6</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8.6</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0</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pH</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6-8</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6-8</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连续</w:t>
            </w:r>
          </w:p>
        </w:tc>
        <w:tc>
          <w:tcPr>
            <w:tcW w:w="2952"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送厂区污水处理站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COD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8.60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8.6</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BOD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350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350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3.01</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SS</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1.72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1.72</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氨氮</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50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50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0.43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0.43</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石油类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0.34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0.34</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TP</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0.01</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1"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氰化物</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0.0009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镍</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0.0258</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0.0258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铜</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0.0344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0.0344</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汞</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0.01</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0.01</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0.0001</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铅</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0.2</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0.2</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0.0017</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0.0017</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六价铬</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0.0043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0.0043</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砷</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0.0009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镉</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0.1</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0.0009</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0.0009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锌</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0.3</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0.3</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0.0026</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0.0026</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生活污水</w:t>
            </w:r>
          </w:p>
        </w:tc>
        <w:tc>
          <w:tcPr>
            <w:tcW w:w="70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9.92</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9.92</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COD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500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500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4.96</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4.96</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间断</w:t>
            </w:r>
          </w:p>
        </w:tc>
        <w:tc>
          <w:tcPr>
            <w:tcW w:w="2952"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BOD</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1.49</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1.49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油类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80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80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0.79</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0.79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SS</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450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450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4.46</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4.46</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氨氮</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20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0.20</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0.2</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0.0000</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rFonts w:cs="Times New Roman"/>
                <w:sz w:val="21"/>
              </w:rPr>
            </w:pPr>
            <w:r>
              <w:rPr>
                <w:rFonts w:cs="Times New Roman"/>
                <w:sz w:val="21"/>
              </w:rPr>
              <w:t>循环水系统排水</w:t>
            </w:r>
          </w:p>
        </w:tc>
        <w:tc>
          <w:tcPr>
            <w:tcW w:w="70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sz w:val="21"/>
              </w:rPr>
            </w:pPr>
            <w:r>
              <w:rPr>
                <w:rFonts w:cs="Times New Roman"/>
                <w:sz w:val="21"/>
              </w:rPr>
              <w:t>0.57</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sz w:val="21"/>
              </w:rPr>
            </w:pPr>
            <w:r>
              <w:rPr>
                <w:rFonts w:hint="eastAsia" w:cs="Times New Roman"/>
                <w:sz w:val="21"/>
              </w:rPr>
              <w:t>12.00</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sz w:val="21"/>
              </w:rPr>
            </w:pPr>
            <w:r>
              <w:rPr>
                <w:rFonts w:hint="eastAsia" w:cs="Times New Roman"/>
                <w:sz w:val="21"/>
              </w:rPr>
              <w:t>+11.43</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盐类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1500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1500</w:t>
            </w:r>
          </w:p>
        </w:tc>
        <w:tc>
          <w:tcPr>
            <w:tcW w:w="927" w:type="dxa"/>
            <w:tcBorders>
              <w:top w:val="dotted" w:color="auto" w:sz="4" w:space="0"/>
              <w:left w:val="dotted" w:color="auto" w:sz="4" w:space="0"/>
              <w:bottom w:val="dotted" w:color="auto" w:sz="4" w:space="0"/>
              <w:right w:val="dotted" w:color="auto" w:sz="4" w:space="0"/>
            </w:tcBorders>
            <w:vAlign w:val="bottom"/>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0.57</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17.4300</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center"/>
              <w:rPr>
                <w:rFonts w:cs="Times New Roman"/>
                <w:sz w:val="21"/>
              </w:rPr>
            </w:pPr>
            <w:r>
              <w:rPr>
                <w:rFonts w:cs="Times New Roman"/>
                <w:sz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软化水系统排污水</w:t>
            </w:r>
          </w:p>
        </w:tc>
        <w:tc>
          <w:tcPr>
            <w:tcW w:w="70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14.4</w:t>
            </w:r>
          </w:p>
        </w:tc>
        <w:tc>
          <w:tcPr>
            <w:tcW w:w="84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3.63</w:t>
            </w:r>
          </w:p>
        </w:tc>
        <w:tc>
          <w:tcPr>
            <w:tcW w:w="84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-10.77</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盐类</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1250</w:t>
            </w:r>
          </w:p>
        </w:tc>
        <w:tc>
          <w:tcPr>
            <w:tcW w:w="899"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1250</w:t>
            </w:r>
          </w:p>
        </w:tc>
        <w:tc>
          <w:tcPr>
            <w:tcW w:w="927"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spacing w:line="240" w:lineRule="atLeast"/>
              <w:ind w:firstLine="0" w:firstLineChars="0"/>
              <w:rPr>
                <w:rFonts w:cs="Times New Roman"/>
                <w:sz w:val="21"/>
                <w:szCs w:val="21"/>
              </w:rPr>
            </w:pPr>
            <w:r>
              <w:rPr>
                <w:rFonts w:cs="Times New Roman"/>
                <w:sz w:val="21"/>
                <w:szCs w:val="21"/>
              </w:rPr>
              <w:t>18.00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4.5375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-13.4625</w:t>
            </w:r>
          </w:p>
        </w:tc>
        <w:tc>
          <w:tcPr>
            <w:tcW w:w="84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连续</w:t>
            </w:r>
          </w:p>
        </w:tc>
        <w:tc>
          <w:tcPr>
            <w:tcW w:w="2952" w:type="dxa"/>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送至厂区污水处理站</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dotted" w:color="auto" w:sz="4" w:space="0"/>
              <w:left w:val="nil"/>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厂区污水处理系统排水</w:t>
            </w:r>
          </w:p>
        </w:tc>
        <w:tc>
          <w:tcPr>
            <w:tcW w:w="70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39.14</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145.15</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hint="eastAsia" w:cs="Times New Roman"/>
                <w:sz w:val="21"/>
                <w:szCs w:val="21"/>
              </w:rPr>
              <w:t>+106.01</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COD</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48.7</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48.7</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1.91</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7.0688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5.1588</w:t>
            </w:r>
          </w:p>
        </w:tc>
        <w:tc>
          <w:tcPr>
            <w:tcW w:w="843" w:type="dxa"/>
            <w:vMerge w:val="restart"/>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连续</w:t>
            </w:r>
          </w:p>
        </w:tc>
        <w:tc>
          <w:tcPr>
            <w:tcW w:w="2952" w:type="dxa"/>
            <w:vMerge w:val="restart"/>
            <w:tcBorders>
              <w:top w:val="dotted" w:color="auto" w:sz="4" w:space="0"/>
              <w:left w:val="dotted" w:color="auto" w:sz="4" w:space="0"/>
              <w:bottom w:val="dotted" w:color="auto" w:sz="4" w:space="0"/>
              <w:right w:val="nil"/>
            </w:tcBorders>
            <w:vAlign w:val="center"/>
          </w:tcPr>
          <w:p>
            <w:pPr>
              <w:pStyle w:val="57"/>
              <w:pBdr>
                <w:bottom w:val="none" w:color="auto" w:sz="0" w:space="0"/>
              </w:pBdr>
              <w:tabs>
                <w:tab w:val="left" w:pos="420"/>
              </w:tabs>
              <w:spacing w:line="240" w:lineRule="atLeast"/>
              <w:ind w:firstLine="0" w:firstLineChars="0"/>
              <w:jc w:val="both"/>
              <w:rPr>
                <w:rFonts w:cs="Times New Roman"/>
                <w:sz w:val="21"/>
                <w:szCs w:val="21"/>
              </w:rPr>
            </w:pPr>
            <w:r>
              <w:rPr>
                <w:rFonts w:hint="eastAsia" w:cs="Times New Roman"/>
                <w:sz w:val="21"/>
                <w:szCs w:val="21"/>
              </w:rPr>
              <w:t>30.00</w:t>
            </w:r>
            <w:r>
              <w:rPr>
                <w:rFonts w:cs="Times New Roman"/>
                <w:sz w:val="21"/>
                <w:szCs w:val="21"/>
              </w:rPr>
              <w:t>t/d回用至固化车间，</w:t>
            </w:r>
            <w:r>
              <w:rPr>
                <w:rFonts w:hint="eastAsia" w:cs="Times New Roman"/>
                <w:sz w:val="21"/>
                <w:szCs w:val="21"/>
              </w:rPr>
              <w:t>151.15</w:t>
            </w:r>
            <w:r>
              <w:rPr>
                <w:rFonts w:cs="Times New Roman"/>
                <w:sz w:val="21"/>
                <w:szCs w:val="21"/>
              </w:rPr>
              <w:t>t/d送至焚烧车间。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BOD</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12</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0.47</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1.7418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1.2718</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SS</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10</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0.39</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1.4515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1.0615</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氨氮</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4.8</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4.8</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0.19</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0.6967</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0.5067</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石油类</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3</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0.12</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0.4355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0.3155</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TP</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0.18</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0.18</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0.0070</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0.0261</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0.0191</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镍</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0.0765</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0.0765</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0.0030</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0.0111</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0.0081</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铜</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0.1095</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0.1095</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0.0043</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0.0159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0.0116</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汞</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0.0015</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0.0015</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0.0001</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0.0002</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0.0001</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铅</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0.0264</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0.0264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0.0010</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0.0038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0.0028</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六价铬</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0.0241</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0.0241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0.0009</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0.0035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0.0026</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砷</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0.0053</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0.0053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0.0002</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0.0008</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0.0006</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镉</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0.0033</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0.0033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0.0001</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0.0005</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0.0004</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锌</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0.0202</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0.0202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0.0008</w:t>
            </w:r>
          </w:p>
        </w:tc>
        <w:tc>
          <w:tcPr>
            <w:tcW w:w="92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0.0029</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0.0021</w:t>
            </w:r>
          </w:p>
        </w:tc>
        <w:tc>
          <w:tcPr>
            <w:tcW w:w="84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restart"/>
            <w:tcBorders>
              <w:top w:val="dotted" w:color="auto" w:sz="4" w:space="0"/>
              <w:left w:val="nil"/>
              <w:right w:val="dotted" w:color="auto" w:sz="4" w:space="0"/>
            </w:tcBorders>
            <w:vAlign w:val="center"/>
          </w:tcPr>
          <w:p>
            <w:pPr>
              <w:widowControl/>
              <w:spacing w:line="240" w:lineRule="atLeast"/>
              <w:ind w:firstLine="0" w:firstLineChars="0"/>
              <w:jc w:val="left"/>
              <w:rPr>
                <w:rFonts w:cs="Times New Roman"/>
                <w:sz w:val="21"/>
              </w:rPr>
            </w:pPr>
            <w:r>
              <w:rPr>
                <w:rFonts w:cs="Times New Roman"/>
                <w:sz w:val="21"/>
              </w:rPr>
              <w:t>厂区污水处理站排浓水</w:t>
            </w:r>
          </w:p>
        </w:tc>
        <w:tc>
          <w:tcPr>
            <w:tcW w:w="703"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sz w:val="21"/>
              </w:rPr>
            </w:pPr>
            <w:r>
              <w:rPr>
                <w:rFonts w:cs="Times New Roman"/>
                <w:sz w:val="21"/>
              </w:rPr>
              <w:t>4.61</w:t>
            </w:r>
          </w:p>
        </w:tc>
        <w:tc>
          <w:tcPr>
            <w:tcW w:w="843"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sz w:val="21"/>
              </w:rPr>
            </w:pPr>
            <w:r>
              <w:rPr>
                <w:rFonts w:hint="eastAsia" w:cs="Times New Roman"/>
                <w:sz w:val="21"/>
              </w:rPr>
              <w:t>6.04</w:t>
            </w:r>
          </w:p>
        </w:tc>
        <w:tc>
          <w:tcPr>
            <w:tcW w:w="843"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sz w:val="21"/>
              </w:rPr>
            </w:pPr>
            <w:r>
              <w:rPr>
                <w:rFonts w:hint="eastAsia" w:cs="Times New Roman"/>
                <w:sz w:val="21"/>
              </w:rPr>
              <w:t>+1.43</w:t>
            </w: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COD</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1000</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1000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4.61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6.0400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1.4300</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restart"/>
            <w:tcBorders>
              <w:top w:val="dotted" w:color="auto" w:sz="4" w:space="0"/>
              <w:left w:val="dotted" w:color="auto" w:sz="4" w:space="0"/>
              <w:right w:val="nil"/>
            </w:tcBorders>
            <w:vAlign w:val="center"/>
          </w:tcPr>
          <w:p>
            <w:pPr>
              <w:widowControl/>
              <w:spacing w:line="240" w:lineRule="atLeast"/>
              <w:ind w:firstLine="0" w:firstLineChars="0"/>
              <w:jc w:val="left"/>
              <w:rPr>
                <w:rFonts w:cs="Times New Roman"/>
                <w:sz w:val="21"/>
              </w:rPr>
            </w:pPr>
            <w:r>
              <w:rPr>
                <w:rFonts w:hint="eastAsia" w:hAnsi="宋体"/>
                <w:sz w:val="21"/>
              </w:rPr>
              <w:t>送至固化车间处理模块处置</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BOD</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200</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200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0.92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1.2080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0.2880</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SS</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10</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0.046</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0.0604</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0.0144</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氨氮</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50</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50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0.23</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0.3020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0.0720</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石油类</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8</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8</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0.04</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0.0483</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0.0083</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TP</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2</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2</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0.01</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0.0121</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0.0021</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4" w:hRule="atLeast"/>
        </w:trPr>
        <w:tc>
          <w:tcPr>
            <w:tcW w:w="2108" w:type="dxa"/>
            <w:vMerge w:val="continue"/>
            <w:tcBorders>
              <w:left w:val="nil"/>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703"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843"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983" w:type="dxa"/>
            <w:tcBorders>
              <w:top w:val="dotted" w:color="auto" w:sz="4" w:space="0"/>
              <w:left w:val="dotted" w:color="auto" w:sz="4" w:space="0"/>
              <w:bottom w:val="dotted" w:color="auto" w:sz="4"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盐类</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15000</w:t>
            </w:r>
          </w:p>
        </w:tc>
        <w:tc>
          <w:tcPr>
            <w:tcW w:w="899"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15000</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sz w:val="21"/>
              </w:rPr>
            </w:pPr>
            <w:r>
              <w:rPr>
                <w:rFonts w:cs="Times New Roman"/>
                <w:sz w:val="21"/>
              </w:rPr>
              <w:t>69.15</w:t>
            </w:r>
          </w:p>
        </w:tc>
        <w:tc>
          <w:tcPr>
            <w:tcW w:w="92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cs="Times New Roman"/>
                <w:color w:val="000000"/>
                <w:sz w:val="21"/>
              </w:rPr>
              <w:t>90.6000</w:t>
            </w:r>
          </w:p>
        </w:tc>
        <w:tc>
          <w:tcPr>
            <w:tcW w:w="1047" w:type="dxa"/>
            <w:tcBorders>
              <w:top w:val="dotted" w:color="auto" w:sz="4" w:space="0"/>
              <w:left w:val="dotted" w:color="auto" w:sz="4" w:space="0"/>
              <w:bottom w:val="dotted" w:color="auto" w:sz="4" w:space="0"/>
              <w:right w:val="dotted" w:color="auto" w:sz="4" w:space="0"/>
            </w:tcBorders>
            <w:vAlign w:val="bottom"/>
          </w:tcPr>
          <w:p>
            <w:pPr>
              <w:spacing w:line="240" w:lineRule="atLeast"/>
              <w:ind w:firstLine="0" w:firstLineChars="0"/>
              <w:jc w:val="center"/>
              <w:rPr>
                <w:rFonts w:cs="Times New Roman"/>
                <w:color w:val="000000"/>
                <w:sz w:val="21"/>
              </w:rPr>
            </w:pPr>
            <w:r>
              <w:rPr>
                <w:rFonts w:cs="Times New Roman"/>
                <w:color w:val="000000"/>
                <w:sz w:val="21"/>
              </w:rPr>
              <w:t>21.4500</w:t>
            </w:r>
          </w:p>
        </w:tc>
        <w:tc>
          <w:tcPr>
            <w:tcW w:w="843" w:type="dxa"/>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Times New Roman"/>
                <w:sz w:val="21"/>
              </w:rPr>
            </w:pPr>
          </w:p>
        </w:tc>
        <w:tc>
          <w:tcPr>
            <w:tcW w:w="2952" w:type="dxa"/>
            <w:vMerge w:val="continue"/>
            <w:tcBorders>
              <w:left w:val="dotted" w:color="auto" w:sz="4" w:space="0"/>
              <w:bottom w:val="dotted" w:color="auto" w:sz="4" w:space="0"/>
              <w:right w:val="nil"/>
            </w:tcBorders>
            <w:vAlign w:val="center"/>
          </w:tcPr>
          <w:p>
            <w:pPr>
              <w:widowControl/>
              <w:spacing w:line="240" w:lineRule="atLeast"/>
              <w:ind w:firstLine="0" w:firstLineChars="0"/>
              <w:jc w:val="left"/>
              <w:rPr>
                <w:rFonts w:cs="Times New Roman"/>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1" w:hRule="atLeast"/>
        </w:trPr>
        <w:tc>
          <w:tcPr>
            <w:tcW w:w="2108" w:type="dxa"/>
            <w:tcBorders>
              <w:top w:val="dotted" w:color="auto" w:sz="4" w:space="0"/>
              <w:left w:val="nil"/>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全厂外排水</w:t>
            </w:r>
          </w:p>
        </w:tc>
        <w:tc>
          <w:tcPr>
            <w:tcW w:w="703"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w:t>
            </w:r>
          </w:p>
        </w:tc>
        <w:tc>
          <w:tcPr>
            <w:tcW w:w="843"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w:t>
            </w:r>
          </w:p>
        </w:tc>
        <w:tc>
          <w:tcPr>
            <w:tcW w:w="843"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r>
              <w:rPr>
                <w:rFonts w:cs="Times New Roman"/>
                <w:sz w:val="21"/>
                <w:szCs w:val="21"/>
              </w:rPr>
              <w:t>0</w:t>
            </w:r>
          </w:p>
        </w:tc>
        <w:tc>
          <w:tcPr>
            <w:tcW w:w="983"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p>
        </w:tc>
        <w:tc>
          <w:tcPr>
            <w:tcW w:w="927"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p>
        </w:tc>
        <w:tc>
          <w:tcPr>
            <w:tcW w:w="899"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p>
        </w:tc>
        <w:tc>
          <w:tcPr>
            <w:tcW w:w="927"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p>
        </w:tc>
        <w:tc>
          <w:tcPr>
            <w:tcW w:w="927"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p>
        </w:tc>
        <w:tc>
          <w:tcPr>
            <w:tcW w:w="1047"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p>
        </w:tc>
        <w:tc>
          <w:tcPr>
            <w:tcW w:w="843" w:type="dxa"/>
            <w:tcBorders>
              <w:top w:val="dotted" w:color="auto" w:sz="4" w:space="0"/>
              <w:left w:val="dotted" w:color="auto" w:sz="4" w:space="0"/>
              <w:bottom w:val="single" w:color="000000" w:sz="12" w:space="0"/>
              <w:right w:val="dotted" w:color="auto" w:sz="4" w:space="0"/>
            </w:tcBorders>
            <w:vAlign w:val="center"/>
          </w:tcPr>
          <w:p>
            <w:pPr>
              <w:pStyle w:val="57"/>
              <w:pBdr>
                <w:bottom w:val="none" w:color="auto" w:sz="0" w:space="0"/>
              </w:pBdr>
              <w:tabs>
                <w:tab w:val="left" w:pos="420"/>
              </w:tabs>
              <w:spacing w:line="240" w:lineRule="atLeast"/>
              <w:ind w:firstLine="0" w:firstLineChars="0"/>
              <w:rPr>
                <w:rFonts w:cs="Times New Roman"/>
                <w:sz w:val="21"/>
                <w:szCs w:val="21"/>
              </w:rPr>
            </w:pPr>
          </w:p>
        </w:tc>
        <w:tc>
          <w:tcPr>
            <w:tcW w:w="2952" w:type="dxa"/>
            <w:tcBorders>
              <w:top w:val="dotted" w:color="auto" w:sz="4" w:space="0"/>
              <w:left w:val="dotted" w:color="auto" w:sz="4" w:space="0"/>
              <w:bottom w:val="single" w:color="000000" w:sz="12" w:space="0"/>
              <w:right w:val="nil"/>
            </w:tcBorders>
            <w:vAlign w:val="center"/>
          </w:tcPr>
          <w:p>
            <w:pPr>
              <w:pStyle w:val="57"/>
              <w:pBdr>
                <w:bottom w:val="none" w:color="auto" w:sz="0" w:space="0"/>
              </w:pBdr>
              <w:tabs>
                <w:tab w:val="left" w:pos="420"/>
              </w:tabs>
              <w:spacing w:line="240" w:lineRule="atLeast"/>
              <w:ind w:firstLine="0" w:firstLineChars="0"/>
              <w:jc w:val="both"/>
              <w:rPr>
                <w:rFonts w:cs="Times New Roman"/>
                <w:sz w:val="21"/>
                <w:szCs w:val="21"/>
              </w:rPr>
            </w:pPr>
            <w:r>
              <w:rPr>
                <w:rFonts w:cs="Times New Roman"/>
                <w:sz w:val="21"/>
                <w:szCs w:val="21"/>
              </w:rPr>
              <w:t>变更后全厂废可做到“零排放”</w:t>
            </w:r>
          </w:p>
        </w:tc>
      </w:tr>
      <w:bookmarkEnd w:id="315"/>
    </w:tbl>
    <w:p>
      <w:pPr>
        <w:ind w:firstLine="480"/>
      </w:pPr>
    </w:p>
    <w:p>
      <w:pPr>
        <w:ind w:firstLine="480"/>
        <w:sectPr>
          <w:pgSz w:w="16838" w:h="11906" w:orient="landscape"/>
          <w:pgMar w:top="1134" w:right="1418" w:bottom="1134" w:left="1418" w:header="851" w:footer="850" w:gutter="0"/>
          <w:cols w:space="425" w:num="1"/>
          <w:docGrid w:type="lines" w:linePitch="326" w:charSpace="0"/>
        </w:sectPr>
      </w:pPr>
    </w:p>
    <w:p>
      <w:pPr>
        <w:pStyle w:val="5"/>
      </w:pPr>
      <w:bookmarkStart w:id="316" w:name="_Toc13760186"/>
      <w:bookmarkStart w:id="317" w:name="_Toc503368911"/>
      <w:r>
        <w:t>4.</w:t>
      </w:r>
      <w:r>
        <w:rPr>
          <w:rFonts w:hint="eastAsia"/>
        </w:rPr>
        <w:t>9</w:t>
      </w:r>
      <w:r>
        <w:t>.3</w:t>
      </w:r>
      <w:r>
        <w:rPr>
          <w:rFonts w:hint="eastAsia"/>
        </w:rPr>
        <w:t>固废</w:t>
      </w:r>
      <w:bookmarkEnd w:id="316"/>
      <w:bookmarkEnd w:id="317"/>
    </w:p>
    <w:p>
      <w:pPr>
        <w:autoSpaceDE w:val="0"/>
        <w:autoSpaceDN w:val="0"/>
        <w:adjustRightInd w:val="0"/>
        <w:snapToGrid w:val="0"/>
        <w:ind w:firstLine="480"/>
        <w:rPr>
          <w:kern w:val="0"/>
        </w:rPr>
      </w:pPr>
      <w:r>
        <w:rPr>
          <w:rFonts w:hint="eastAsia"/>
          <w:kern w:val="0"/>
        </w:rPr>
        <w:t>本项目产生的固体废物主要是危废暂存库有机废气净化器的废渣，物化车间澄清池废渣、隔油池废油和沉淀池废渣，危险废物焚烧过程中产生的炉渣、飞灰和喷淋洗涤塔滤渣，强制循环蒸发系统产生的盐泥和净化器废渣，厂区污水处理站产生的污泥以及生活垃圾等。</w:t>
      </w:r>
    </w:p>
    <w:p>
      <w:pPr>
        <w:adjustRightInd w:val="0"/>
        <w:snapToGrid w:val="0"/>
        <w:ind w:firstLine="480"/>
        <w:rPr>
          <w:kern w:val="0"/>
        </w:rPr>
      </w:pPr>
      <w:r>
        <w:rPr>
          <w:rFonts w:hint="eastAsia"/>
          <w:kern w:val="0"/>
        </w:rPr>
        <w:t>本项目危废暂存库有机废气净化器产生的废物主要为废活性炭，产生量为23.7</w:t>
      </w:r>
      <w:r>
        <w:rPr>
          <w:kern w:val="0"/>
        </w:rPr>
        <w:t>t/a</w:t>
      </w:r>
      <w:r>
        <w:rPr>
          <w:rFonts w:hint="eastAsia"/>
          <w:kern w:val="0"/>
        </w:rPr>
        <w:t>，送至回转窑进行焚烧处理；物化车间澄清池废渣主要成分为碳酸钙等，产生量为11757.57</w:t>
      </w:r>
      <w:r>
        <w:rPr>
          <w:kern w:val="0"/>
        </w:rPr>
        <w:t>t/a</w:t>
      </w:r>
      <w:r>
        <w:rPr>
          <w:rFonts w:hint="eastAsia"/>
          <w:kern w:val="0"/>
        </w:rPr>
        <w:t>，送至固化车间经固化后安全填埋；物化车间隔油池废油产生量为101.97</w:t>
      </w:r>
      <w:r>
        <w:rPr>
          <w:kern w:val="0"/>
        </w:rPr>
        <w:t>t/a</w:t>
      </w:r>
      <w:r>
        <w:rPr>
          <w:rFonts w:hint="eastAsia"/>
          <w:kern w:val="0"/>
        </w:rPr>
        <w:t>，送至回转窑进行焚烧处理；物化车间沉淀池废渣主要成分为含重沉淀物等，产生量为99.00</w:t>
      </w:r>
      <w:r>
        <w:rPr>
          <w:kern w:val="0"/>
        </w:rPr>
        <w:t>t/a</w:t>
      </w:r>
      <w:r>
        <w:rPr>
          <w:rFonts w:hint="eastAsia"/>
          <w:kern w:val="0"/>
        </w:rPr>
        <w:t>，送至固化车间经固化后安全填埋；焚烧车间产生的焚烧炉渣量为7474.50</w:t>
      </w:r>
      <w:r>
        <w:rPr>
          <w:kern w:val="0"/>
        </w:rPr>
        <w:t>t/a</w:t>
      </w:r>
      <w:r>
        <w:rPr>
          <w:rFonts w:hint="eastAsia"/>
          <w:kern w:val="0"/>
        </w:rPr>
        <w:t>、焚烧飞灰量为1089.00</w:t>
      </w:r>
      <w:r>
        <w:rPr>
          <w:kern w:val="0"/>
        </w:rPr>
        <w:t>t/a</w:t>
      </w:r>
      <w:r>
        <w:rPr>
          <w:rFonts w:hint="eastAsia"/>
          <w:kern w:val="0"/>
        </w:rPr>
        <w:t>，喷淋洗涤塔滤渣量为39.60</w:t>
      </w:r>
      <w:r>
        <w:rPr>
          <w:kern w:val="0"/>
        </w:rPr>
        <w:t>t/a</w:t>
      </w:r>
      <w:r>
        <w:rPr>
          <w:rFonts w:hint="eastAsia"/>
          <w:kern w:val="0"/>
        </w:rPr>
        <w:t>，主要成分为焚烧残渣及含重颗粒物等，送至固化车间经固化后安全填埋；污水处理站污泥产生量约1920.60</w:t>
      </w:r>
      <w:r>
        <w:rPr>
          <w:kern w:val="0"/>
        </w:rPr>
        <w:t>t/a</w:t>
      </w:r>
      <w:r>
        <w:rPr>
          <w:rFonts w:hint="eastAsia"/>
          <w:kern w:val="0"/>
        </w:rPr>
        <w:t>，送至固化车间经固化后安全填埋；强制循环蒸发系统产生盐泥主要成分为盐类及重金属，产生量为1204.50</w:t>
      </w:r>
      <w:r>
        <w:rPr>
          <w:kern w:val="0"/>
        </w:rPr>
        <w:t>t/a</w:t>
      </w:r>
      <w:r>
        <w:rPr>
          <w:rFonts w:hint="eastAsia"/>
          <w:kern w:val="0"/>
        </w:rPr>
        <w:t>，送至固化车间经固化后安全填埋；强制循环蒸发系统净化器产生的废物主要成分为废活性炭，产生量为</w:t>
      </w:r>
      <w:r>
        <w:rPr>
          <w:kern w:val="0"/>
        </w:rPr>
        <w:t>1.6t/a</w:t>
      </w:r>
      <w:r>
        <w:rPr>
          <w:rFonts w:hint="eastAsia"/>
          <w:kern w:val="0"/>
        </w:rPr>
        <w:t>，送至回转窑进行焚烧处理；本项目定员</w:t>
      </w:r>
      <w:r>
        <w:rPr>
          <w:kern w:val="0"/>
        </w:rPr>
        <w:t>124</w:t>
      </w:r>
      <w:r>
        <w:rPr>
          <w:rFonts w:hint="eastAsia"/>
          <w:kern w:val="0"/>
        </w:rPr>
        <w:t>人，垃圾产生量按</w:t>
      </w:r>
      <w:r>
        <w:rPr>
          <w:kern w:val="0"/>
        </w:rPr>
        <w:t>1.2kg/</w:t>
      </w:r>
      <w:r>
        <w:rPr>
          <w:rFonts w:hint="eastAsia"/>
          <w:kern w:val="0"/>
        </w:rPr>
        <w:t>人</w:t>
      </w:r>
      <w:r>
        <w:rPr>
          <w:kern w:val="0"/>
        </w:rPr>
        <w:t>.</w:t>
      </w:r>
      <w:r>
        <w:rPr>
          <w:rFonts w:hint="eastAsia"/>
          <w:kern w:val="0"/>
        </w:rPr>
        <w:t>天计，生活垃圾产生量为</w:t>
      </w:r>
      <w:r>
        <w:rPr>
          <w:kern w:val="0"/>
        </w:rPr>
        <w:t>49.1t/a</w:t>
      </w:r>
      <w:r>
        <w:rPr>
          <w:rFonts w:hint="eastAsia"/>
          <w:kern w:val="0"/>
        </w:rPr>
        <w:t>，由当地环卫部门统一收集处理。</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sectPr>
          <w:pgSz w:w="11906" w:h="16838"/>
          <w:pgMar w:top="1134" w:right="1418" w:bottom="1134" w:left="1418" w:header="851" w:footer="850" w:gutter="0"/>
          <w:cols w:space="425" w:num="1"/>
          <w:docGrid w:type="lines" w:linePitch="326" w:charSpace="0"/>
        </w:sectPr>
      </w:pPr>
    </w:p>
    <w:p>
      <w:pPr>
        <w:pStyle w:val="161"/>
        <w:ind w:firstLine="480"/>
      </w:pPr>
      <w:r>
        <w:rPr>
          <w:rFonts w:hint="eastAsia"/>
        </w:rPr>
        <w:t>表4.9—6                         固废产排情况一览表</w:t>
      </w:r>
    </w:p>
    <w:tbl>
      <w:tblPr>
        <w:tblStyle w:val="88"/>
        <w:tblpPr w:leftFromText="180" w:rightFromText="180" w:vertAnchor="text" w:tblpX="142" w:tblpY="1"/>
        <w:tblOverlap w:val="never"/>
        <w:tblW w:w="13234"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704"/>
        <w:gridCol w:w="3163"/>
        <w:gridCol w:w="1178"/>
        <w:gridCol w:w="2634"/>
        <w:gridCol w:w="1466"/>
        <w:gridCol w:w="1540"/>
        <w:gridCol w:w="2549"/>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single" w:color="000000"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编号</w:t>
            </w:r>
          </w:p>
        </w:tc>
        <w:tc>
          <w:tcPr>
            <w:tcW w:w="3163"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污染源名称</w:t>
            </w:r>
          </w:p>
        </w:tc>
        <w:tc>
          <w:tcPr>
            <w:tcW w:w="1178"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cs="Times New Roman"/>
                <w:sz w:val="21"/>
              </w:rPr>
            </w:pPr>
            <w:r>
              <w:rPr>
                <w:rFonts w:hint="eastAsia" w:hAnsi="宋体"/>
                <w:sz w:val="21"/>
              </w:rPr>
              <w:t>排放量</w:t>
            </w:r>
          </w:p>
          <w:p>
            <w:pPr>
              <w:adjustRightInd w:val="0"/>
              <w:snapToGrid w:val="0"/>
              <w:spacing w:line="240" w:lineRule="atLeast"/>
              <w:ind w:firstLine="0" w:firstLineChars="0"/>
              <w:jc w:val="center"/>
              <w:rPr>
                <w:sz w:val="21"/>
              </w:rPr>
            </w:pPr>
            <w:r>
              <w:rPr>
                <w:rFonts w:hAnsi="宋体"/>
                <w:sz w:val="21"/>
              </w:rPr>
              <w:t>(t/a)</w:t>
            </w:r>
          </w:p>
        </w:tc>
        <w:tc>
          <w:tcPr>
            <w:tcW w:w="2634"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主要成分</w:t>
            </w:r>
          </w:p>
        </w:tc>
        <w:tc>
          <w:tcPr>
            <w:tcW w:w="1466"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排放规律</w:t>
            </w:r>
          </w:p>
        </w:tc>
        <w:tc>
          <w:tcPr>
            <w:tcW w:w="1540" w:type="dxa"/>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分类</w:t>
            </w:r>
          </w:p>
        </w:tc>
        <w:tc>
          <w:tcPr>
            <w:tcW w:w="2549" w:type="dxa"/>
            <w:tcBorders>
              <w:top w:val="single" w:color="000000"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sz w:val="21"/>
              </w:rPr>
            </w:pPr>
            <w:r>
              <w:rPr>
                <w:rFonts w:hint="eastAsia" w:hAnsi="宋体"/>
                <w:sz w:val="21"/>
              </w:rPr>
              <w:t>治理措施</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S1</w:t>
            </w:r>
          </w:p>
        </w:tc>
        <w:tc>
          <w:tcPr>
            <w:tcW w:w="3163" w:type="dxa"/>
            <w:tcBorders>
              <w:top w:val="single" w:color="auto" w:sz="12"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hAnsi="宋体"/>
                <w:sz w:val="21"/>
              </w:rPr>
              <w:t>有机废气净化器废渣</w:t>
            </w:r>
          </w:p>
        </w:tc>
        <w:tc>
          <w:tcPr>
            <w:tcW w:w="1178" w:type="dxa"/>
            <w:tcBorders>
              <w:top w:val="single" w:color="auto" w:sz="12"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23.70</w:t>
            </w:r>
          </w:p>
        </w:tc>
        <w:tc>
          <w:tcPr>
            <w:tcW w:w="2634" w:type="dxa"/>
            <w:tcBorders>
              <w:top w:val="single" w:color="auto" w:sz="12"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kern w:val="0"/>
                <w:sz w:val="21"/>
              </w:rPr>
              <w:t>废活性炭</w:t>
            </w:r>
          </w:p>
        </w:tc>
        <w:tc>
          <w:tcPr>
            <w:tcW w:w="1466"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间断，次</w:t>
            </w:r>
            <w:r>
              <w:rPr>
                <w:rFonts w:hAnsi="宋体"/>
                <w:sz w:val="21"/>
              </w:rPr>
              <w:t>/1</w:t>
            </w:r>
            <w:r>
              <w:rPr>
                <w:rFonts w:hint="eastAsia" w:hAnsi="宋体"/>
                <w:sz w:val="21"/>
              </w:rPr>
              <w:t>月</w:t>
            </w:r>
          </w:p>
        </w:tc>
        <w:tc>
          <w:tcPr>
            <w:tcW w:w="1540"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2549"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S2</w:t>
            </w:r>
          </w:p>
        </w:tc>
        <w:tc>
          <w:tcPr>
            <w:tcW w:w="316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物化车间澄清池废渣</w:t>
            </w:r>
          </w:p>
        </w:tc>
        <w:tc>
          <w:tcPr>
            <w:tcW w:w="117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11757.57</w:t>
            </w:r>
          </w:p>
        </w:tc>
        <w:tc>
          <w:tcPr>
            <w:tcW w:w="2634"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硫酸钙等</w:t>
            </w:r>
          </w:p>
        </w:tc>
        <w:tc>
          <w:tcPr>
            <w:tcW w:w="14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5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254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S3</w:t>
            </w:r>
          </w:p>
        </w:tc>
        <w:tc>
          <w:tcPr>
            <w:tcW w:w="316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物化车间隔油池废油</w:t>
            </w:r>
          </w:p>
        </w:tc>
        <w:tc>
          <w:tcPr>
            <w:tcW w:w="117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101.97</w:t>
            </w:r>
          </w:p>
        </w:tc>
        <w:tc>
          <w:tcPr>
            <w:tcW w:w="2634"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废油等</w:t>
            </w:r>
          </w:p>
        </w:tc>
        <w:tc>
          <w:tcPr>
            <w:tcW w:w="14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5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254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S4</w:t>
            </w:r>
          </w:p>
        </w:tc>
        <w:tc>
          <w:tcPr>
            <w:tcW w:w="316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物化车间沉淀池废渣</w:t>
            </w:r>
          </w:p>
        </w:tc>
        <w:tc>
          <w:tcPr>
            <w:tcW w:w="117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99.00</w:t>
            </w:r>
          </w:p>
        </w:tc>
        <w:tc>
          <w:tcPr>
            <w:tcW w:w="2634"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含重沉淀物等</w:t>
            </w:r>
          </w:p>
        </w:tc>
        <w:tc>
          <w:tcPr>
            <w:tcW w:w="14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5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254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S5</w:t>
            </w:r>
          </w:p>
        </w:tc>
        <w:tc>
          <w:tcPr>
            <w:tcW w:w="31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焚烧炉炉渣</w:t>
            </w:r>
          </w:p>
        </w:tc>
        <w:tc>
          <w:tcPr>
            <w:tcW w:w="117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7474.50</w:t>
            </w:r>
          </w:p>
        </w:tc>
        <w:tc>
          <w:tcPr>
            <w:tcW w:w="263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8"/>
                <w:sz w:val="21"/>
                <w:lang w:val="pt-BR"/>
              </w:rPr>
            </w:pPr>
            <w:r>
              <w:rPr>
                <w:rFonts w:hint="eastAsia"/>
                <w:spacing w:val="-8"/>
                <w:sz w:val="21"/>
                <w:lang w:val="pt-BR"/>
              </w:rPr>
              <w:t>焚烧残渣</w:t>
            </w:r>
          </w:p>
        </w:tc>
        <w:tc>
          <w:tcPr>
            <w:tcW w:w="14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5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254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S6</w:t>
            </w:r>
          </w:p>
        </w:tc>
        <w:tc>
          <w:tcPr>
            <w:tcW w:w="31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焚烧炉飞灰</w:t>
            </w:r>
          </w:p>
        </w:tc>
        <w:tc>
          <w:tcPr>
            <w:tcW w:w="117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1089.00</w:t>
            </w:r>
          </w:p>
        </w:tc>
        <w:tc>
          <w:tcPr>
            <w:tcW w:w="263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8"/>
                <w:sz w:val="21"/>
                <w:lang w:val="pt-BR"/>
              </w:rPr>
            </w:pPr>
            <w:r>
              <w:rPr>
                <w:rFonts w:hint="eastAsia"/>
                <w:spacing w:val="-8"/>
                <w:sz w:val="21"/>
                <w:lang w:val="pt-BR"/>
              </w:rPr>
              <w:t>颗粒物及重金属等</w:t>
            </w:r>
          </w:p>
        </w:tc>
        <w:tc>
          <w:tcPr>
            <w:tcW w:w="14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5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254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sz w:val="21"/>
              </w:rPr>
            </w:pPr>
            <w:r>
              <w:rPr>
                <w:sz w:val="21"/>
              </w:rPr>
              <w:t>S7</w:t>
            </w:r>
          </w:p>
        </w:tc>
        <w:tc>
          <w:tcPr>
            <w:tcW w:w="316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喷淋洗涤塔滤渣</w:t>
            </w:r>
          </w:p>
        </w:tc>
        <w:tc>
          <w:tcPr>
            <w:tcW w:w="117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39.60</w:t>
            </w:r>
          </w:p>
        </w:tc>
        <w:tc>
          <w:tcPr>
            <w:tcW w:w="263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spacing w:val="-8"/>
                <w:sz w:val="21"/>
                <w:lang w:val="pt-BR"/>
              </w:rPr>
              <w:t>颗粒物及重金属等</w:t>
            </w:r>
          </w:p>
        </w:tc>
        <w:tc>
          <w:tcPr>
            <w:tcW w:w="14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5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254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S8</w:t>
            </w:r>
          </w:p>
        </w:tc>
        <w:tc>
          <w:tcPr>
            <w:tcW w:w="31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厂区污水处理站污泥</w:t>
            </w:r>
          </w:p>
        </w:tc>
        <w:tc>
          <w:tcPr>
            <w:tcW w:w="117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1920.60</w:t>
            </w:r>
          </w:p>
        </w:tc>
        <w:tc>
          <w:tcPr>
            <w:tcW w:w="2634"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hAnsi="宋体"/>
                <w:sz w:val="21"/>
              </w:rPr>
              <w:t>有机质、重金属等</w:t>
            </w:r>
          </w:p>
        </w:tc>
        <w:tc>
          <w:tcPr>
            <w:tcW w:w="146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间断</w:t>
            </w:r>
          </w:p>
        </w:tc>
        <w:tc>
          <w:tcPr>
            <w:tcW w:w="15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2549"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S9</w:t>
            </w:r>
          </w:p>
        </w:tc>
        <w:tc>
          <w:tcPr>
            <w:tcW w:w="31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强制循环蒸发系统盐泥</w:t>
            </w:r>
          </w:p>
        </w:tc>
        <w:tc>
          <w:tcPr>
            <w:tcW w:w="117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1204.50</w:t>
            </w:r>
          </w:p>
        </w:tc>
        <w:tc>
          <w:tcPr>
            <w:tcW w:w="26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盐类、重金属等</w:t>
            </w:r>
          </w:p>
        </w:tc>
        <w:tc>
          <w:tcPr>
            <w:tcW w:w="146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间断</w:t>
            </w:r>
          </w:p>
        </w:tc>
        <w:tc>
          <w:tcPr>
            <w:tcW w:w="15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sz w:val="21"/>
              </w:rPr>
              <w:t>危险废物</w:t>
            </w:r>
          </w:p>
        </w:tc>
        <w:tc>
          <w:tcPr>
            <w:tcW w:w="2549"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S10</w:t>
            </w:r>
          </w:p>
        </w:tc>
        <w:tc>
          <w:tcPr>
            <w:tcW w:w="3163"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强制循环蒸发系统净化器废渣</w:t>
            </w:r>
          </w:p>
        </w:tc>
        <w:tc>
          <w:tcPr>
            <w:tcW w:w="1178"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1.6</w:t>
            </w:r>
          </w:p>
        </w:tc>
        <w:tc>
          <w:tcPr>
            <w:tcW w:w="2634"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废活性炭</w:t>
            </w:r>
          </w:p>
        </w:tc>
        <w:tc>
          <w:tcPr>
            <w:tcW w:w="1466"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间断</w:t>
            </w:r>
          </w:p>
        </w:tc>
        <w:tc>
          <w:tcPr>
            <w:tcW w:w="154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危险废物</w:t>
            </w:r>
          </w:p>
        </w:tc>
        <w:tc>
          <w:tcPr>
            <w:tcW w:w="2549"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85" w:hRule="atLeast"/>
        </w:trPr>
        <w:tc>
          <w:tcPr>
            <w:tcW w:w="704" w:type="dxa"/>
            <w:tcBorders>
              <w:top w:val="dotted" w:color="auto" w:sz="4" w:space="0"/>
              <w:left w:val="nil"/>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sz w:val="21"/>
              </w:rPr>
              <w:t>S11</w:t>
            </w:r>
          </w:p>
        </w:tc>
        <w:tc>
          <w:tcPr>
            <w:tcW w:w="3163"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生活垃圾</w:t>
            </w:r>
          </w:p>
        </w:tc>
        <w:tc>
          <w:tcPr>
            <w:tcW w:w="1178" w:type="dxa"/>
            <w:tcBorders>
              <w:top w:val="dotted" w:color="auto" w:sz="4" w:space="0"/>
              <w:left w:val="dotted" w:color="auto" w:sz="4" w:space="0"/>
              <w:bottom w:val="single" w:color="000000" w:sz="12" w:space="0"/>
              <w:right w:val="dotted" w:color="auto" w:sz="4" w:space="0"/>
            </w:tcBorders>
            <w:vAlign w:val="center"/>
          </w:tcPr>
          <w:p>
            <w:pPr>
              <w:adjustRightInd w:val="0"/>
              <w:spacing w:line="240" w:lineRule="atLeast"/>
              <w:ind w:firstLine="0" w:firstLineChars="0"/>
              <w:jc w:val="center"/>
              <w:rPr>
                <w:sz w:val="21"/>
              </w:rPr>
            </w:pPr>
            <w:r>
              <w:rPr>
                <w:sz w:val="21"/>
              </w:rPr>
              <w:t>49.1</w:t>
            </w:r>
          </w:p>
        </w:tc>
        <w:tc>
          <w:tcPr>
            <w:tcW w:w="2634" w:type="dxa"/>
            <w:tcBorders>
              <w:top w:val="dotted" w:color="auto" w:sz="4" w:space="0"/>
              <w:left w:val="dotted" w:color="auto" w:sz="4" w:space="0"/>
              <w:bottom w:val="single" w:color="000000" w:sz="12" w:space="0"/>
              <w:right w:val="dotted" w:color="auto" w:sz="4" w:space="0"/>
            </w:tcBorders>
            <w:vAlign w:val="center"/>
          </w:tcPr>
          <w:p>
            <w:pPr>
              <w:adjustRightInd w:val="0"/>
              <w:spacing w:line="240" w:lineRule="atLeast"/>
              <w:ind w:firstLine="0" w:firstLineChars="0"/>
              <w:jc w:val="center"/>
              <w:rPr>
                <w:kern w:val="0"/>
                <w:sz w:val="21"/>
              </w:rPr>
            </w:pPr>
            <w:r>
              <w:rPr>
                <w:kern w:val="0"/>
                <w:sz w:val="21"/>
              </w:rPr>
              <w:t>-</w:t>
            </w:r>
          </w:p>
        </w:tc>
        <w:tc>
          <w:tcPr>
            <w:tcW w:w="1466"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间断</w:t>
            </w:r>
          </w:p>
        </w:tc>
        <w:tc>
          <w:tcPr>
            <w:tcW w:w="154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sz w:val="21"/>
              </w:rPr>
              <w:t>-</w:t>
            </w:r>
          </w:p>
        </w:tc>
        <w:tc>
          <w:tcPr>
            <w:tcW w:w="2549"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rFonts w:hAnsi="宋体"/>
                <w:sz w:val="21"/>
              </w:rPr>
            </w:pPr>
            <w:r>
              <w:rPr>
                <w:rFonts w:hint="eastAsia" w:hAnsi="宋体"/>
                <w:sz w:val="21"/>
              </w:rPr>
              <w:t>由当地环卫部门统一清运</w:t>
            </w:r>
          </w:p>
        </w:tc>
      </w:tr>
    </w:tbl>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161"/>
        <w:ind w:firstLine="480"/>
        <w:outlineLvl w:val="0"/>
      </w:pPr>
      <w:bookmarkStart w:id="318" w:name="_Hlk530158265"/>
      <w:r>
        <w:rPr>
          <w:rFonts w:hint="eastAsia"/>
        </w:rPr>
        <w:t>表4.9—7                                 改扩建前后全厂固废产生情况对比一览表</w:t>
      </w:r>
    </w:p>
    <w:tbl>
      <w:tblPr>
        <w:tblStyle w:val="88"/>
        <w:tblpPr w:leftFromText="180" w:rightFromText="180" w:vertAnchor="text" w:tblpX="142" w:tblpY="1"/>
        <w:tblOverlap w:val="never"/>
        <w:tblW w:w="13856"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493"/>
        <w:gridCol w:w="1153"/>
        <w:gridCol w:w="1153"/>
        <w:gridCol w:w="1153"/>
        <w:gridCol w:w="1973"/>
        <w:gridCol w:w="1829"/>
        <w:gridCol w:w="1530"/>
        <w:gridCol w:w="1031"/>
        <w:gridCol w:w="1541"/>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vMerge w:val="restart"/>
            <w:tcBorders>
              <w:top w:val="single" w:color="000000"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污染源名称</w:t>
            </w:r>
          </w:p>
        </w:tc>
        <w:tc>
          <w:tcPr>
            <w:tcW w:w="3459" w:type="dxa"/>
            <w:gridSpan w:val="3"/>
            <w:tcBorders>
              <w:top w:val="single" w:color="000000" w:sz="12" w:space="0"/>
              <w:left w:val="dotted" w:color="auto" w:sz="4" w:space="0"/>
              <w:bottom w:val="dotted" w:color="000000"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排放量</w:t>
            </w:r>
            <w:r>
              <w:rPr>
                <w:sz w:val="21"/>
              </w:rPr>
              <w:t>(t/a)</w:t>
            </w:r>
          </w:p>
        </w:tc>
        <w:tc>
          <w:tcPr>
            <w:tcW w:w="3802" w:type="dxa"/>
            <w:gridSpan w:val="2"/>
            <w:tcBorders>
              <w:top w:val="single" w:color="000000" w:sz="12" w:space="0"/>
              <w:left w:val="dotted" w:color="auto" w:sz="4" w:space="0"/>
              <w:bottom w:val="dotted" w:color="000000"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主要成分</w:t>
            </w:r>
          </w:p>
        </w:tc>
        <w:tc>
          <w:tcPr>
            <w:tcW w:w="1530" w:type="dxa"/>
            <w:vMerge w:val="restart"/>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排放规律</w:t>
            </w:r>
          </w:p>
        </w:tc>
        <w:tc>
          <w:tcPr>
            <w:tcW w:w="1031" w:type="dxa"/>
            <w:vMerge w:val="restart"/>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分类</w:t>
            </w:r>
          </w:p>
        </w:tc>
        <w:tc>
          <w:tcPr>
            <w:tcW w:w="1541" w:type="dxa"/>
            <w:vMerge w:val="restart"/>
            <w:tcBorders>
              <w:top w:val="single" w:color="000000"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sz w:val="21"/>
              </w:rPr>
            </w:pPr>
            <w:r>
              <w:rPr>
                <w:rFonts w:hint="eastAsia"/>
                <w:sz w:val="21"/>
              </w:rPr>
              <w:t>治理措施</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left"/>
              <w:rPr>
                <w:sz w:val="21"/>
              </w:rPr>
            </w:pPr>
          </w:p>
        </w:tc>
        <w:tc>
          <w:tcPr>
            <w:tcW w:w="1153" w:type="dxa"/>
            <w:tcBorders>
              <w:top w:val="dotted" w:color="000000"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改扩建前</w:t>
            </w:r>
          </w:p>
        </w:tc>
        <w:tc>
          <w:tcPr>
            <w:tcW w:w="1153" w:type="dxa"/>
            <w:tcBorders>
              <w:top w:val="dotted" w:color="000000"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改扩建后</w:t>
            </w:r>
          </w:p>
        </w:tc>
        <w:tc>
          <w:tcPr>
            <w:tcW w:w="1153" w:type="dxa"/>
            <w:tcBorders>
              <w:top w:val="dotted" w:color="000000"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增减量</w:t>
            </w:r>
          </w:p>
        </w:tc>
        <w:tc>
          <w:tcPr>
            <w:tcW w:w="1973" w:type="dxa"/>
            <w:tcBorders>
              <w:top w:val="dotted" w:color="000000"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改扩建前</w:t>
            </w:r>
          </w:p>
        </w:tc>
        <w:tc>
          <w:tcPr>
            <w:tcW w:w="1829" w:type="dxa"/>
            <w:tcBorders>
              <w:top w:val="dotted" w:color="000000"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改扩建后</w:t>
            </w:r>
          </w:p>
        </w:tc>
        <w:tc>
          <w:tcPr>
            <w:tcW w:w="1530"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sz w:val="21"/>
              </w:rPr>
            </w:pPr>
          </w:p>
        </w:tc>
        <w:tc>
          <w:tcPr>
            <w:tcW w:w="1031"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sz w:val="21"/>
              </w:rPr>
            </w:pPr>
          </w:p>
        </w:tc>
        <w:tc>
          <w:tcPr>
            <w:tcW w:w="1541" w:type="dxa"/>
            <w:vMerge w:val="continue"/>
            <w:tcBorders>
              <w:top w:val="single" w:color="000000" w:sz="12" w:space="0"/>
              <w:left w:val="dotted" w:color="auto" w:sz="4" w:space="0"/>
              <w:bottom w:val="single" w:color="auto" w:sz="12" w:space="0"/>
              <w:right w:val="nil"/>
            </w:tcBorders>
            <w:vAlign w:val="center"/>
          </w:tcPr>
          <w:p>
            <w:pPr>
              <w:widowControl/>
              <w:spacing w:line="240" w:lineRule="atLeast"/>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single" w:color="auto" w:sz="12" w:space="0"/>
              <w:left w:val="nil"/>
              <w:bottom w:val="dotted" w:color="000000" w:sz="4" w:space="0"/>
              <w:right w:val="dotted" w:color="auto" w:sz="4" w:space="0"/>
            </w:tcBorders>
            <w:vAlign w:val="center"/>
          </w:tcPr>
          <w:p>
            <w:pPr>
              <w:adjustRightInd w:val="0"/>
              <w:spacing w:line="240" w:lineRule="atLeast"/>
              <w:ind w:firstLine="0" w:firstLineChars="0"/>
              <w:jc w:val="center"/>
              <w:rPr>
                <w:sz w:val="21"/>
              </w:rPr>
            </w:pPr>
            <w:r>
              <w:rPr>
                <w:rFonts w:hint="eastAsia" w:hAnsi="宋体"/>
                <w:sz w:val="21"/>
              </w:rPr>
              <w:t>有机废气净化器废渣</w:t>
            </w:r>
          </w:p>
        </w:tc>
        <w:tc>
          <w:tcPr>
            <w:tcW w:w="1153" w:type="dxa"/>
            <w:tcBorders>
              <w:top w:val="single" w:color="auto" w:sz="12" w:space="0"/>
              <w:left w:val="dotted" w:color="auto" w:sz="4" w:space="0"/>
              <w:bottom w:val="dotted" w:color="000000"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19.7</w:t>
            </w:r>
          </w:p>
        </w:tc>
        <w:tc>
          <w:tcPr>
            <w:tcW w:w="1153" w:type="dxa"/>
            <w:tcBorders>
              <w:top w:val="single" w:color="auto" w:sz="12" w:space="0"/>
              <w:left w:val="dotted" w:color="auto" w:sz="4" w:space="0"/>
              <w:bottom w:val="dotted" w:color="000000"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23.70</w:t>
            </w:r>
          </w:p>
        </w:tc>
        <w:tc>
          <w:tcPr>
            <w:tcW w:w="1153" w:type="dxa"/>
            <w:tcBorders>
              <w:top w:val="single" w:color="auto" w:sz="12" w:space="0"/>
              <w:left w:val="dotted" w:color="auto" w:sz="4" w:space="0"/>
              <w:bottom w:val="dotted" w:color="000000"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w:t>
            </w:r>
            <w:r>
              <w:rPr>
                <w:rFonts w:cs="Times New Roman"/>
                <w:color w:val="000000"/>
                <w:sz w:val="21"/>
              </w:rPr>
              <w:t>4.00</w:t>
            </w:r>
          </w:p>
        </w:tc>
        <w:tc>
          <w:tcPr>
            <w:tcW w:w="3802" w:type="dxa"/>
            <w:gridSpan w:val="2"/>
            <w:tcBorders>
              <w:top w:val="single" w:color="auto" w:sz="12" w:space="0"/>
              <w:left w:val="dotted" w:color="auto" w:sz="4" w:space="0"/>
              <w:bottom w:val="dotted" w:color="000000" w:sz="4" w:space="0"/>
              <w:right w:val="dotted" w:color="auto" w:sz="4" w:space="0"/>
            </w:tcBorders>
            <w:vAlign w:val="center"/>
          </w:tcPr>
          <w:p>
            <w:pPr>
              <w:adjustRightInd w:val="0"/>
              <w:spacing w:line="240" w:lineRule="atLeast"/>
              <w:ind w:firstLine="0" w:firstLineChars="0"/>
              <w:jc w:val="center"/>
              <w:rPr>
                <w:sz w:val="21"/>
              </w:rPr>
            </w:pPr>
            <w:r>
              <w:rPr>
                <w:rFonts w:hint="eastAsia"/>
                <w:kern w:val="0"/>
                <w:sz w:val="21"/>
              </w:rPr>
              <w:t>废活性炭</w:t>
            </w:r>
          </w:p>
        </w:tc>
        <w:tc>
          <w:tcPr>
            <w:tcW w:w="1530" w:type="dxa"/>
            <w:tcBorders>
              <w:top w:val="single" w:color="auto" w:sz="12" w:space="0"/>
              <w:left w:val="dotted" w:color="auto" w:sz="4" w:space="0"/>
              <w:bottom w:val="dotted" w:color="000000" w:sz="4" w:space="0"/>
              <w:right w:val="dotted" w:color="auto" w:sz="4" w:space="0"/>
            </w:tcBorders>
            <w:vAlign w:val="center"/>
          </w:tcPr>
          <w:p>
            <w:pPr>
              <w:spacing w:line="240" w:lineRule="atLeast"/>
              <w:ind w:firstLine="0" w:firstLineChars="0"/>
              <w:jc w:val="center"/>
              <w:rPr>
                <w:sz w:val="21"/>
              </w:rPr>
            </w:pPr>
            <w:r>
              <w:rPr>
                <w:rFonts w:hint="eastAsia" w:hAnsi="宋体"/>
                <w:sz w:val="21"/>
              </w:rPr>
              <w:t>间断，次</w:t>
            </w:r>
            <w:r>
              <w:rPr>
                <w:rFonts w:hAnsi="宋体"/>
                <w:sz w:val="21"/>
              </w:rPr>
              <w:t>/1</w:t>
            </w:r>
            <w:r>
              <w:rPr>
                <w:rFonts w:hint="eastAsia" w:hAnsi="宋体"/>
                <w:sz w:val="21"/>
              </w:rPr>
              <w:t>月</w:t>
            </w:r>
          </w:p>
        </w:tc>
        <w:tc>
          <w:tcPr>
            <w:tcW w:w="1031" w:type="dxa"/>
            <w:tcBorders>
              <w:top w:val="single" w:color="auto" w:sz="12" w:space="0"/>
              <w:left w:val="dotted" w:color="auto" w:sz="4" w:space="0"/>
              <w:bottom w:val="dotted" w:color="000000"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1541" w:type="dxa"/>
            <w:tcBorders>
              <w:top w:val="single" w:color="auto" w:sz="12" w:space="0"/>
              <w:left w:val="dotted" w:color="auto" w:sz="4" w:space="0"/>
              <w:bottom w:val="dotted" w:color="000000" w:sz="4" w:space="0"/>
              <w:right w:val="nil"/>
            </w:tcBorders>
            <w:vAlign w:val="center"/>
          </w:tcPr>
          <w:p>
            <w:pPr>
              <w:spacing w:line="240" w:lineRule="atLeast"/>
              <w:ind w:firstLine="0" w:firstLineChars="0"/>
              <w:jc w:val="center"/>
              <w:rPr>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物化车间澄清池废渣</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798.6</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11757.57</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w:t>
            </w:r>
            <w:r>
              <w:rPr>
                <w:rFonts w:cs="Times New Roman"/>
                <w:color w:val="000000"/>
                <w:sz w:val="21"/>
              </w:rPr>
              <w:t>10958.97</w:t>
            </w:r>
          </w:p>
        </w:tc>
        <w:tc>
          <w:tcPr>
            <w:tcW w:w="3802" w:type="dxa"/>
            <w:gridSpan w:val="2"/>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硫酸钙等</w:t>
            </w:r>
          </w:p>
        </w:tc>
        <w:tc>
          <w:tcPr>
            <w:tcW w:w="153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03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154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物化车间隔油池废油</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5.61</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101.97</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w:t>
            </w:r>
            <w:r>
              <w:rPr>
                <w:rFonts w:cs="Times New Roman"/>
                <w:color w:val="000000"/>
                <w:sz w:val="21"/>
              </w:rPr>
              <w:t>96.36</w:t>
            </w:r>
          </w:p>
        </w:tc>
        <w:tc>
          <w:tcPr>
            <w:tcW w:w="3802" w:type="dxa"/>
            <w:gridSpan w:val="2"/>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废油等</w:t>
            </w:r>
          </w:p>
        </w:tc>
        <w:tc>
          <w:tcPr>
            <w:tcW w:w="153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03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154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物化车间沉淀池废渣</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5.94</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99.00</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w:t>
            </w:r>
            <w:r>
              <w:rPr>
                <w:rFonts w:cs="Times New Roman"/>
                <w:color w:val="000000"/>
                <w:sz w:val="21"/>
              </w:rPr>
              <w:t>93.06</w:t>
            </w:r>
          </w:p>
        </w:tc>
        <w:tc>
          <w:tcPr>
            <w:tcW w:w="3802" w:type="dxa"/>
            <w:gridSpan w:val="2"/>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kern w:val="0"/>
                <w:sz w:val="21"/>
              </w:rPr>
              <w:t>含重沉淀物等</w:t>
            </w:r>
          </w:p>
        </w:tc>
        <w:tc>
          <w:tcPr>
            <w:tcW w:w="153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03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154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焚烧炉炉渣</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590.20</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7474.50</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w:t>
            </w:r>
            <w:r>
              <w:rPr>
                <w:rFonts w:cs="Times New Roman"/>
                <w:color w:val="000000"/>
                <w:sz w:val="21"/>
              </w:rPr>
              <w:t>6884.30</w:t>
            </w:r>
          </w:p>
        </w:tc>
        <w:tc>
          <w:tcPr>
            <w:tcW w:w="380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8"/>
                <w:sz w:val="21"/>
                <w:lang w:val="pt-BR"/>
              </w:rPr>
            </w:pPr>
            <w:r>
              <w:rPr>
                <w:rFonts w:hint="eastAsia"/>
                <w:spacing w:val="-8"/>
                <w:sz w:val="21"/>
                <w:lang w:val="pt-BR"/>
              </w:rPr>
              <w:t>焚烧残渣</w:t>
            </w:r>
          </w:p>
        </w:tc>
        <w:tc>
          <w:tcPr>
            <w:tcW w:w="153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03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154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焚烧炉飞灰</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263.8</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1089.00</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w:t>
            </w:r>
            <w:r>
              <w:rPr>
                <w:rFonts w:cs="Times New Roman"/>
                <w:color w:val="000000"/>
                <w:sz w:val="21"/>
              </w:rPr>
              <w:t>825.20</w:t>
            </w:r>
          </w:p>
        </w:tc>
        <w:tc>
          <w:tcPr>
            <w:tcW w:w="380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8"/>
                <w:sz w:val="21"/>
                <w:lang w:val="pt-BR"/>
              </w:rPr>
            </w:pPr>
            <w:r>
              <w:rPr>
                <w:rFonts w:hint="eastAsia"/>
                <w:spacing w:val="-8"/>
                <w:sz w:val="21"/>
                <w:lang w:val="pt-BR"/>
              </w:rPr>
              <w:t>颗粒物及重金属等</w:t>
            </w:r>
          </w:p>
        </w:tc>
        <w:tc>
          <w:tcPr>
            <w:tcW w:w="153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03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154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喷淋洗涤塔滤渣</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8.9</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39.60</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w:t>
            </w:r>
            <w:r>
              <w:rPr>
                <w:rFonts w:cs="Times New Roman"/>
                <w:color w:val="000000"/>
                <w:sz w:val="21"/>
              </w:rPr>
              <w:t>30.70</w:t>
            </w:r>
          </w:p>
        </w:tc>
        <w:tc>
          <w:tcPr>
            <w:tcW w:w="3802"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8"/>
                <w:sz w:val="21"/>
                <w:lang w:val="pt-BR"/>
              </w:rPr>
            </w:pPr>
            <w:r>
              <w:rPr>
                <w:rFonts w:hint="eastAsia"/>
                <w:spacing w:val="-8"/>
                <w:sz w:val="21"/>
                <w:lang w:val="pt-BR"/>
              </w:rPr>
              <w:t>颗粒物及重金属等</w:t>
            </w:r>
          </w:p>
        </w:tc>
        <w:tc>
          <w:tcPr>
            <w:tcW w:w="153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连续</w:t>
            </w:r>
          </w:p>
        </w:tc>
        <w:tc>
          <w:tcPr>
            <w:tcW w:w="103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154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厂区污水处理站污泥</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12.54</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1920.60</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w:t>
            </w:r>
            <w:r>
              <w:rPr>
                <w:rFonts w:cs="Times New Roman"/>
                <w:color w:val="000000"/>
                <w:sz w:val="21"/>
              </w:rPr>
              <w:t>1908.06</w:t>
            </w:r>
          </w:p>
        </w:tc>
        <w:tc>
          <w:tcPr>
            <w:tcW w:w="3802" w:type="dxa"/>
            <w:gridSpan w:val="2"/>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kern w:val="0"/>
                <w:sz w:val="21"/>
              </w:rPr>
            </w:pPr>
            <w:r>
              <w:rPr>
                <w:rFonts w:hint="eastAsia"/>
                <w:sz w:val="21"/>
              </w:rPr>
              <w:t>有机质、重金属等</w:t>
            </w:r>
          </w:p>
        </w:tc>
        <w:tc>
          <w:tcPr>
            <w:tcW w:w="153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间断</w:t>
            </w:r>
          </w:p>
        </w:tc>
        <w:tc>
          <w:tcPr>
            <w:tcW w:w="103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危险废物</w:t>
            </w:r>
          </w:p>
        </w:tc>
        <w:tc>
          <w:tcPr>
            <w:tcW w:w="154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强制循环蒸发系统盐泥</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409.2</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1204.50</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w:t>
            </w:r>
            <w:r>
              <w:rPr>
                <w:rFonts w:cs="Times New Roman"/>
                <w:color w:val="000000"/>
                <w:sz w:val="21"/>
              </w:rPr>
              <w:t>795.30</w:t>
            </w:r>
          </w:p>
        </w:tc>
        <w:tc>
          <w:tcPr>
            <w:tcW w:w="3802"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盐类、重金属等</w:t>
            </w:r>
          </w:p>
        </w:tc>
        <w:tc>
          <w:tcPr>
            <w:tcW w:w="153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间断</w:t>
            </w:r>
          </w:p>
        </w:tc>
        <w:tc>
          <w:tcPr>
            <w:tcW w:w="103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sz w:val="21"/>
              </w:rPr>
              <w:t>危险废物</w:t>
            </w:r>
          </w:p>
        </w:tc>
        <w:tc>
          <w:tcPr>
            <w:tcW w:w="1541"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送至固化系统</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强制循环蒸发系统净化器废渣</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sz w:val="21"/>
              </w:rPr>
              <w:t>1.6</w:t>
            </w:r>
          </w:p>
        </w:tc>
        <w:tc>
          <w:tcPr>
            <w:tcW w:w="1153" w:type="dxa"/>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sz w:val="21"/>
              </w:rPr>
              <w:t>1.6</w:t>
            </w:r>
          </w:p>
        </w:tc>
        <w:tc>
          <w:tcPr>
            <w:tcW w:w="11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0</w:t>
            </w:r>
          </w:p>
        </w:tc>
        <w:tc>
          <w:tcPr>
            <w:tcW w:w="3802" w:type="dxa"/>
            <w:gridSpan w:val="2"/>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废活性炭</w:t>
            </w:r>
          </w:p>
        </w:tc>
        <w:tc>
          <w:tcPr>
            <w:tcW w:w="1530"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间断</w:t>
            </w:r>
          </w:p>
        </w:tc>
        <w:tc>
          <w:tcPr>
            <w:tcW w:w="1031" w:type="dxa"/>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危险废物</w:t>
            </w:r>
          </w:p>
        </w:tc>
        <w:tc>
          <w:tcPr>
            <w:tcW w:w="1541" w:type="dxa"/>
            <w:tcBorders>
              <w:top w:val="dotted" w:color="auto" w:sz="4" w:space="0"/>
              <w:left w:val="dotted" w:color="auto" w:sz="4" w:space="0"/>
              <w:bottom w:val="dotted" w:color="auto" w:sz="4" w:space="0"/>
              <w:right w:val="nil"/>
            </w:tcBorders>
            <w:vAlign w:val="center"/>
          </w:tcPr>
          <w:p>
            <w:pPr>
              <w:snapToGrid w:val="0"/>
              <w:spacing w:line="240" w:lineRule="atLeast"/>
              <w:ind w:firstLine="0" w:firstLineChars="0"/>
              <w:jc w:val="center"/>
              <w:rPr>
                <w:rFonts w:hAnsi="宋体"/>
                <w:sz w:val="21"/>
              </w:rPr>
            </w:pPr>
            <w:r>
              <w:rPr>
                <w:rFonts w:hint="eastAsia" w:hAnsi="宋体"/>
                <w:sz w:val="21"/>
              </w:rPr>
              <w:t>送至焚烧车间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10" w:hRule="atLeast"/>
        </w:trPr>
        <w:tc>
          <w:tcPr>
            <w:tcW w:w="2493" w:type="dxa"/>
            <w:tcBorders>
              <w:top w:val="dotted" w:color="auto" w:sz="4" w:space="0"/>
              <w:left w:val="nil"/>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生活垃圾</w:t>
            </w:r>
          </w:p>
        </w:tc>
        <w:tc>
          <w:tcPr>
            <w:tcW w:w="1153" w:type="dxa"/>
            <w:tcBorders>
              <w:top w:val="dotted" w:color="auto" w:sz="4" w:space="0"/>
              <w:left w:val="dotted" w:color="auto" w:sz="4" w:space="0"/>
              <w:bottom w:val="single" w:color="000000" w:sz="12" w:space="0"/>
              <w:right w:val="dotted" w:color="auto" w:sz="4" w:space="0"/>
            </w:tcBorders>
            <w:vAlign w:val="center"/>
          </w:tcPr>
          <w:p>
            <w:pPr>
              <w:adjustRightInd w:val="0"/>
              <w:spacing w:line="240" w:lineRule="atLeast"/>
              <w:ind w:firstLine="0" w:firstLineChars="0"/>
              <w:jc w:val="center"/>
              <w:rPr>
                <w:sz w:val="21"/>
              </w:rPr>
            </w:pPr>
            <w:r>
              <w:rPr>
                <w:rFonts w:hint="eastAsia"/>
                <w:sz w:val="21"/>
              </w:rPr>
              <w:t>49.1</w:t>
            </w:r>
          </w:p>
        </w:tc>
        <w:tc>
          <w:tcPr>
            <w:tcW w:w="1153" w:type="dxa"/>
            <w:tcBorders>
              <w:top w:val="dotted" w:color="auto" w:sz="4" w:space="0"/>
              <w:left w:val="dotted" w:color="auto" w:sz="4" w:space="0"/>
              <w:bottom w:val="single" w:color="000000" w:sz="12" w:space="0"/>
              <w:right w:val="dotted" w:color="auto" w:sz="4" w:space="0"/>
            </w:tcBorders>
            <w:vAlign w:val="center"/>
          </w:tcPr>
          <w:p>
            <w:pPr>
              <w:adjustRightInd w:val="0"/>
              <w:spacing w:line="240" w:lineRule="atLeast"/>
              <w:ind w:firstLine="0" w:firstLineChars="0"/>
              <w:jc w:val="center"/>
              <w:rPr>
                <w:sz w:val="21"/>
              </w:rPr>
            </w:pPr>
            <w:r>
              <w:rPr>
                <w:sz w:val="21"/>
              </w:rPr>
              <w:t>49.1</w:t>
            </w:r>
          </w:p>
        </w:tc>
        <w:tc>
          <w:tcPr>
            <w:tcW w:w="1153"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rFonts w:cs="Times New Roman"/>
                <w:color w:val="000000"/>
                <w:sz w:val="21"/>
              </w:rPr>
            </w:pPr>
            <w:r>
              <w:rPr>
                <w:rFonts w:hint="eastAsia" w:cs="Times New Roman"/>
                <w:color w:val="000000"/>
                <w:sz w:val="21"/>
              </w:rPr>
              <w:t>0</w:t>
            </w:r>
          </w:p>
        </w:tc>
        <w:tc>
          <w:tcPr>
            <w:tcW w:w="3802" w:type="dxa"/>
            <w:gridSpan w:val="2"/>
            <w:tcBorders>
              <w:top w:val="dotted" w:color="auto" w:sz="4" w:space="0"/>
              <w:left w:val="dotted" w:color="auto" w:sz="4" w:space="0"/>
              <w:bottom w:val="single" w:color="000000" w:sz="12" w:space="0"/>
              <w:right w:val="dotted" w:color="auto" w:sz="4" w:space="0"/>
            </w:tcBorders>
            <w:vAlign w:val="center"/>
          </w:tcPr>
          <w:p>
            <w:pPr>
              <w:adjustRightInd w:val="0"/>
              <w:spacing w:line="240" w:lineRule="atLeast"/>
              <w:ind w:firstLine="0" w:firstLineChars="0"/>
              <w:jc w:val="center"/>
              <w:rPr>
                <w:kern w:val="0"/>
                <w:sz w:val="21"/>
              </w:rPr>
            </w:pPr>
            <w:r>
              <w:rPr>
                <w:kern w:val="0"/>
                <w:sz w:val="21"/>
              </w:rPr>
              <w:t>-</w:t>
            </w:r>
          </w:p>
        </w:tc>
        <w:tc>
          <w:tcPr>
            <w:tcW w:w="1530"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间断</w:t>
            </w:r>
          </w:p>
        </w:tc>
        <w:tc>
          <w:tcPr>
            <w:tcW w:w="1031" w:type="dxa"/>
            <w:tcBorders>
              <w:top w:val="dotted" w:color="auto" w:sz="4" w:space="0"/>
              <w:left w:val="dotted" w:color="auto" w:sz="4" w:space="0"/>
              <w:bottom w:val="single" w:color="000000" w:sz="12" w:space="0"/>
              <w:right w:val="dotted" w:color="auto" w:sz="4" w:space="0"/>
            </w:tcBorders>
            <w:vAlign w:val="center"/>
          </w:tcPr>
          <w:p>
            <w:pPr>
              <w:snapToGrid w:val="0"/>
              <w:spacing w:line="240" w:lineRule="atLeast"/>
              <w:ind w:firstLine="0" w:firstLineChars="0"/>
              <w:jc w:val="center"/>
              <w:rPr>
                <w:rFonts w:hAnsi="宋体"/>
                <w:sz w:val="21"/>
              </w:rPr>
            </w:pPr>
            <w:r>
              <w:rPr>
                <w:sz w:val="21"/>
              </w:rPr>
              <w:t>-</w:t>
            </w:r>
          </w:p>
        </w:tc>
        <w:tc>
          <w:tcPr>
            <w:tcW w:w="1541" w:type="dxa"/>
            <w:tcBorders>
              <w:top w:val="dotted" w:color="auto" w:sz="4" w:space="0"/>
              <w:left w:val="dotted" w:color="auto" w:sz="4" w:space="0"/>
              <w:bottom w:val="single" w:color="000000" w:sz="12" w:space="0"/>
              <w:right w:val="nil"/>
            </w:tcBorders>
            <w:vAlign w:val="center"/>
          </w:tcPr>
          <w:p>
            <w:pPr>
              <w:snapToGrid w:val="0"/>
              <w:spacing w:line="240" w:lineRule="atLeast"/>
              <w:ind w:firstLine="0" w:firstLineChars="0"/>
              <w:jc w:val="center"/>
              <w:rPr>
                <w:rFonts w:hAnsi="宋体"/>
                <w:sz w:val="21"/>
              </w:rPr>
            </w:pPr>
            <w:r>
              <w:rPr>
                <w:rFonts w:hint="eastAsia" w:hAnsi="宋体"/>
                <w:sz w:val="21"/>
              </w:rPr>
              <w:t>由当地环卫部门统一清运</w:t>
            </w:r>
          </w:p>
        </w:tc>
      </w:tr>
      <w:bookmarkEnd w:id="318"/>
    </w:tbl>
    <w:p>
      <w:pPr>
        <w:ind w:firstLine="480"/>
      </w:pPr>
    </w:p>
    <w:p>
      <w:pPr>
        <w:ind w:firstLine="480"/>
      </w:pPr>
    </w:p>
    <w:p>
      <w:pPr>
        <w:ind w:firstLine="480"/>
        <w:sectPr>
          <w:pgSz w:w="16838" w:h="11906" w:orient="landscape"/>
          <w:pgMar w:top="1134" w:right="1418" w:bottom="1134" w:left="1418" w:header="851" w:footer="850" w:gutter="0"/>
          <w:cols w:space="425" w:num="1"/>
          <w:docGrid w:type="lines" w:linePitch="326" w:charSpace="0"/>
        </w:sectPr>
      </w:pPr>
    </w:p>
    <w:p>
      <w:pPr>
        <w:pStyle w:val="5"/>
      </w:pPr>
      <w:bookmarkStart w:id="319" w:name="_Toc13760187"/>
      <w:bookmarkStart w:id="320" w:name="_Toc503368912"/>
      <w:r>
        <w:t>4.</w:t>
      </w:r>
      <w:r>
        <w:rPr>
          <w:rFonts w:hint="eastAsia"/>
        </w:rPr>
        <w:t>9</w:t>
      </w:r>
      <w:r>
        <w:t>.4</w:t>
      </w:r>
      <w:r>
        <w:rPr>
          <w:rFonts w:hint="eastAsia"/>
        </w:rPr>
        <w:t>噪声</w:t>
      </w:r>
      <w:bookmarkEnd w:id="319"/>
      <w:bookmarkEnd w:id="320"/>
    </w:p>
    <w:p>
      <w:pPr>
        <w:pStyle w:val="178"/>
        <w:ind w:firstLine="480"/>
        <w:rPr>
          <w:szCs w:val="20"/>
        </w:rPr>
      </w:pPr>
      <w:bookmarkStart w:id="321" w:name="_Ref345147609"/>
      <w:r>
        <w:rPr>
          <w:rFonts w:hint="eastAsia"/>
        </w:rPr>
        <w:t>本为了保护好车间工人的身体健康，同时减少对厂区环境的污染，本项目噪声防治主要从声源的控制，噪声传播途径的控制及受声者个人防护三方面进行。</w:t>
      </w:r>
    </w:p>
    <w:p>
      <w:pPr>
        <w:pStyle w:val="178"/>
        <w:ind w:firstLine="480"/>
        <w:jc w:val="both"/>
        <w:rPr>
          <w:rFonts w:ascii="Times New Roman" w:hAnsi="Times New Roman"/>
        </w:rPr>
      </w:pPr>
      <w:r>
        <w:rPr>
          <w:rFonts w:hint="eastAsia"/>
        </w:rPr>
        <w:t>各种机电产品选用时，要求供货方将设备噪声控制在工程设计规定标准之内。各种压缩</w:t>
      </w:r>
      <w:r>
        <w:rPr>
          <w:rFonts w:hint="eastAsia" w:ascii="Times New Roman" w:hAnsi="Times New Roman"/>
        </w:rPr>
        <w:t>机均设置隔声罩，引风机尽量单独设在封闭房间。有些部位因生产工艺要求在设备上无法采取隔、吸、消音处理措施，设计时，在操作人员较多的场所设集中的隔声控制室，流动值班工作人员佩戴耳塞或耳罩。加强厂区绿化措施，降低噪声的传播。本项目噪声特性见表</w:t>
      </w:r>
      <w:r>
        <w:rPr>
          <w:rFonts w:ascii="Times New Roman" w:hAnsi="Times New Roman"/>
        </w:rPr>
        <w:t>4.</w:t>
      </w:r>
      <w:r>
        <w:rPr>
          <w:rFonts w:hint="eastAsia" w:ascii="Times New Roman" w:hAnsi="Times New Roman"/>
        </w:rPr>
        <w:t>9—8。</w:t>
      </w:r>
    </w:p>
    <w:p>
      <w:pPr>
        <w:pStyle w:val="178"/>
        <w:ind w:firstLine="480"/>
        <w:rPr>
          <w:rFonts w:ascii="Times New Roman" w:hAnsi="Times New Roman"/>
        </w:rPr>
      </w:pPr>
      <w:r>
        <w:rPr>
          <w:rFonts w:hint="eastAsia" w:ascii="Times New Roman" w:hAnsi="Times New Roman"/>
        </w:rPr>
        <w:t>表</w:t>
      </w:r>
      <w:r>
        <w:rPr>
          <w:rFonts w:ascii="Times New Roman" w:hAnsi="Times New Roman"/>
        </w:rPr>
        <w:t>4.</w:t>
      </w:r>
      <w:r>
        <w:rPr>
          <w:rFonts w:hint="eastAsia" w:ascii="Times New Roman" w:hAnsi="Times New Roman"/>
        </w:rPr>
        <w:t>9—8噪声源及声学参数表</w:t>
      </w:r>
    </w:p>
    <w:tbl>
      <w:tblPr>
        <w:tblStyle w:val="88"/>
        <w:tblW w:w="9070" w:type="dxa"/>
        <w:jc w:val="center"/>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Layout w:type="fixed"/>
        <w:tblCellMar>
          <w:top w:w="0" w:type="dxa"/>
          <w:left w:w="0" w:type="dxa"/>
          <w:bottom w:w="0" w:type="dxa"/>
          <w:right w:w="0" w:type="dxa"/>
        </w:tblCellMar>
      </w:tblPr>
      <w:tblGrid>
        <w:gridCol w:w="1858"/>
        <w:gridCol w:w="2131"/>
        <w:gridCol w:w="575"/>
        <w:gridCol w:w="1379"/>
        <w:gridCol w:w="2501"/>
        <w:gridCol w:w="626"/>
      </w:tblGrid>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tblHeader/>
          <w:jc w:val="center"/>
        </w:trPr>
        <w:tc>
          <w:tcPr>
            <w:tcW w:w="1858" w:type="dxa"/>
            <w:tcBorders>
              <w:top w:val="single" w:color="auto" w:sz="12" w:space="0"/>
              <w:left w:val="nil"/>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装置名称</w:t>
            </w:r>
          </w:p>
        </w:tc>
        <w:tc>
          <w:tcPr>
            <w:tcW w:w="2131" w:type="dxa"/>
            <w:tcBorders>
              <w:top w:val="single" w:color="auto" w:sz="12"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设备名称</w:t>
            </w:r>
          </w:p>
        </w:tc>
        <w:tc>
          <w:tcPr>
            <w:tcW w:w="575" w:type="dxa"/>
            <w:tcBorders>
              <w:top w:val="single" w:color="auto" w:sz="12" w:space="0"/>
              <w:left w:val="dotted" w:color="auto" w:sz="8"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属性</w:t>
            </w:r>
          </w:p>
        </w:tc>
        <w:tc>
          <w:tcPr>
            <w:tcW w:w="1379" w:type="dxa"/>
            <w:tcBorders>
              <w:top w:val="single" w:color="auto" w:sz="12" w:space="0"/>
              <w:left w:val="dotted" w:color="auto" w:sz="4"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声压级</w:t>
            </w:r>
            <w:r>
              <w:rPr>
                <w:sz w:val="21"/>
              </w:rPr>
              <w:t>dB(A)</w:t>
            </w:r>
          </w:p>
        </w:tc>
        <w:tc>
          <w:tcPr>
            <w:tcW w:w="2501" w:type="dxa"/>
            <w:tcBorders>
              <w:top w:val="single" w:color="auto" w:sz="12"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治理措施</w:t>
            </w:r>
          </w:p>
        </w:tc>
        <w:tc>
          <w:tcPr>
            <w:tcW w:w="626" w:type="dxa"/>
            <w:tcBorders>
              <w:top w:val="single" w:color="auto" w:sz="12" w:space="0"/>
              <w:left w:val="dotted" w:color="auto" w:sz="8" w:space="0"/>
              <w:bottom w:val="single" w:color="auto" w:sz="12" w:space="0"/>
              <w:right w:val="nil"/>
            </w:tcBorders>
            <w:vAlign w:val="center"/>
          </w:tcPr>
          <w:p>
            <w:pPr>
              <w:spacing w:line="240" w:lineRule="atLeast"/>
              <w:ind w:firstLine="0" w:firstLineChars="0"/>
              <w:jc w:val="center"/>
              <w:rPr>
                <w:sz w:val="21"/>
              </w:rPr>
            </w:pPr>
            <w:r>
              <w:rPr>
                <w:rFonts w:hint="eastAsia"/>
                <w:sz w:val="21"/>
              </w:rPr>
              <w:t>排放规律</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物化车间</w:t>
            </w: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螺旋搅拌机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低噪声设备，室内</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计量泵</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中和液输送泵</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板框压滤机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低噪声设备，室内</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其他泵类</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焚烧车间</w:t>
            </w: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液压抓斗</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低噪声设备，室内</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引风机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燃烧器助燃风机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固体助燃风机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冷却风机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热水循环泵</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补水泵</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增压管道泵</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除氧水泵</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锅炉给水泵</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蒸汽往复泵</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固化车间</w:t>
            </w:r>
          </w:p>
        </w:tc>
        <w:tc>
          <w:tcPr>
            <w:tcW w:w="2131" w:type="dxa"/>
            <w:tcBorders>
              <w:top w:val="dotted" w:color="auto" w:sz="8" w:space="0"/>
              <w:left w:val="dotted" w:color="auto" w:sz="8" w:space="0"/>
              <w:bottom w:val="dotted" w:color="auto" w:sz="8" w:space="0"/>
              <w:right w:val="dotted" w:color="auto" w:sz="8" w:space="0"/>
            </w:tcBorders>
            <w:vAlign w:val="center"/>
          </w:tcPr>
          <w:p>
            <w:pPr>
              <w:pStyle w:val="157"/>
              <w:spacing w:line="240" w:lineRule="atLeast"/>
              <w:jc w:val="center"/>
              <w:rPr>
                <w:rFonts w:ascii="Times New Roman"/>
                <w:color w:val="auto"/>
                <w:kern w:val="2"/>
                <w:sz w:val="21"/>
                <w:szCs w:val="21"/>
              </w:rPr>
            </w:pPr>
            <w:r>
              <w:rPr>
                <w:rFonts w:hint="eastAsia" w:ascii="Times New Roman"/>
                <w:color w:val="auto"/>
                <w:kern w:val="2"/>
                <w:sz w:val="21"/>
                <w:szCs w:val="21"/>
              </w:rPr>
              <w:t>破碎机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pStyle w:val="157"/>
              <w:spacing w:line="240" w:lineRule="atLeast"/>
              <w:jc w:val="center"/>
              <w:rPr>
                <w:rFonts w:ascii="Times New Roman"/>
                <w:color w:val="auto"/>
                <w:kern w:val="2"/>
                <w:sz w:val="21"/>
                <w:szCs w:val="21"/>
              </w:rPr>
            </w:pPr>
            <w:r>
              <w:rPr>
                <w:rFonts w:hint="eastAsia" w:ascii="Times New Roman"/>
                <w:color w:val="auto"/>
                <w:kern w:val="2"/>
                <w:sz w:val="21"/>
                <w:szCs w:val="21"/>
              </w:rPr>
              <w:t>电动桥式双梁起重机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送料翻桶机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低噪声设备，隔音、减震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单斗提升机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低噪声设备，隔音、减震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搅拌机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低噪声设备，隔音、减震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螺旋输送机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低噪声设备，隔音、减震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计量泵</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填埋场</w:t>
            </w:r>
          </w:p>
        </w:tc>
        <w:tc>
          <w:tcPr>
            <w:tcW w:w="213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推土机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间断</w:t>
            </w:r>
          </w:p>
        </w:tc>
        <w:tc>
          <w:tcPr>
            <w:tcW w:w="1379"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75~85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电机加罩</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压实机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间断</w:t>
            </w:r>
          </w:p>
        </w:tc>
        <w:tc>
          <w:tcPr>
            <w:tcW w:w="1379"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75~85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电机加罩</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吊车</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间断</w:t>
            </w:r>
          </w:p>
        </w:tc>
        <w:tc>
          <w:tcPr>
            <w:tcW w:w="1379"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75~85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电机加罩</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泵类</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污水处理站</w:t>
            </w:r>
          </w:p>
        </w:tc>
        <w:tc>
          <w:tcPr>
            <w:tcW w:w="213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泵类</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风机</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hAnsi="宋体"/>
                <w:sz w:val="21"/>
              </w:rPr>
              <w:t>罐区</w:t>
            </w:r>
          </w:p>
        </w:tc>
        <w:tc>
          <w:tcPr>
            <w:tcW w:w="213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泵类</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间断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restart"/>
            <w:tcBorders>
              <w:top w:val="dotted" w:color="auto" w:sz="8" w:space="0"/>
              <w:left w:val="nil"/>
              <w:bottom w:val="single" w:color="auto" w:sz="12" w:space="0"/>
              <w:right w:val="dotted" w:color="auto" w:sz="8" w:space="0"/>
            </w:tcBorders>
            <w:vAlign w:val="center"/>
          </w:tcPr>
          <w:p>
            <w:pPr>
              <w:spacing w:line="240" w:lineRule="atLeast"/>
              <w:ind w:firstLine="0" w:firstLineChars="0"/>
              <w:jc w:val="center"/>
              <w:rPr>
                <w:sz w:val="21"/>
              </w:rPr>
            </w:pPr>
            <w:r>
              <w:rPr>
                <w:rFonts w:hint="eastAsia" w:hAnsi="宋体"/>
                <w:sz w:val="21"/>
              </w:rPr>
              <w:t>循环水装置</w:t>
            </w:r>
          </w:p>
        </w:tc>
        <w:tc>
          <w:tcPr>
            <w:tcW w:w="213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泵类</w:t>
            </w:r>
          </w:p>
        </w:tc>
        <w:tc>
          <w:tcPr>
            <w:tcW w:w="575"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501"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26"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858" w:type="dxa"/>
            <w:vMerge w:val="continue"/>
            <w:tcBorders>
              <w:top w:val="dotted" w:color="auto" w:sz="8" w:space="0"/>
              <w:left w:val="nil"/>
              <w:bottom w:val="single" w:color="auto" w:sz="12" w:space="0"/>
              <w:right w:val="dotted" w:color="auto" w:sz="8" w:space="0"/>
            </w:tcBorders>
            <w:vAlign w:val="center"/>
          </w:tcPr>
          <w:p>
            <w:pPr>
              <w:widowControl/>
              <w:spacing w:line="240" w:lineRule="atLeast"/>
              <w:ind w:firstLine="0" w:firstLineChars="0"/>
              <w:jc w:val="left"/>
              <w:rPr>
                <w:sz w:val="21"/>
              </w:rPr>
            </w:pPr>
          </w:p>
        </w:tc>
        <w:tc>
          <w:tcPr>
            <w:tcW w:w="2131"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风机</w:t>
            </w:r>
          </w:p>
        </w:tc>
        <w:tc>
          <w:tcPr>
            <w:tcW w:w="575" w:type="dxa"/>
            <w:tcBorders>
              <w:top w:val="dotted" w:color="auto" w:sz="8" w:space="0"/>
              <w:left w:val="dotted" w:color="auto" w:sz="8"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379" w:type="dxa"/>
            <w:tcBorders>
              <w:top w:val="dotted" w:color="auto" w:sz="8" w:space="0"/>
              <w:left w:val="dotted" w:color="auto" w:sz="4" w:space="0"/>
              <w:bottom w:val="single" w:color="auto" w:sz="12"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501"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26" w:type="dxa"/>
            <w:tcBorders>
              <w:top w:val="dotted" w:color="auto" w:sz="8" w:space="0"/>
              <w:left w:val="dotted" w:color="auto" w:sz="8" w:space="0"/>
              <w:bottom w:val="single" w:color="auto" w:sz="12" w:space="0"/>
              <w:right w:val="nil"/>
            </w:tcBorders>
            <w:vAlign w:val="center"/>
          </w:tcPr>
          <w:p>
            <w:pPr>
              <w:spacing w:line="240" w:lineRule="atLeast"/>
              <w:ind w:firstLine="0" w:firstLineChars="0"/>
              <w:jc w:val="center"/>
              <w:rPr>
                <w:sz w:val="21"/>
              </w:rPr>
            </w:pPr>
            <w:r>
              <w:rPr>
                <w:rFonts w:hint="eastAsia"/>
                <w:sz w:val="21"/>
              </w:rPr>
              <w:t>连续</w:t>
            </w:r>
          </w:p>
        </w:tc>
      </w:tr>
      <w:bookmarkEnd w:id="321"/>
    </w:tbl>
    <w:p>
      <w:pPr>
        <w:ind w:firstLine="480"/>
      </w:pPr>
    </w:p>
    <w:p>
      <w:pPr>
        <w:ind w:firstLine="480"/>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1906" w:h="16838"/>
          <w:pgMar w:top="1134" w:right="1418" w:bottom="1134" w:left="1418" w:header="851" w:footer="850" w:gutter="0"/>
          <w:cols w:space="425" w:num="1"/>
          <w:docGrid w:type="lines" w:linePitch="326" w:charSpace="0"/>
        </w:sectPr>
      </w:pPr>
    </w:p>
    <w:p>
      <w:pPr>
        <w:pStyle w:val="3"/>
        <w:spacing w:line="360" w:lineRule="auto"/>
      </w:pPr>
      <w:bookmarkStart w:id="322" w:name="_Toc3282158"/>
      <w:bookmarkStart w:id="323" w:name="_Toc13760188"/>
      <w:r>
        <w:rPr>
          <w:rFonts w:hint="eastAsia"/>
        </w:rPr>
        <w:t>5.环境现状</w:t>
      </w:r>
      <w:bookmarkEnd w:id="322"/>
      <w:r>
        <w:rPr>
          <w:rFonts w:hint="eastAsia"/>
        </w:rPr>
        <w:t>评价</w:t>
      </w:r>
      <w:bookmarkEnd w:id="323"/>
    </w:p>
    <w:p>
      <w:pPr>
        <w:pStyle w:val="4"/>
        <w:spacing w:line="360" w:lineRule="auto"/>
      </w:pPr>
      <w:bookmarkStart w:id="324" w:name="_Toc13760189"/>
      <w:bookmarkStart w:id="325" w:name="_Toc3282168"/>
      <w:r>
        <w:rPr>
          <w:rFonts w:hint="eastAsia"/>
        </w:rPr>
        <w:t>5.1环境空气质量现状</w:t>
      </w:r>
      <w:bookmarkEnd w:id="324"/>
      <w:bookmarkEnd w:id="325"/>
    </w:p>
    <w:p>
      <w:pPr>
        <w:pStyle w:val="5"/>
        <w:spacing w:line="360" w:lineRule="auto"/>
      </w:pPr>
      <w:bookmarkStart w:id="326" w:name="_Toc13760190"/>
      <w:r>
        <w:t>5.1.1</w:t>
      </w:r>
      <w:r>
        <w:rPr>
          <w:rFonts w:hint="eastAsia"/>
        </w:rPr>
        <w:t>区域环境质量评价</w:t>
      </w:r>
      <w:bookmarkEnd w:id="326"/>
    </w:p>
    <w:p>
      <w:pPr>
        <w:pStyle w:val="739"/>
        <w:ind w:firstLine="480"/>
      </w:pPr>
      <w:r>
        <w:rPr>
          <w:rFonts w:hint="eastAsia" w:cs="Times New Roman" w:hAnsiTheme="minorEastAsia" w:eastAsiaTheme="minorEastAsia"/>
          <w:szCs w:val="24"/>
        </w:rPr>
        <w:t>本项目位于</w:t>
      </w:r>
      <w:r>
        <w:rPr>
          <w:rFonts w:hint="eastAsia"/>
        </w:rPr>
        <w:t>内蒙古阿拉善腾格里经济技术开发区，根据《环境影响评价技术导则大气环境》（</w:t>
      </w:r>
      <w:r>
        <w:t>HJ2.2-2018</w:t>
      </w:r>
      <w:r>
        <w:rPr>
          <w:rFonts w:hint="eastAsia"/>
        </w:rPr>
        <w:t>）的规定，项目所在区域环境空气质量达标判定，优先采用国家或地方生态环境主管部门公开的评价基准年环境质量公告或环境质量报告中的数据或结论。本次采用《</w:t>
      </w:r>
      <w:r>
        <w:t>2017</w:t>
      </w:r>
      <w:r>
        <w:rPr>
          <w:rFonts w:hint="eastAsia"/>
        </w:rPr>
        <w:t>内蒙古自治区环境质量报告书》中阿拉善左旗地区的环境空气质量监测数据作为评价区域达标情况的依据。</w:t>
      </w:r>
    </w:p>
    <w:p>
      <w:pPr>
        <w:pStyle w:val="739"/>
        <w:ind w:firstLine="480"/>
      </w:pPr>
      <w:r>
        <w:rPr>
          <w:rFonts w:hint="eastAsia"/>
        </w:rPr>
        <w:t>阿拉善左旗环境空气污染物监测结果详见表</w:t>
      </w:r>
      <w:r>
        <w:t>5.1</w:t>
      </w:r>
      <w:r>
        <w:rPr>
          <w:rFonts w:hint="eastAsia"/>
        </w:rPr>
        <w:t>—</w:t>
      </w:r>
      <w:r>
        <w:t>1</w:t>
      </w:r>
      <w:r>
        <w:rPr>
          <w:rFonts w:hint="eastAsia"/>
        </w:rPr>
        <w:t>。</w:t>
      </w:r>
    </w:p>
    <w:p>
      <w:pPr>
        <w:pStyle w:val="739"/>
        <w:ind w:firstLine="480"/>
      </w:pPr>
      <w:r>
        <w:rPr>
          <w:rFonts w:cs="Times New Roman"/>
        </w:rPr>
        <w:t xml:space="preserve">表5.1—1  </w:t>
      </w:r>
      <w:r>
        <w:rPr>
          <w:rFonts w:hint="eastAsia"/>
        </w:rPr>
        <w:t>区域空气质量现状评价表</w:t>
      </w:r>
    </w:p>
    <w:tbl>
      <w:tblPr>
        <w:tblStyle w:val="88"/>
        <w:tblW w:w="9794" w:type="dxa"/>
        <w:tblInd w:w="-11"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55" w:type="dxa"/>
          <w:left w:w="108" w:type="dxa"/>
          <w:bottom w:w="0" w:type="dxa"/>
          <w:right w:w="48" w:type="dxa"/>
        </w:tblCellMar>
      </w:tblPr>
      <w:tblGrid>
        <w:gridCol w:w="1143"/>
        <w:gridCol w:w="2610"/>
        <w:gridCol w:w="1716"/>
        <w:gridCol w:w="1406"/>
        <w:gridCol w:w="1694"/>
        <w:gridCol w:w="122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55" w:type="dxa"/>
            <w:left w:w="108" w:type="dxa"/>
            <w:bottom w:w="0" w:type="dxa"/>
            <w:right w:w="48" w:type="dxa"/>
          </w:tblCellMar>
        </w:tblPrEx>
        <w:trPr>
          <w:trHeight w:val="23" w:hRule="atLeast"/>
        </w:trPr>
        <w:tc>
          <w:tcPr>
            <w:tcW w:w="1143" w:type="dxa"/>
            <w:tcBorders>
              <w:top w:val="single" w:color="auto" w:sz="12" w:space="0"/>
              <w:left w:val="nil"/>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污染物</w:t>
            </w:r>
          </w:p>
        </w:tc>
        <w:tc>
          <w:tcPr>
            <w:tcW w:w="2610" w:type="dxa"/>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年评价指标</w:t>
            </w:r>
          </w:p>
        </w:tc>
        <w:tc>
          <w:tcPr>
            <w:tcW w:w="1716" w:type="dxa"/>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现状浓度</w:t>
            </w:r>
            <w:r>
              <w:rPr>
                <w:rFonts w:cs="Times New Roman" w:eastAsiaTheme="minorEastAsia"/>
                <w:sz w:val="21"/>
              </w:rPr>
              <w:t>/</w:t>
            </w:r>
          </w:p>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w:t>
            </w:r>
            <w:r>
              <w:rPr>
                <w:rFonts w:cs="Times New Roman" w:eastAsiaTheme="minorEastAsia"/>
                <w:sz w:val="21"/>
              </w:rPr>
              <w:t>µg/m</w:t>
            </w:r>
            <w:r>
              <w:rPr>
                <w:rFonts w:cs="Times New Roman" w:eastAsiaTheme="minorEastAsia"/>
                <w:sz w:val="21"/>
                <w:vertAlign w:val="superscript"/>
              </w:rPr>
              <w:t>3</w:t>
            </w:r>
            <w:r>
              <w:rPr>
                <w:rFonts w:hint="eastAsia" w:cs="Times New Roman" w:eastAsiaTheme="minorEastAsia"/>
                <w:sz w:val="21"/>
              </w:rPr>
              <w:t>）</w:t>
            </w:r>
          </w:p>
        </w:tc>
        <w:tc>
          <w:tcPr>
            <w:tcW w:w="1406" w:type="dxa"/>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标准值</w:t>
            </w:r>
            <w:r>
              <w:rPr>
                <w:rFonts w:cs="Times New Roman" w:eastAsiaTheme="minorEastAsia"/>
                <w:sz w:val="21"/>
              </w:rPr>
              <w:t>/</w:t>
            </w:r>
          </w:p>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w:t>
            </w:r>
            <w:r>
              <w:rPr>
                <w:rFonts w:cs="Times New Roman" w:eastAsiaTheme="minorEastAsia"/>
                <w:sz w:val="21"/>
              </w:rPr>
              <w:t>µg/m</w:t>
            </w:r>
            <w:r>
              <w:rPr>
                <w:rFonts w:cs="Times New Roman" w:eastAsiaTheme="minorEastAsia"/>
                <w:sz w:val="21"/>
                <w:vertAlign w:val="superscript"/>
              </w:rPr>
              <w:t>3</w:t>
            </w:r>
            <w:r>
              <w:rPr>
                <w:rFonts w:hint="eastAsia" w:cs="Times New Roman" w:eastAsiaTheme="minorEastAsia"/>
                <w:sz w:val="21"/>
              </w:rPr>
              <w:t>）</w:t>
            </w:r>
          </w:p>
        </w:tc>
        <w:tc>
          <w:tcPr>
            <w:tcW w:w="1694" w:type="dxa"/>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占标率</w:t>
            </w:r>
            <w:r>
              <w:rPr>
                <w:rFonts w:cs="Times New Roman" w:eastAsiaTheme="minorEastAsia"/>
                <w:sz w:val="21"/>
              </w:rPr>
              <w:t>/%</w:t>
            </w:r>
          </w:p>
        </w:tc>
        <w:tc>
          <w:tcPr>
            <w:tcW w:w="1225" w:type="dxa"/>
            <w:tcBorders>
              <w:top w:val="single" w:color="auto" w:sz="12" w:space="0"/>
              <w:left w:val="dotted" w:color="auto" w:sz="4" w:space="0"/>
              <w:bottom w:val="single" w:color="auto" w:sz="12" w:space="0"/>
              <w:right w:val="nil"/>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达标情况</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55" w:type="dxa"/>
            <w:left w:w="108" w:type="dxa"/>
            <w:bottom w:w="0" w:type="dxa"/>
            <w:right w:w="48" w:type="dxa"/>
          </w:tblCellMar>
        </w:tblPrEx>
        <w:trPr>
          <w:trHeight w:val="23" w:hRule="atLeast"/>
        </w:trPr>
        <w:tc>
          <w:tcPr>
            <w:tcW w:w="1143" w:type="dxa"/>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PM</w:t>
            </w:r>
            <w:r>
              <w:rPr>
                <w:rFonts w:cs="Times New Roman" w:eastAsiaTheme="minorEastAsia"/>
                <w:sz w:val="21"/>
                <w:vertAlign w:val="subscript"/>
              </w:rPr>
              <w:t>10</w:t>
            </w:r>
          </w:p>
        </w:tc>
        <w:tc>
          <w:tcPr>
            <w:tcW w:w="2610" w:type="dxa"/>
            <w:tcBorders>
              <w:top w:val="single" w:color="auto" w:sz="12"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年平均质量浓度</w:t>
            </w:r>
          </w:p>
        </w:tc>
        <w:tc>
          <w:tcPr>
            <w:tcW w:w="1716" w:type="dxa"/>
            <w:tcBorders>
              <w:top w:val="single" w:color="auto" w:sz="12"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75</w:t>
            </w:r>
          </w:p>
        </w:tc>
        <w:tc>
          <w:tcPr>
            <w:tcW w:w="1406" w:type="dxa"/>
            <w:tcBorders>
              <w:top w:val="single" w:color="auto" w:sz="12"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70</w:t>
            </w:r>
          </w:p>
        </w:tc>
        <w:tc>
          <w:tcPr>
            <w:tcW w:w="1694" w:type="dxa"/>
            <w:tcBorders>
              <w:top w:val="single" w:color="auto" w:sz="12"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107.14</w:t>
            </w:r>
          </w:p>
        </w:tc>
        <w:tc>
          <w:tcPr>
            <w:tcW w:w="1225" w:type="dxa"/>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不达标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55" w:type="dxa"/>
            <w:left w:w="108" w:type="dxa"/>
            <w:bottom w:w="0" w:type="dxa"/>
            <w:right w:w="48" w:type="dxa"/>
          </w:tblCellMar>
        </w:tblPrEx>
        <w:trPr>
          <w:trHeight w:val="23" w:hRule="atLeast"/>
        </w:trPr>
        <w:tc>
          <w:tcPr>
            <w:tcW w:w="1143" w:type="dxa"/>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PM</w:t>
            </w:r>
            <w:r>
              <w:rPr>
                <w:rFonts w:cs="Times New Roman" w:eastAsiaTheme="minorEastAsia"/>
                <w:sz w:val="21"/>
                <w:vertAlign w:val="subscript"/>
              </w:rPr>
              <w:t>2.5</w:t>
            </w:r>
          </w:p>
        </w:tc>
        <w:tc>
          <w:tcPr>
            <w:tcW w:w="2610"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年平均质量浓度</w:t>
            </w:r>
          </w:p>
        </w:tc>
        <w:tc>
          <w:tcPr>
            <w:tcW w:w="1716"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34</w:t>
            </w:r>
          </w:p>
        </w:tc>
        <w:tc>
          <w:tcPr>
            <w:tcW w:w="1406"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35</w:t>
            </w:r>
          </w:p>
        </w:tc>
        <w:tc>
          <w:tcPr>
            <w:tcW w:w="1694"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97.14</w:t>
            </w:r>
          </w:p>
        </w:tc>
        <w:tc>
          <w:tcPr>
            <w:tcW w:w="1225" w:type="dxa"/>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55" w:type="dxa"/>
            <w:left w:w="108" w:type="dxa"/>
            <w:bottom w:w="0" w:type="dxa"/>
            <w:right w:w="48" w:type="dxa"/>
          </w:tblCellMar>
        </w:tblPrEx>
        <w:trPr>
          <w:trHeight w:val="23" w:hRule="atLeast"/>
        </w:trPr>
        <w:tc>
          <w:tcPr>
            <w:tcW w:w="1143" w:type="dxa"/>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SO</w:t>
            </w:r>
            <w:r>
              <w:rPr>
                <w:rFonts w:cs="Times New Roman" w:eastAsiaTheme="minorEastAsia"/>
                <w:sz w:val="21"/>
                <w:vertAlign w:val="subscript"/>
              </w:rPr>
              <w:t>2</w:t>
            </w:r>
          </w:p>
        </w:tc>
        <w:tc>
          <w:tcPr>
            <w:tcW w:w="2610"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年平均质量浓度</w:t>
            </w:r>
          </w:p>
        </w:tc>
        <w:tc>
          <w:tcPr>
            <w:tcW w:w="1716"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12</w:t>
            </w:r>
          </w:p>
        </w:tc>
        <w:tc>
          <w:tcPr>
            <w:tcW w:w="1406"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60</w:t>
            </w:r>
          </w:p>
        </w:tc>
        <w:tc>
          <w:tcPr>
            <w:tcW w:w="1694"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20</w:t>
            </w:r>
          </w:p>
        </w:tc>
        <w:tc>
          <w:tcPr>
            <w:tcW w:w="1225" w:type="dxa"/>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55" w:type="dxa"/>
            <w:left w:w="108" w:type="dxa"/>
            <w:bottom w:w="0" w:type="dxa"/>
            <w:right w:w="48" w:type="dxa"/>
          </w:tblCellMar>
        </w:tblPrEx>
        <w:trPr>
          <w:trHeight w:val="23" w:hRule="atLeast"/>
        </w:trPr>
        <w:tc>
          <w:tcPr>
            <w:tcW w:w="1143" w:type="dxa"/>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NO</w:t>
            </w:r>
            <w:r>
              <w:rPr>
                <w:rFonts w:cs="Times New Roman" w:eastAsiaTheme="minorEastAsia"/>
                <w:sz w:val="21"/>
                <w:vertAlign w:val="subscript"/>
              </w:rPr>
              <w:t>2</w:t>
            </w:r>
          </w:p>
        </w:tc>
        <w:tc>
          <w:tcPr>
            <w:tcW w:w="2610"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年平均质量浓度</w:t>
            </w:r>
          </w:p>
        </w:tc>
        <w:tc>
          <w:tcPr>
            <w:tcW w:w="1716"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11</w:t>
            </w:r>
          </w:p>
        </w:tc>
        <w:tc>
          <w:tcPr>
            <w:tcW w:w="1406"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40</w:t>
            </w:r>
          </w:p>
        </w:tc>
        <w:tc>
          <w:tcPr>
            <w:tcW w:w="1694"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27.5</w:t>
            </w:r>
          </w:p>
        </w:tc>
        <w:tc>
          <w:tcPr>
            <w:tcW w:w="1225" w:type="dxa"/>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55" w:type="dxa"/>
            <w:left w:w="108" w:type="dxa"/>
            <w:bottom w:w="0" w:type="dxa"/>
            <w:right w:w="48" w:type="dxa"/>
          </w:tblCellMar>
        </w:tblPrEx>
        <w:trPr>
          <w:trHeight w:val="23" w:hRule="atLeast"/>
        </w:trPr>
        <w:tc>
          <w:tcPr>
            <w:tcW w:w="1143" w:type="dxa"/>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CO</w:t>
            </w:r>
          </w:p>
        </w:tc>
        <w:tc>
          <w:tcPr>
            <w:tcW w:w="2610"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百分位数日平均浓度</w:t>
            </w:r>
          </w:p>
        </w:tc>
        <w:tc>
          <w:tcPr>
            <w:tcW w:w="1716"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0.8mg/m</w:t>
            </w:r>
            <w:r>
              <w:rPr>
                <w:rFonts w:cs="Times New Roman" w:eastAsiaTheme="minorEastAsia"/>
                <w:sz w:val="21"/>
                <w:vertAlign w:val="superscript"/>
              </w:rPr>
              <w:t>3</w:t>
            </w:r>
          </w:p>
        </w:tc>
        <w:tc>
          <w:tcPr>
            <w:tcW w:w="1406"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vertAlign w:val="superscript"/>
              </w:rPr>
            </w:pPr>
            <w:r>
              <w:rPr>
                <w:rFonts w:cs="Times New Roman" w:eastAsiaTheme="minorEastAsia"/>
                <w:sz w:val="21"/>
              </w:rPr>
              <w:t>4mg/m</w:t>
            </w:r>
            <w:r>
              <w:rPr>
                <w:rFonts w:cs="Times New Roman" w:eastAsiaTheme="minorEastAsia"/>
                <w:sz w:val="21"/>
                <w:vertAlign w:val="superscript"/>
              </w:rPr>
              <w:t>3</w:t>
            </w:r>
          </w:p>
        </w:tc>
        <w:tc>
          <w:tcPr>
            <w:tcW w:w="1694" w:type="dxa"/>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20</w:t>
            </w:r>
          </w:p>
        </w:tc>
        <w:tc>
          <w:tcPr>
            <w:tcW w:w="1225" w:type="dxa"/>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55" w:type="dxa"/>
            <w:left w:w="108" w:type="dxa"/>
            <w:bottom w:w="0" w:type="dxa"/>
            <w:right w:w="48" w:type="dxa"/>
          </w:tblCellMar>
        </w:tblPrEx>
        <w:trPr>
          <w:trHeight w:val="23" w:hRule="atLeast"/>
        </w:trPr>
        <w:tc>
          <w:tcPr>
            <w:tcW w:w="1143" w:type="dxa"/>
            <w:tcBorders>
              <w:top w:val="dotted" w:color="auto" w:sz="4" w:space="0"/>
              <w:left w:val="nil"/>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O</w:t>
            </w:r>
            <w:r>
              <w:rPr>
                <w:rFonts w:cs="Times New Roman" w:eastAsiaTheme="minorEastAsia"/>
                <w:sz w:val="21"/>
                <w:vertAlign w:val="subscript"/>
              </w:rPr>
              <w:t>3</w:t>
            </w:r>
          </w:p>
        </w:tc>
        <w:tc>
          <w:tcPr>
            <w:tcW w:w="2610" w:type="dxa"/>
            <w:tcBorders>
              <w:top w:val="dotted"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8h</w:t>
            </w:r>
            <w:r>
              <w:rPr>
                <w:rFonts w:hint="eastAsia" w:cs="Times New Roman" w:eastAsiaTheme="minorEastAsia"/>
                <w:sz w:val="21"/>
              </w:rPr>
              <w:t>平均质量浓度</w:t>
            </w:r>
          </w:p>
        </w:tc>
        <w:tc>
          <w:tcPr>
            <w:tcW w:w="1716" w:type="dxa"/>
            <w:tcBorders>
              <w:top w:val="dotted"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156</w:t>
            </w:r>
          </w:p>
        </w:tc>
        <w:tc>
          <w:tcPr>
            <w:tcW w:w="1406" w:type="dxa"/>
            <w:tcBorders>
              <w:top w:val="dotted"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160</w:t>
            </w:r>
          </w:p>
        </w:tc>
        <w:tc>
          <w:tcPr>
            <w:tcW w:w="1694" w:type="dxa"/>
            <w:tcBorders>
              <w:top w:val="dotted"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center"/>
              <w:rPr>
                <w:rFonts w:cs="Times New Roman" w:eastAsiaTheme="minorEastAsia"/>
                <w:sz w:val="21"/>
              </w:rPr>
            </w:pPr>
            <w:r>
              <w:rPr>
                <w:rFonts w:cs="Times New Roman" w:eastAsiaTheme="minorEastAsia"/>
                <w:sz w:val="21"/>
              </w:rPr>
              <w:t>97.5</w:t>
            </w:r>
          </w:p>
        </w:tc>
        <w:tc>
          <w:tcPr>
            <w:tcW w:w="1225" w:type="dxa"/>
            <w:tcBorders>
              <w:top w:val="dotted" w:color="auto" w:sz="4" w:space="0"/>
              <w:left w:val="dotted" w:color="auto" w:sz="4" w:space="0"/>
              <w:bottom w:val="single" w:color="auto" w:sz="12" w:space="0"/>
              <w:right w:val="nil"/>
            </w:tcBorders>
            <w:vAlign w:val="center"/>
          </w:tcPr>
          <w:p>
            <w:pPr>
              <w:widowControl/>
              <w:spacing w:line="240" w:lineRule="auto"/>
              <w:ind w:firstLine="0" w:firstLineChars="0"/>
              <w:jc w:val="center"/>
              <w:rPr>
                <w:rFonts w:cs="Times New Roman" w:eastAsiaTheme="minorEastAsia"/>
                <w:sz w:val="21"/>
              </w:rPr>
            </w:pPr>
            <w:r>
              <w:rPr>
                <w:rFonts w:hint="eastAsia" w:cs="Times New Roman" w:eastAsiaTheme="minorEastAsia"/>
                <w:sz w:val="21"/>
              </w:rPr>
              <w:t>达标</w:t>
            </w:r>
          </w:p>
        </w:tc>
      </w:tr>
    </w:tbl>
    <w:p>
      <w:pPr>
        <w:ind w:firstLine="480"/>
        <w:jc w:val="left"/>
        <w:rPr>
          <w:rFonts w:cs="Times New Roman" w:hAnsiTheme="minorEastAsia" w:eastAsiaTheme="minorEastAsia"/>
          <w:szCs w:val="24"/>
        </w:rPr>
      </w:pPr>
    </w:p>
    <w:p>
      <w:pPr>
        <w:ind w:firstLine="480"/>
        <w:jc w:val="left"/>
      </w:pPr>
      <w:r>
        <w:rPr>
          <w:rFonts w:hint="eastAsia" w:cs="Times New Roman" w:hAnsiTheme="minorEastAsia" w:eastAsiaTheme="minorEastAsia"/>
          <w:szCs w:val="24"/>
        </w:rPr>
        <w:t>由上表可看出，项目所在区域</w:t>
      </w:r>
      <w:r>
        <w:rPr>
          <w:rFonts w:cs="Times New Roman" w:hAnsiTheme="minorEastAsia" w:eastAsiaTheme="minorEastAsia"/>
          <w:szCs w:val="24"/>
        </w:rPr>
        <w:t>SO</w:t>
      </w:r>
      <w:r>
        <w:rPr>
          <w:rFonts w:cs="Times New Roman" w:hAnsiTheme="minorEastAsia" w:eastAsiaTheme="minorEastAsia"/>
          <w:szCs w:val="24"/>
          <w:vertAlign w:val="subscript"/>
        </w:rPr>
        <w:t>2</w:t>
      </w:r>
      <w:r>
        <w:rPr>
          <w:rFonts w:hint="eastAsia" w:cs="Times New Roman" w:hAnsiTheme="minorEastAsia" w:eastAsiaTheme="minorEastAsia"/>
          <w:szCs w:val="24"/>
        </w:rPr>
        <w:t>、</w:t>
      </w:r>
      <w:r>
        <w:rPr>
          <w:rFonts w:cs="Times New Roman" w:hAnsiTheme="minorEastAsia" w:eastAsiaTheme="minorEastAsia"/>
          <w:szCs w:val="24"/>
        </w:rPr>
        <w:t>NO</w:t>
      </w:r>
      <w:r>
        <w:rPr>
          <w:rFonts w:cs="Times New Roman" w:hAnsiTheme="minorEastAsia" w:eastAsiaTheme="minorEastAsia"/>
          <w:szCs w:val="24"/>
          <w:vertAlign w:val="subscript"/>
        </w:rPr>
        <w:t>2</w:t>
      </w:r>
      <w:r>
        <w:rPr>
          <w:rFonts w:hint="eastAsia" w:cs="Times New Roman" w:hAnsiTheme="minorEastAsia" w:eastAsiaTheme="minorEastAsia"/>
          <w:szCs w:val="24"/>
        </w:rPr>
        <w:t>、</w:t>
      </w:r>
      <w:r>
        <w:rPr>
          <w:rFonts w:cs="Times New Roman" w:hAnsiTheme="minorEastAsia" w:eastAsiaTheme="minorEastAsia"/>
          <w:szCs w:val="24"/>
        </w:rPr>
        <w:t>PM</w:t>
      </w:r>
      <w:r>
        <w:rPr>
          <w:rFonts w:cs="Times New Roman" w:hAnsiTheme="minorEastAsia" w:eastAsiaTheme="minorEastAsia"/>
          <w:szCs w:val="24"/>
          <w:vertAlign w:val="subscript"/>
        </w:rPr>
        <w:t>2.5</w:t>
      </w:r>
      <w:r>
        <w:rPr>
          <w:rFonts w:hint="eastAsia" w:cs="Times New Roman" w:hAnsiTheme="minorEastAsia" w:eastAsiaTheme="minorEastAsia"/>
          <w:szCs w:val="24"/>
        </w:rPr>
        <w:t>年平均质量浓度，</w:t>
      </w:r>
      <w:r>
        <w:rPr>
          <w:rFonts w:cs="Times New Roman" w:hAnsiTheme="minorEastAsia" w:eastAsiaTheme="minorEastAsia"/>
          <w:szCs w:val="24"/>
        </w:rPr>
        <w:t>CO</w:t>
      </w:r>
      <w:r>
        <w:rPr>
          <w:rFonts w:hint="eastAsia" w:cs="Times New Roman" w:hAnsiTheme="minorEastAsia" w:eastAsiaTheme="minorEastAsia"/>
          <w:szCs w:val="24"/>
        </w:rPr>
        <w:t>百分位数日平均浓度及</w:t>
      </w:r>
      <w:r>
        <w:rPr>
          <w:rFonts w:cs="Times New Roman" w:hAnsiTheme="minorEastAsia" w:eastAsiaTheme="minorEastAsia"/>
          <w:szCs w:val="24"/>
        </w:rPr>
        <w:t>O</w:t>
      </w:r>
      <w:r>
        <w:rPr>
          <w:rFonts w:cs="Times New Roman" w:hAnsiTheme="minorEastAsia" w:eastAsiaTheme="minorEastAsia"/>
          <w:szCs w:val="24"/>
          <w:vertAlign w:val="subscript"/>
        </w:rPr>
        <w:t>3</w:t>
      </w:r>
      <w:r>
        <w:rPr>
          <w:rFonts w:cs="Times New Roman" w:hAnsiTheme="minorEastAsia" w:eastAsiaTheme="minorEastAsia"/>
          <w:szCs w:val="24"/>
        </w:rPr>
        <w:t>8h</w:t>
      </w:r>
      <w:r>
        <w:rPr>
          <w:rFonts w:hint="eastAsia" w:cs="Times New Roman" w:hAnsiTheme="minorEastAsia" w:eastAsiaTheme="minorEastAsia"/>
          <w:szCs w:val="24"/>
        </w:rPr>
        <w:t>平均质量浓度均满足相应浓度限值，</w:t>
      </w:r>
      <w:r>
        <w:rPr>
          <w:rFonts w:cs="Times New Roman" w:hAnsiTheme="minorEastAsia" w:eastAsiaTheme="minorEastAsia"/>
          <w:szCs w:val="24"/>
        </w:rPr>
        <w:t>PM</w:t>
      </w:r>
      <w:r>
        <w:rPr>
          <w:rFonts w:cs="Times New Roman" w:hAnsiTheme="minorEastAsia" w:eastAsiaTheme="minorEastAsia"/>
          <w:szCs w:val="24"/>
          <w:vertAlign w:val="subscript"/>
        </w:rPr>
        <w:t>10</w:t>
      </w:r>
      <w:r>
        <w:rPr>
          <w:rFonts w:hint="eastAsia" w:cs="Times New Roman" w:hAnsiTheme="minorEastAsia" w:eastAsiaTheme="minorEastAsia"/>
          <w:szCs w:val="24"/>
        </w:rPr>
        <w:t>存在不同程度超标现象，根据《环境影响评价技术导则大气环境》（</w:t>
      </w:r>
      <w:r>
        <w:rPr>
          <w:rFonts w:cs="Times New Roman" w:hAnsiTheme="minorEastAsia" w:eastAsiaTheme="minorEastAsia"/>
          <w:szCs w:val="24"/>
        </w:rPr>
        <w:t>HJ2.2-2-2018</w:t>
      </w:r>
      <w:r>
        <w:rPr>
          <w:rFonts w:hint="eastAsia" w:cs="Times New Roman" w:hAnsiTheme="minorEastAsia" w:eastAsiaTheme="minorEastAsia"/>
          <w:szCs w:val="24"/>
        </w:rPr>
        <w:t>）</w:t>
      </w:r>
      <w:r>
        <w:rPr>
          <w:rFonts w:cs="Times New Roman" w:hAnsiTheme="minorEastAsia" w:eastAsiaTheme="minorEastAsia"/>
          <w:szCs w:val="24"/>
        </w:rPr>
        <w:t>6.4.1.1</w:t>
      </w:r>
      <w:r>
        <w:rPr>
          <w:rFonts w:hint="eastAsia" w:cs="Times New Roman" w:hAnsiTheme="minorEastAsia" w:eastAsiaTheme="minorEastAsia"/>
          <w:szCs w:val="24"/>
        </w:rPr>
        <w:t>的要求，六项污染物全部达标即为城市空气质量达标，因此，本项目所在区域城市环境空气质量不达标，不达标因子为</w:t>
      </w:r>
      <w:r>
        <w:rPr>
          <w:rFonts w:cs="Times New Roman" w:hAnsiTheme="minorEastAsia" w:eastAsiaTheme="minorEastAsia"/>
          <w:szCs w:val="24"/>
        </w:rPr>
        <w:t>PM</w:t>
      </w:r>
      <w:r>
        <w:rPr>
          <w:rFonts w:cs="Times New Roman" w:hAnsiTheme="minorEastAsia" w:eastAsiaTheme="minorEastAsia"/>
          <w:szCs w:val="24"/>
          <w:vertAlign w:val="subscript"/>
        </w:rPr>
        <w:t>10</w:t>
      </w:r>
      <w:r>
        <w:rPr>
          <w:rFonts w:hint="eastAsia" w:cs="Times New Roman" w:hAnsiTheme="minorEastAsia" w:eastAsiaTheme="minorEastAsia"/>
          <w:szCs w:val="24"/>
        </w:rPr>
        <w:t>。</w:t>
      </w:r>
    </w:p>
    <w:p>
      <w:pPr>
        <w:pStyle w:val="5"/>
      </w:pPr>
      <w:bookmarkStart w:id="327" w:name="_Toc13760191"/>
      <w:r>
        <w:t>5.1.2</w:t>
      </w:r>
      <w:r>
        <w:rPr>
          <w:rFonts w:hint="eastAsia"/>
        </w:rPr>
        <w:t>补充污染物环境现状评价</w:t>
      </w:r>
      <w:bookmarkEnd w:id="327"/>
    </w:p>
    <w:p>
      <w:pPr>
        <w:ind w:firstLine="480"/>
        <w:rPr>
          <w:rFonts w:hAnsi="宋体"/>
        </w:rPr>
      </w:pPr>
      <w:r>
        <w:rPr>
          <w:rFonts w:hint="eastAsia" w:cs="Times New Roman"/>
        </w:rPr>
        <w:t>本项目环境空气补充污染物现状监测引用</w:t>
      </w:r>
      <w:r>
        <w:rPr>
          <w:rFonts w:hint="eastAsia" w:hAnsi="宋体"/>
          <w:lang w:val="zh-CN"/>
        </w:rPr>
        <w:t>《</w:t>
      </w:r>
      <w:r>
        <w:rPr>
          <w:rFonts w:hint="eastAsia" w:hAnsi="宋体"/>
          <w:bCs/>
        </w:rPr>
        <w:t>阿拉善盟绿能环保科技有限公司危险废弃物处置中心项目</w:t>
      </w:r>
      <w:r>
        <w:rPr>
          <w:rFonts w:hint="eastAsia" w:hAnsi="宋体"/>
          <w:lang w:val="zh-CN"/>
        </w:rPr>
        <w:t>环境影响报告书》（内蒙古环科园环境科技有限责任公司，</w:t>
      </w:r>
      <w:r>
        <w:rPr>
          <w:rFonts w:hAnsi="宋体"/>
          <w:lang w:val="zh-CN"/>
        </w:rPr>
        <w:t>2018</w:t>
      </w:r>
      <w:r>
        <w:rPr>
          <w:rFonts w:hint="eastAsia" w:hAnsi="宋体"/>
          <w:lang w:val="zh-CN"/>
        </w:rPr>
        <w:t>年）</w:t>
      </w:r>
      <w:r>
        <w:rPr>
          <w:rFonts w:hint="eastAsia" w:hAnsi="宋体"/>
        </w:rPr>
        <w:t>中的数据。</w:t>
      </w:r>
    </w:p>
    <w:p>
      <w:pPr>
        <w:ind w:firstLine="480"/>
        <w:rPr>
          <w:rFonts w:hAnsi="宋体"/>
        </w:rPr>
      </w:pPr>
      <w:r>
        <w:rPr>
          <w:rFonts w:hint="eastAsia" w:hAnsi="宋体"/>
        </w:rPr>
        <w:t>大气环境现状监测单位</w:t>
      </w:r>
      <w:r>
        <w:rPr>
          <w:rFonts w:hAnsi="宋体"/>
        </w:rPr>
        <w:t>(</w:t>
      </w:r>
      <w:r>
        <w:rPr>
          <w:rFonts w:hint="eastAsia" w:hAnsi="宋体"/>
        </w:rPr>
        <w:t>二噁英类除外</w:t>
      </w:r>
      <w:r>
        <w:rPr>
          <w:rFonts w:hAnsi="宋体"/>
        </w:rPr>
        <w:t>)</w:t>
      </w:r>
      <w:r>
        <w:rPr>
          <w:rFonts w:hint="eastAsia" w:hAnsi="宋体"/>
        </w:rPr>
        <w:t>为宁夏华正检测技术有限公司，采样时间为</w:t>
      </w:r>
      <w:r>
        <w:rPr>
          <w:rFonts w:hAnsi="宋体"/>
        </w:rPr>
        <w:t>2017</w:t>
      </w:r>
      <w:r>
        <w:rPr>
          <w:rFonts w:hint="eastAsia" w:hAnsi="宋体"/>
        </w:rPr>
        <w:t>年</w:t>
      </w:r>
      <w:r>
        <w:rPr>
          <w:rFonts w:hAnsi="宋体"/>
        </w:rPr>
        <w:t>6</w:t>
      </w:r>
      <w:r>
        <w:rPr>
          <w:rFonts w:hint="eastAsia" w:hAnsi="宋体"/>
        </w:rPr>
        <w:t>月</w:t>
      </w:r>
      <w:r>
        <w:rPr>
          <w:rFonts w:hAnsi="宋体"/>
        </w:rPr>
        <w:t>15</w:t>
      </w:r>
      <w:r>
        <w:rPr>
          <w:rFonts w:hint="eastAsia" w:hAnsi="宋体"/>
        </w:rPr>
        <w:t>日</w:t>
      </w:r>
      <w:r>
        <w:rPr>
          <w:rFonts w:hAnsi="宋体"/>
        </w:rPr>
        <w:t>-6</w:t>
      </w:r>
      <w:r>
        <w:rPr>
          <w:rFonts w:hint="eastAsia" w:hAnsi="宋体"/>
        </w:rPr>
        <w:t>月</w:t>
      </w:r>
      <w:r>
        <w:rPr>
          <w:rFonts w:hAnsi="宋体"/>
        </w:rPr>
        <w:t>21</w:t>
      </w:r>
      <w:r>
        <w:rPr>
          <w:rFonts w:hint="eastAsia" w:hAnsi="宋体"/>
        </w:rPr>
        <w:t>日。</w:t>
      </w:r>
    </w:p>
    <w:p>
      <w:pPr>
        <w:adjustRightInd w:val="0"/>
        <w:snapToGrid w:val="0"/>
        <w:ind w:firstLine="470" w:firstLineChars="196"/>
        <w:rPr>
          <w:rFonts w:hAnsi="宋体"/>
        </w:rPr>
      </w:pPr>
      <w:r>
        <w:rPr>
          <w:rFonts w:hint="eastAsia" w:hAnsi="宋体"/>
        </w:rPr>
        <w:t>二噁英类监测数据引用江苏苏理持久性有机污染物分析测试中心，采样时间为</w:t>
      </w:r>
      <w:r>
        <w:t>2017</w:t>
      </w:r>
      <w:r>
        <w:rPr>
          <w:rFonts w:hint="eastAsia" w:hAnsi="宋体"/>
        </w:rPr>
        <w:t>年</w:t>
      </w:r>
      <w:r>
        <w:t>7</w:t>
      </w:r>
      <w:r>
        <w:rPr>
          <w:rFonts w:hint="eastAsia"/>
        </w:rPr>
        <w:t>月</w:t>
      </w:r>
      <w:r>
        <w:t>12</w:t>
      </w:r>
      <w:r>
        <w:rPr>
          <w:rFonts w:hint="eastAsia" w:hAnsi="宋体"/>
        </w:rPr>
        <w:t>日</w:t>
      </w:r>
      <w:r>
        <w:rPr>
          <w:rFonts w:hAnsi="宋体"/>
        </w:rPr>
        <w:t>-7</w:t>
      </w:r>
      <w:r>
        <w:rPr>
          <w:rFonts w:hint="eastAsia" w:hAnsi="宋体"/>
        </w:rPr>
        <w:t>月</w:t>
      </w:r>
      <w:r>
        <w:rPr>
          <w:rFonts w:hAnsi="宋体"/>
        </w:rPr>
        <w:t>14</w:t>
      </w:r>
      <w:r>
        <w:rPr>
          <w:rFonts w:hint="eastAsia" w:hAnsi="宋体"/>
        </w:rPr>
        <w:t>日。</w:t>
      </w:r>
    </w:p>
    <w:p>
      <w:pPr>
        <w:adjustRightInd w:val="0"/>
        <w:snapToGrid w:val="0"/>
        <w:ind w:firstLine="470" w:firstLineChars="196"/>
        <w:rPr>
          <w:color w:val="000000"/>
        </w:rPr>
      </w:pPr>
      <w:r>
        <w:rPr>
          <w:rFonts w:hint="eastAsia"/>
          <w:color w:val="000000"/>
        </w:rPr>
        <w:t>（</w:t>
      </w:r>
      <w:r>
        <w:rPr>
          <w:color w:val="000000"/>
        </w:rPr>
        <w:t>1</w:t>
      </w:r>
      <w:r>
        <w:rPr>
          <w:rFonts w:hint="eastAsia"/>
          <w:color w:val="000000"/>
        </w:rPr>
        <w:t>）现状监测布点方案</w:t>
      </w:r>
    </w:p>
    <w:p>
      <w:pPr>
        <w:adjustRightInd w:val="0"/>
        <w:snapToGrid w:val="0"/>
        <w:ind w:firstLine="470" w:firstLineChars="196"/>
        <w:rPr>
          <w:color w:val="000000"/>
          <w:highlight w:val="yellow"/>
        </w:rPr>
      </w:pPr>
      <w:r>
        <w:rPr>
          <w:rFonts w:hint="eastAsia"/>
        </w:rPr>
        <w:t>监测点位见表</w:t>
      </w:r>
      <w:r>
        <w:t>5.1</w:t>
      </w:r>
      <w:r>
        <w:rPr>
          <w:rFonts w:hint="eastAsia"/>
        </w:rPr>
        <w:t>—</w:t>
      </w:r>
      <w:r>
        <w:t>2</w:t>
      </w:r>
      <w:r>
        <w:rPr>
          <w:rFonts w:hint="eastAsia"/>
        </w:rPr>
        <w:t>，监测点位置图见图</w:t>
      </w:r>
      <w:r>
        <w:t>5.1</w:t>
      </w:r>
      <w:r>
        <w:rPr>
          <w:rFonts w:hint="eastAsia"/>
        </w:rPr>
        <w:t>—</w:t>
      </w:r>
      <w:r>
        <w:t>1</w:t>
      </w:r>
      <w:r>
        <w:rPr>
          <w:rFonts w:hint="eastAsia"/>
        </w:rPr>
        <w:t>。</w:t>
      </w:r>
    </w:p>
    <w:p>
      <w:pPr>
        <w:adjustRightInd w:val="0"/>
        <w:snapToGrid w:val="0"/>
        <w:ind w:firstLine="480"/>
      </w:pPr>
      <w:r>
        <w:rPr>
          <w:rFonts w:hint="eastAsia" w:hAnsi="宋体"/>
        </w:rPr>
        <w:t>表</w:t>
      </w:r>
      <w:r>
        <w:t>5.1</w:t>
      </w:r>
      <w:r>
        <w:rPr>
          <w:rFonts w:hint="eastAsia"/>
        </w:rPr>
        <w:t>—</w:t>
      </w:r>
      <w:r>
        <w:t xml:space="preserve">2 </w:t>
      </w:r>
      <w:r>
        <w:rPr>
          <w:rFonts w:hint="eastAsia"/>
        </w:rPr>
        <w:t xml:space="preserve">        大气环境现状监测布点及监测项目一览表</w:t>
      </w:r>
    </w:p>
    <w:tbl>
      <w:tblPr>
        <w:tblStyle w:val="88"/>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980"/>
        <w:gridCol w:w="2523"/>
        <w:gridCol w:w="1028"/>
        <w:gridCol w:w="1695"/>
        <w:gridCol w:w="1364"/>
        <w:gridCol w:w="226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49" w:type="dxa"/>
            <w:vMerge w:val="restart"/>
            <w:tcBorders>
              <w:top w:val="single" w:color="auto" w:sz="12" w:space="0"/>
              <w:left w:val="nil"/>
              <w:bottom w:val="single" w:color="auto" w:sz="12" w:space="0"/>
              <w:right w:val="dotted" w:color="auto" w:sz="4" w:space="0"/>
            </w:tcBorders>
            <w:noWrap/>
            <w:vAlign w:val="center"/>
          </w:tcPr>
          <w:p>
            <w:pPr>
              <w:spacing w:line="240" w:lineRule="auto"/>
              <w:ind w:firstLine="0" w:firstLineChars="0"/>
              <w:jc w:val="center"/>
              <w:rPr>
                <w:rFonts w:cs="Times New Roman"/>
                <w:b/>
                <w:bCs/>
                <w:sz w:val="21"/>
              </w:rPr>
            </w:pPr>
            <w:r>
              <w:rPr>
                <w:rFonts w:hint="eastAsia" w:cs="Times New Roman"/>
                <w:b/>
                <w:bCs/>
                <w:sz w:val="21"/>
              </w:rPr>
              <w:t>编号</w:t>
            </w:r>
          </w:p>
        </w:tc>
        <w:tc>
          <w:tcPr>
            <w:tcW w:w="2184" w:type="dxa"/>
            <w:vMerge w:val="restart"/>
            <w:tcBorders>
              <w:top w:val="single" w:color="auto" w:sz="12" w:space="0"/>
              <w:left w:val="dotted" w:color="auto" w:sz="4" w:space="0"/>
              <w:bottom w:val="single" w:color="auto" w:sz="12" w:space="0"/>
              <w:right w:val="dotted" w:color="auto" w:sz="4" w:space="0"/>
            </w:tcBorders>
            <w:noWrap/>
            <w:vAlign w:val="center"/>
          </w:tcPr>
          <w:p>
            <w:pPr>
              <w:spacing w:line="240" w:lineRule="auto"/>
              <w:ind w:firstLine="0" w:firstLineChars="0"/>
              <w:jc w:val="center"/>
              <w:rPr>
                <w:rFonts w:cs="Times New Roman"/>
                <w:b/>
                <w:bCs/>
                <w:sz w:val="21"/>
              </w:rPr>
            </w:pPr>
            <w:r>
              <w:rPr>
                <w:rFonts w:hint="eastAsia" w:cs="Times New Roman"/>
                <w:b/>
                <w:bCs/>
                <w:sz w:val="21"/>
              </w:rPr>
              <w:t>点位名称</w:t>
            </w:r>
          </w:p>
        </w:tc>
        <w:tc>
          <w:tcPr>
            <w:tcW w:w="890" w:type="dxa"/>
            <w:vMerge w:val="restart"/>
            <w:tcBorders>
              <w:top w:val="single" w:color="auto" w:sz="12" w:space="0"/>
              <w:left w:val="dotted" w:color="auto" w:sz="4" w:space="0"/>
              <w:bottom w:val="single" w:color="auto" w:sz="12" w:space="0"/>
              <w:right w:val="dotted" w:color="auto" w:sz="4" w:space="0"/>
            </w:tcBorders>
            <w:noWrap/>
            <w:vAlign w:val="center"/>
          </w:tcPr>
          <w:p>
            <w:pPr>
              <w:spacing w:line="240" w:lineRule="auto"/>
              <w:ind w:firstLine="0" w:firstLineChars="0"/>
              <w:jc w:val="center"/>
              <w:rPr>
                <w:rFonts w:cs="Times New Roman"/>
                <w:b/>
                <w:bCs/>
                <w:sz w:val="21"/>
              </w:rPr>
            </w:pPr>
            <w:r>
              <w:rPr>
                <w:rFonts w:hint="eastAsia" w:cs="Times New Roman"/>
                <w:b/>
                <w:bCs/>
                <w:sz w:val="21"/>
              </w:rPr>
              <w:t>方位</w:t>
            </w:r>
          </w:p>
        </w:tc>
        <w:tc>
          <w:tcPr>
            <w:tcW w:w="1467" w:type="dxa"/>
            <w:vMerge w:val="restart"/>
            <w:tcBorders>
              <w:top w:val="single" w:color="auto" w:sz="12" w:space="0"/>
              <w:left w:val="dotted" w:color="auto" w:sz="4" w:space="0"/>
              <w:bottom w:val="single" w:color="auto" w:sz="12" w:space="0"/>
              <w:right w:val="dotted" w:color="auto" w:sz="4" w:space="0"/>
            </w:tcBorders>
            <w:noWrap/>
            <w:vAlign w:val="center"/>
          </w:tcPr>
          <w:p>
            <w:pPr>
              <w:spacing w:line="240" w:lineRule="auto"/>
              <w:ind w:firstLine="0" w:firstLineChars="0"/>
              <w:jc w:val="center"/>
              <w:rPr>
                <w:rFonts w:cs="Times New Roman"/>
                <w:b/>
                <w:bCs/>
                <w:sz w:val="21"/>
              </w:rPr>
            </w:pPr>
            <w:r>
              <w:rPr>
                <w:rFonts w:hint="eastAsia" w:cs="Times New Roman"/>
                <w:b/>
                <w:bCs/>
                <w:sz w:val="21"/>
              </w:rPr>
              <w:t>距离</w:t>
            </w:r>
          </w:p>
          <w:p>
            <w:pPr>
              <w:spacing w:line="240" w:lineRule="auto"/>
              <w:ind w:firstLine="0" w:firstLineChars="0"/>
              <w:jc w:val="center"/>
              <w:rPr>
                <w:rFonts w:cs="Times New Roman"/>
                <w:b/>
                <w:bCs/>
                <w:sz w:val="21"/>
              </w:rPr>
            </w:pPr>
            <w:r>
              <w:rPr>
                <w:rFonts w:cs="Times New Roman"/>
                <w:b/>
                <w:bCs/>
                <w:sz w:val="21"/>
              </w:rPr>
              <w:t>(km)</w:t>
            </w:r>
          </w:p>
        </w:tc>
        <w:tc>
          <w:tcPr>
            <w:tcW w:w="3141" w:type="dxa"/>
            <w:gridSpan w:val="2"/>
            <w:tcBorders>
              <w:top w:val="single" w:color="auto" w:sz="12" w:space="0"/>
              <w:left w:val="dotted" w:color="auto" w:sz="4" w:space="0"/>
              <w:bottom w:val="dotted" w:color="auto" w:sz="4" w:space="0"/>
              <w:right w:val="nil"/>
            </w:tcBorders>
            <w:noWrap/>
            <w:vAlign w:val="center"/>
          </w:tcPr>
          <w:p>
            <w:pPr>
              <w:spacing w:line="240" w:lineRule="auto"/>
              <w:ind w:firstLine="0" w:firstLineChars="0"/>
              <w:jc w:val="center"/>
              <w:rPr>
                <w:rFonts w:cs="Times New Roman"/>
                <w:b/>
                <w:bCs/>
                <w:sz w:val="21"/>
              </w:rPr>
            </w:pPr>
            <w:r>
              <w:rPr>
                <w:rFonts w:hint="eastAsia" w:cs="Times New Roman"/>
                <w:b/>
                <w:bCs/>
                <w:sz w:val="21"/>
              </w:rPr>
              <w:t>特征监测项目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49" w:type="dxa"/>
            <w:vMerge w:val="continue"/>
            <w:tcBorders>
              <w:top w:val="single" w:color="auto" w:sz="12" w:space="0"/>
              <w:left w:val="nil"/>
              <w:bottom w:val="single" w:color="auto" w:sz="12" w:space="0"/>
              <w:right w:val="dotted" w:color="auto" w:sz="4" w:space="0"/>
            </w:tcBorders>
            <w:vAlign w:val="center"/>
          </w:tcPr>
          <w:p>
            <w:pPr>
              <w:widowControl/>
              <w:spacing w:line="240" w:lineRule="auto"/>
              <w:ind w:firstLine="0" w:firstLineChars="0"/>
              <w:jc w:val="left"/>
              <w:rPr>
                <w:rFonts w:cs="Times New Roman"/>
                <w:b/>
                <w:bCs/>
                <w:sz w:val="21"/>
              </w:rPr>
            </w:pPr>
          </w:p>
        </w:tc>
        <w:tc>
          <w:tcPr>
            <w:tcW w:w="2184"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b/>
                <w:bCs/>
                <w:sz w:val="21"/>
              </w:rPr>
            </w:pPr>
          </w:p>
        </w:tc>
        <w:tc>
          <w:tcPr>
            <w:tcW w:w="890"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b/>
                <w:bCs/>
                <w:sz w:val="21"/>
              </w:rPr>
            </w:pPr>
          </w:p>
        </w:tc>
        <w:tc>
          <w:tcPr>
            <w:tcW w:w="1467"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b/>
                <w:bCs/>
                <w:sz w:val="21"/>
              </w:rPr>
            </w:pPr>
          </w:p>
        </w:tc>
        <w:tc>
          <w:tcPr>
            <w:tcW w:w="1181" w:type="dxa"/>
            <w:tcBorders>
              <w:top w:val="dotted" w:color="auto" w:sz="4" w:space="0"/>
              <w:left w:val="dotted" w:color="auto" w:sz="4" w:space="0"/>
              <w:bottom w:val="single" w:color="auto" w:sz="12" w:space="0"/>
              <w:right w:val="dotted" w:color="auto" w:sz="4" w:space="0"/>
            </w:tcBorders>
            <w:noWrap/>
            <w:vAlign w:val="center"/>
          </w:tcPr>
          <w:p>
            <w:pPr>
              <w:spacing w:line="240" w:lineRule="auto"/>
              <w:ind w:firstLine="0" w:firstLineChars="0"/>
              <w:jc w:val="center"/>
              <w:rPr>
                <w:rFonts w:cs="Times New Roman"/>
                <w:b/>
                <w:bCs/>
                <w:sz w:val="21"/>
              </w:rPr>
            </w:pPr>
            <w:r>
              <w:rPr>
                <w:rFonts w:hint="eastAsia" w:cs="Times New Roman"/>
                <w:b/>
                <w:bCs/>
                <w:sz w:val="21"/>
              </w:rPr>
              <w:t>二噁英</w:t>
            </w:r>
          </w:p>
        </w:tc>
        <w:tc>
          <w:tcPr>
            <w:tcW w:w="1960" w:type="dxa"/>
            <w:tcBorders>
              <w:top w:val="dotted" w:color="auto" w:sz="4" w:space="0"/>
              <w:left w:val="dotted" w:color="auto" w:sz="4" w:space="0"/>
              <w:bottom w:val="single" w:color="auto" w:sz="12" w:space="0"/>
              <w:right w:val="nil"/>
            </w:tcBorders>
            <w:noWrap/>
            <w:vAlign w:val="center"/>
          </w:tcPr>
          <w:p>
            <w:pPr>
              <w:spacing w:line="240" w:lineRule="auto"/>
              <w:ind w:firstLine="0" w:firstLineChars="0"/>
              <w:jc w:val="center"/>
              <w:rPr>
                <w:rFonts w:cs="Times New Roman"/>
                <w:b/>
                <w:bCs/>
                <w:sz w:val="21"/>
              </w:rPr>
            </w:pPr>
            <w:r>
              <w:rPr>
                <w:rFonts w:hint="eastAsia" w:cs="Times New Roman"/>
                <w:b/>
                <w:bCs/>
                <w:sz w:val="21"/>
              </w:rPr>
              <w:t>其他</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49" w:type="dxa"/>
            <w:tcBorders>
              <w:top w:val="single" w:color="auto" w:sz="12" w:space="0"/>
              <w:left w:val="nil"/>
              <w:bottom w:val="dotted" w:color="auto" w:sz="4" w:space="0"/>
              <w:right w:val="dotted" w:color="auto" w:sz="4" w:space="0"/>
            </w:tcBorders>
            <w:noWrap/>
            <w:vAlign w:val="center"/>
          </w:tcPr>
          <w:p>
            <w:pPr>
              <w:spacing w:line="240" w:lineRule="auto"/>
              <w:ind w:firstLine="0" w:firstLineChars="0"/>
              <w:jc w:val="center"/>
              <w:rPr>
                <w:rFonts w:cs="Times New Roman"/>
                <w:sz w:val="21"/>
              </w:rPr>
            </w:pPr>
            <w:r>
              <w:rPr>
                <w:rFonts w:cs="Times New Roman"/>
                <w:sz w:val="21"/>
              </w:rPr>
              <w:t>1#</w:t>
            </w:r>
          </w:p>
        </w:tc>
        <w:tc>
          <w:tcPr>
            <w:tcW w:w="2184" w:type="dxa"/>
            <w:tcBorders>
              <w:top w:val="single" w:color="auto" w:sz="12"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lang w:val="zh-CN"/>
              </w:rPr>
            </w:pPr>
            <w:r>
              <w:rPr>
                <w:rFonts w:cs="Times New Roman"/>
                <w:sz w:val="21"/>
              </w:rPr>
              <w:t>—</w:t>
            </w:r>
          </w:p>
        </w:tc>
        <w:tc>
          <w:tcPr>
            <w:tcW w:w="890" w:type="dxa"/>
            <w:tcBorders>
              <w:top w:val="single" w:color="auto" w:sz="12"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cs="Times New Roman"/>
                <w:sz w:val="21"/>
              </w:rPr>
            </w:pPr>
            <w:r>
              <w:rPr>
                <w:rFonts w:cs="Times New Roman"/>
                <w:sz w:val="21"/>
                <w:lang w:val="zh-CN"/>
              </w:rPr>
              <w:t>N</w:t>
            </w:r>
          </w:p>
        </w:tc>
        <w:tc>
          <w:tcPr>
            <w:tcW w:w="1467" w:type="dxa"/>
            <w:tcBorders>
              <w:top w:val="single" w:color="auto" w:sz="12"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cs="Times New Roman"/>
                <w:sz w:val="21"/>
              </w:rPr>
            </w:pPr>
            <w:r>
              <w:rPr>
                <w:rFonts w:cs="Times New Roman"/>
                <w:sz w:val="21"/>
              </w:rPr>
              <w:t>1.92</w:t>
            </w:r>
          </w:p>
        </w:tc>
        <w:tc>
          <w:tcPr>
            <w:tcW w:w="1181" w:type="dxa"/>
            <w:tcBorders>
              <w:top w:val="single" w:color="auto" w:sz="12"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cs="Times New Roman"/>
                <w:sz w:val="21"/>
              </w:rPr>
            </w:pPr>
            <w:r>
              <w:rPr>
                <w:rFonts w:cs="Times New Roman"/>
                <w:sz w:val="21"/>
              </w:rPr>
              <w:t>—</w:t>
            </w:r>
          </w:p>
        </w:tc>
        <w:tc>
          <w:tcPr>
            <w:tcW w:w="1960" w:type="dxa"/>
            <w:vMerge w:val="restart"/>
            <w:tcBorders>
              <w:top w:val="single" w:color="auto" w:sz="12" w:space="0"/>
              <w:left w:val="dotted" w:color="auto" w:sz="4" w:space="0"/>
              <w:bottom w:val="dotted" w:color="auto" w:sz="4" w:space="0"/>
              <w:right w:val="nil"/>
            </w:tcBorders>
            <w:noWrap/>
            <w:vAlign w:val="center"/>
          </w:tcPr>
          <w:p>
            <w:pPr>
              <w:spacing w:line="240" w:lineRule="auto"/>
              <w:ind w:firstLine="0" w:firstLineChars="0"/>
              <w:rPr>
                <w:rFonts w:cs="Times New Roman"/>
                <w:sz w:val="21"/>
              </w:rPr>
            </w:pPr>
            <w:r>
              <w:rPr>
                <w:rFonts w:cs="Times New Roman"/>
                <w:sz w:val="21"/>
              </w:rPr>
              <w:t>TSP</w:t>
            </w:r>
            <w:r>
              <w:rPr>
                <w:rFonts w:hint="eastAsia" w:cs="Times New Roman"/>
                <w:sz w:val="21"/>
              </w:rPr>
              <w:t>、</w:t>
            </w:r>
            <w:r>
              <w:rPr>
                <w:rFonts w:cs="Times New Roman"/>
                <w:sz w:val="21"/>
              </w:rPr>
              <w:t>H</w:t>
            </w:r>
            <w:r>
              <w:rPr>
                <w:rFonts w:cs="Times New Roman"/>
                <w:sz w:val="21"/>
                <w:vertAlign w:val="subscript"/>
              </w:rPr>
              <w:t>2</w:t>
            </w:r>
            <w:r>
              <w:rPr>
                <w:rFonts w:cs="Times New Roman"/>
                <w:sz w:val="21"/>
              </w:rPr>
              <w:t>S</w:t>
            </w:r>
            <w:r>
              <w:rPr>
                <w:rFonts w:hint="eastAsia" w:cs="Times New Roman"/>
                <w:sz w:val="21"/>
              </w:rPr>
              <w:t>、</w:t>
            </w:r>
            <w:r>
              <w:rPr>
                <w:rFonts w:cs="Times New Roman"/>
                <w:sz w:val="21"/>
              </w:rPr>
              <w:t>NH</w:t>
            </w:r>
            <w:r>
              <w:rPr>
                <w:rFonts w:cs="Times New Roman"/>
                <w:sz w:val="21"/>
                <w:vertAlign w:val="subscript"/>
              </w:rPr>
              <w:t>3</w:t>
            </w:r>
            <w:r>
              <w:rPr>
                <w:rFonts w:hint="eastAsia" w:cs="Times New Roman"/>
                <w:sz w:val="21"/>
              </w:rPr>
              <w:t>、氟化物、</w:t>
            </w:r>
            <w:r>
              <w:rPr>
                <w:rFonts w:cs="Times New Roman"/>
                <w:sz w:val="21"/>
              </w:rPr>
              <w:t>HCl</w:t>
            </w:r>
            <w:r>
              <w:rPr>
                <w:rFonts w:hint="eastAsia" w:cs="Times New Roman"/>
                <w:sz w:val="21"/>
              </w:rPr>
              <w:t>、硫酸雾、非甲烷总烃、</w:t>
            </w:r>
            <w:r>
              <w:rPr>
                <w:rFonts w:cs="Times New Roman"/>
                <w:sz w:val="21"/>
              </w:rPr>
              <w:t>TVOC</w:t>
            </w:r>
            <w:r>
              <w:rPr>
                <w:rFonts w:hint="eastAsia" w:cs="Times New Roman"/>
                <w:sz w:val="21"/>
              </w:rPr>
              <w:t>、臭气浓度、</w:t>
            </w:r>
            <w:r>
              <w:rPr>
                <w:rFonts w:cs="Times New Roman"/>
                <w:sz w:val="21"/>
              </w:rPr>
              <w:t>HCN</w:t>
            </w:r>
            <w:r>
              <w:rPr>
                <w:rFonts w:hint="eastAsia" w:cs="Times New Roman"/>
                <w:sz w:val="21"/>
              </w:rPr>
              <w:t>、</w:t>
            </w:r>
            <w:r>
              <w:rPr>
                <w:rFonts w:cs="Times New Roman"/>
                <w:sz w:val="21"/>
              </w:rPr>
              <w:t>Hg</w:t>
            </w:r>
            <w:r>
              <w:rPr>
                <w:rFonts w:hint="eastAsia" w:cs="Times New Roman"/>
                <w:sz w:val="21"/>
              </w:rPr>
              <w:t>、</w:t>
            </w:r>
            <w:r>
              <w:rPr>
                <w:rFonts w:cs="Times New Roman"/>
                <w:sz w:val="21"/>
              </w:rPr>
              <w:t>As</w:t>
            </w:r>
            <w:r>
              <w:rPr>
                <w:rFonts w:hint="eastAsia" w:cs="Times New Roman"/>
                <w:sz w:val="21"/>
              </w:rPr>
              <w:t>、</w:t>
            </w:r>
            <w:r>
              <w:rPr>
                <w:rFonts w:cs="Times New Roman"/>
                <w:sz w:val="21"/>
              </w:rPr>
              <w:t>Pb</w:t>
            </w:r>
            <w:r>
              <w:rPr>
                <w:rFonts w:hint="eastAsia" w:cs="Times New Roman"/>
                <w:sz w:val="21"/>
              </w:rPr>
              <w:t>、</w:t>
            </w:r>
            <w:r>
              <w:rPr>
                <w:rFonts w:cs="Times New Roman"/>
                <w:sz w:val="21"/>
              </w:rPr>
              <w:t>Cd</w:t>
            </w:r>
            <w:r>
              <w:rPr>
                <w:rFonts w:hint="eastAsia" w:cs="Times New Roman"/>
                <w:sz w:val="21"/>
              </w:rPr>
              <w:t>、</w:t>
            </w:r>
            <w:r>
              <w:rPr>
                <w:rFonts w:cs="Times New Roman"/>
                <w:sz w:val="21"/>
              </w:rPr>
              <w:t>Ni</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6" w:hRule="atLeast"/>
        </w:trPr>
        <w:tc>
          <w:tcPr>
            <w:tcW w:w="849"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rFonts w:cs="Times New Roman"/>
                <w:sz w:val="21"/>
              </w:rPr>
            </w:pPr>
            <w:r>
              <w:rPr>
                <w:rFonts w:cs="Times New Roman"/>
                <w:sz w:val="21"/>
              </w:rPr>
              <w:t>2#</w:t>
            </w:r>
          </w:p>
        </w:tc>
        <w:tc>
          <w:tcPr>
            <w:tcW w:w="2184"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lang w:val="zh-CN"/>
              </w:rPr>
            </w:pPr>
            <w:r>
              <w:rPr>
                <w:rFonts w:cs="Times New Roman"/>
                <w:sz w:val="21"/>
              </w:rPr>
              <w:t>—</w:t>
            </w:r>
          </w:p>
        </w:tc>
        <w:tc>
          <w:tcPr>
            <w:tcW w:w="890"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lang w:val="zh-CN"/>
              </w:rPr>
            </w:pPr>
            <w:r>
              <w:rPr>
                <w:rFonts w:cs="Times New Roman"/>
                <w:sz w:val="21"/>
                <w:lang w:val="zh-CN"/>
              </w:rPr>
              <w:t>NW</w:t>
            </w:r>
          </w:p>
        </w:tc>
        <w:tc>
          <w:tcPr>
            <w:tcW w:w="1467"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lang w:val="zh-CN"/>
              </w:rPr>
            </w:pPr>
            <w:r>
              <w:rPr>
                <w:rFonts w:cs="Times New Roman"/>
                <w:sz w:val="21"/>
                <w:lang w:val="zh-CN"/>
              </w:rPr>
              <w:t>2.70</w:t>
            </w:r>
          </w:p>
        </w:tc>
        <w:tc>
          <w:tcPr>
            <w:tcW w:w="1181"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lang w:val="zh-CN"/>
              </w:rPr>
            </w:pPr>
            <w:r>
              <w:rPr>
                <w:rFonts w:hint="eastAsia" w:cs="Times New Roman"/>
                <w:sz w:val="21"/>
                <w:lang w:val="zh-CN"/>
              </w:rPr>
              <w:t>监测</w:t>
            </w:r>
          </w:p>
        </w:tc>
        <w:tc>
          <w:tcPr>
            <w:tcW w:w="196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rFonts w:cs="Times New Roman"/>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6" w:hRule="atLeast"/>
        </w:trPr>
        <w:tc>
          <w:tcPr>
            <w:tcW w:w="849"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rFonts w:cs="Times New Roman"/>
                <w:sz w:val="21"/>
              </w:rPr>
            </w:pPr>
            <w:r>
              <w:rPr>
                <w:rFonts w:cs="Times New Roman"/>
                <w:sz w:val="21"/>
              </w:rPr>
              <w:t>3#</w:t>
            </w:r>
          </w:p>
        </w:tc>
        <w:tc>
          <w:tcPr>
            <w:tcW w:w="2184"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cs="Times New Roman"/>
                <w:sz w:val="21"/>
              </w:rPr>
              <w:t>—</w:t>
            </w:r>
          </w:p>
        </w:tc>
        <w:tc>
          <w:tcPr>
            <w:tcW w:w="890"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cs="Times New Roman"/>
                <w:sz w:val="21"/>
              </w:rPr>
              <w:t>SW</w:t>
            </w:r>
          </w:p>
        </w:tc>
        <w:tc>
          <w:tcPr>
            <w:tcW w:w="1467"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cs="Times New Roman"/>
                <w:sz w:val="21"/>
              </w:rPr>
              <w:t>1.86</w:t>
            </w:r>
          </w:p>
        </w:tc>
        <w:tc>
          <w:tcPr>
            <w:tcW w:w="1181"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cs="Times New Roman"/>
                <w:sz w:val="21"/>
              </w:rPr>
              <w:t>—</w:t>
            </w:r>
          </w:p>
        </w:tc>
        <w:tc>
          <w:tcPr>
            <w:tcW w:w="196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rFonts w:cs="Times New Roman"/>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6" w:hRule="atLeast"/>
        </w:trPr>
        <w:tc>
          <w:tcPr>
            <w:tcW w:w="849"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rFonts w:cs="Times New Roman"/>
                <w:sz w:val="21"/>
              </w:rPr>
            </w:pPr>
            <w:r>
              <w:rPr>
                <w:rFonts w:cs="Times New Roman"/>
                <w:sz w:val="21"/>
              </w:rPr>
              <w:t>4#</w:t>
            </w:r>
          </w:p>
        </w:tc>
        <w:tc>
          <w:tcPr>
            <w:tcW w:w="2184" w:type="dxa"/>
            <w:tcBorders>
              <w:top w:val="dotted" w:color="auto" w:sz="4" w:space="0"/>
              <w:left w:val="dotted" w:color="auto" w:sz="4" w:space="0"/>
              <w:bottom w:val="dotted" w:color="auto" w:sz="4" w:space="0"/>
              <w:right w:val="dotted" w:color="auto" w:sz="4" w:space="0"/>
            </w:tcBorders>
            <w:noWrap/>
            <w:tcMar>
              <w:top w:w="0" w:type="dxa"/>
              <w:left w:w="0" w:type="dxa"/>
              <w:bottom w:w="0" w:type="dxa"/>
              <w:right w:w="0" w:type="dxa"/>
            </w:tcMar>
            <w:vAlign w:val="center"/>
          </w:tcPr>
          <w:p>
            <w:pPr>
              <w:autoSpaceDE w:val="0"/>
              <w:autoSpaceDN w:val="0"/>
              <w:spacing w:line="240" w:lineRule="auto"/>
              <w:ind w:firstLine="0" w:firstLineChars="0"/>
              <w:jc w:val="center"/>
              <w:rPr>
                <w:rFonts w:cs="Times New Roman"/>
                <w:sz w:val="21"/>
              </w:rPr>
            </w:pPr>
            <w:r>
              <w:rPr>
                <w:rFonts w:hint="eastAsia" w:cs="Times New Roman"/>
                <w:sz w:val="21"/>
              </w:rPr>
              <w:t>危废综合处置厂拟建厂址</w:t>
            </w:r>
          </w:p>
        </w:tc>
        <w:tc>
          <w:tcPr>
            <w:tcW w:w="890"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cs="Times New Roman"/>
                <w:sz w:val="21"/>
              </w:rPr>
              <w:t>—</w:t>
            </w:r>
          </w:p>
        </w:tc>
        <w:tc>
          <w:tcPr>
            <w:tcW w:w="1467"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cs="Times New Roman"/>
                <w:sz w:val="21"/>
              </w:rPr>
              <w:t>—</w:t>
            </w:r>
          </w:p>
        </w:tc>
        <w:tc>
          <w:tcPr>
            <w:tcW w:w="1181"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hint="eastAsia" w:cs="Times New Roman"/>
                <w:sz w:val="21"/>
                <w:lang w:val="zh-CN"/>
              </w:rPr>
              <w:t>监测</w:t>
            </w:r>
          </w:p>
        </w:tc>
        <w:tc>
          <w:tcPr>
            <w:tcW w:w="196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rFonts w:cs="Times New Roman"/>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6" w:hRule="atLeast"/>
        </w:trPr>
        <w:tc>
          <w:tcPr>
            <w:tcW w:w="849"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rFonts w:cs="Times New Roman"/>
                <w:sz w:val="21"/>
              </w:rPr>
            </w:pPr>
            <w:r>
              <w:rPr>
                <w:rFonts w:cs="Times New Roman"/>
                <w:sz w:val="21"/>
              </w:rPr>
              <w:t>5#</w:t>
            </w:r>
          </w:p>
        </w:tc>
        <w:tc>
          <w:tcPr>
            <w:tcW w:w="2184"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hint="eastAsia" w:cs="Times New Roman"/>
                <w:sz w:val="21"/>
              </w:rPr>
              <w:t>双翼陶瓷</w:t>
            </w:r>
          </w:p>
          <w:p>
            <w:pPr>
              <w:autoSpaceDE w:val="0"/>
              <w:autoSpaceDN w:val="0"/>
              <w:spacing w:line="240" w:lineRule="auto"/>
              <w:ind w:firstLine="0" w:firstLineChars="0"/>
              <w:jc w:val="center"/>
              <w:rPr>
                <w:rFonts w:cs="Times New Roman"/>
                <w:sz w:val="21"/>
              </w:rPr>
            </w:pPr>
            <w:r>
              <w:rPr>
                <w:rFonts w:hint="eastAsia" w:cs="Times New Roman"/>
                <w:sz w:val="21"/>
              </w:rPr>
              <w:t>项目厂址</w:t>
            </w:r>
          </w:p>
        </w:tc>
        <w:tc>
          <w:tcPr>
            <w:tcW w:w="890"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cs="Times New Roman"/>
                <w:sz w:val="21"/>
              </w:rPr>
              <w:t>NE</w:t>
            </w:r>
          </w:p>
        </w:tc>
        <w:tc>
          <w:tcPr>
            <w:tcW w:w="1467"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cs="Times New Roman"/>
                <w:sz w:val="21"/>
              </w:rPr>
              <w:t>1.93</w:t>
            </w:r>
          </w:p>
        </w:tc>
        <w:tc>
          <w:tcPr>
            <w:tcW w:w="1181" w:type="dxa"/>
            <w:tcBorders>
              <w:top w:val="dotted" w:color="auto" w:sz="4" w:space="0"/>
              <w:left w:val="dotted" w:color="auto" w:sz="4" w:space="0"/>
              <w:bottom w:val="dotted" w:color="auto" w:sz="4" w:space="0"/>
              <w:right w:val="dotted" w:color="auto" w:sz="4" w:space="0"/>
            </w:tcBorders>
            <w:noWrap/>
            <w:vAlign w:val="center"/>
          </w:tcPr>
          <w:p>
            <w:pPr>
              <w:autoSpaceDE w:val="0"/>
              <w:autoSpaceDN w:val="0"/>
              <w:spacing w:line="240" w:lineRule="auto"/>
              <w:ind w:firstLine="0" w:firstLineChars="0"/>
              <w:jc w:val="center"/>
              <w:rPr>
                <w:rFonts w:cs="Times New Roman"/>
                <w:sz w:val="21"/>
              </w:rPr>
            </w:pPr>
            <w:r>
              <w:rPr>
                <w:rFonts w:cs="Times New Roman"/>
                <w:sz w:val="21"/>
              </w:rPr>
              <w:t>—</w:t>
            </w:r>
          </w:p>
        </w:tc>
        <w:tc>
          <w:tcPr>
            <w:tcW w:w="196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rFonts w:cs="Times New Roman"/>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49" w:type="dxa"/>
            <w:tcBorders>
              <w:top w:val="dotted" w:color="auto" w:sz="4" w:space="0"/>
              <w:left w:val="nil"/>
              <w:bottom w:val="single" w:color="auto" w:sz="12" w:space="0"/>
              <w:right w:val="dotted" w:color="auto" w:sz="4" w:space="0"/>
            </w:tcBorders>
            <w:noWrap/>
            <w:vAlign w:val="center"/>
          </w:tcPr>
          <w:p>
            <w:pPr>
              <w:spacing w:line="240" w:lineRule="auto"/>
              <w:ind w:firstLine="0" w:firstLineChars="0"/>
              <w:jc w:val="center"/>
              <w:rPr>
                <w:rFonts w:cs="Times New Roman"/>
                <w:sz w:val="21"/>
              </w:rPr>
            </w:pPr>
            <w:r>
              <w:rPr>
                <w:rFonts w:cs="Times New Roman"/>
                <w:sz w:val="21"/>
              </w:rPr>
              <w:t>6#</w:t>
            </w:r>
          </w:p>
        </w:tc>
        <w:tc>
          <w:tcPr>
            <w:tcW w:w="2184" w:type="dxa"/>
            <w:tcBorders>
              <w:top w:val="dotted" w:color="auto" w:sz="4" w:space="0"/>
              <w:left w:val="dotted" w:color="auto" w:sz="4" w:space="0"/>
              <w:bottom w:val="single" w:color="auto" w:sz="12" w:space="0"/>
              <w:right w:val="dotted" w:color="auto" w:sz="4" w:space="0"/>
            </w:tcBorders>
            <w:noWrap/>
            <w:vAlign w:val="center"/>
          </w:tcPr>
          <w:p>
            <w:pPr>
              <w:autoSpaceDE w:val="0"/>
              <w:autoSpaceDN w:val="0"/>
              <w:spacing w:line="240" w:lineRule="auto"/>
              <w:ind w:firstLine="0" w:firstLineChars="0"/>
              <w:jc w:val="center"/>
              <w:rPr>
                <w:rFonts w:cs="Times New Roman"/>
                <w:sz w:val="21"/>
                <w:lang w:val="zh-CN"/>
              </w:rPr>
            </w:pPr>
            <w:r>
              <w:rPr>
                <w:rFonts w:hint="eastAsia" w:cs="Times New Roman"/>
                <w:sz w:val="21"/>
                <w:lang w:val="zh-CN"/>
              </w:rPr>
              <w:t>国能天然气</w:t>
            </w:r>
          </w:p>
          <w:p>
            <w:pPr>
              <w:autoSpaceDE w:val="0"/>
              <w:autoSpaceDN w:val="0"/>
              <w:spacing w:line="240" w:lineRule="auto"/>
              <w:ind w:firstLine="0" w:firstLineChars="0"/>
              <w:jc w:val="center"/>
              <w:rPr>
                <w:rFonts w:cs="Times New Roman"/>
                <w:sz w:val="21"/>
                <w:lang w:val="zh-CN"/>
              </w:rPr>
            </w:pPr>
            <w:r>
              <w:rPr>
                <w:rFonts w:hint="eastAsia" w:cs="Times New Roman"/>
                <w:sz w:val="21"/>
                <w:lang w:val="zh-CN"/>
              </w:rPr>
              <w:t>项目厂址</w:t>
            </w:r>
          </w:p>
        </w:tc>
        <w:tc>
          <w:tcPr>
            <w:tcW w:w="890" w:type="dxa"/>
            <w:tcBorders>
              <w:top w:val="dotted" w:color="auto" w:sz="4" w:space="0"/>
              <w:left w:val="dotted" w:color="auto" w:sz="4" w:space="0"/>
              <w:bottom w:val="single" w:color="auto" w:sz="12" w:space="0"/>
              <w:right w:val="dotted" w:color="auto" w:sz="4" w:space="0"/>
            </w:tcBorders>
            <w:noWrap/>
            <w:vAlign w:val="center"/>
          </w:tcPr>
          <w:p>
            <w:pPr>
              <w:autoSpaceDE w:val="0"/>
              <w:autoSpaceDN w:val="0"/>
              <w:spacing w:line="240" w:lineRule="auto"/>
              <w:ind w:firstLine="0" w:firstLineChars="0"/>
              <w:jc w:val="center"/>
              <w:rPr>
                <w:rFonts w:cs="Times New Roman"/>
                <w:sz w:val="21"/>
                <w:lang w:val="zh-CN"/>
              </w:rPr>
            </w:pPr>
            <w:r>
              <w:rPr>
                <w:rFonts w:cs="Times New Roman"/>
                <w:sz w:val="21"/>
                <w:lang w:val="zh-CN"/>
              </w:rPr>
              <w:t>SE</w:t>
            </w:r>
          </w:p>
        </w:tc>
        <w:tc>
          <w:tcPr>
            <w:tcW w:w="1467" w:type="dxa"/>
            <w:tcBorders>
              <w:top w:val="dotted" w:color="auto" w:sz="4" w:space="0"/>
              <w:left w:val="dotted" w:color="auto" w:sz="4" w:space="0"/>
              <w:bottom w:val="single" w:color="auto" w:sz="12" w:space="0"/>
              <w:right w:val="dotted" w:color="auto" w:sz="4" w:space="0"/>
            </w:tcBorders>
            <w:noWrap/>
            <w:vAlign w:val="center"/>
          </w:tcPr>
          <w:p>
            <w:pPr>
              <w:autoSpaceDE w:val="0"/>
              <w:autoSpaceDN w:val="0"/>
              <w:spacing w:line="240" w:lineRule="auto"/>
              <w:ind w:firstLine="0" w:firstLineChars="0"/>
              <w:jc w:val="center"/>
              <w:rPr>
                <w:rFonts w:cs="Times New Roman"/>
                <w:sz w:val="21"/>
                <w:lang w:val="zh-CN"/>
              </w:rPr>
            </w:pPr>
            <w:r>
              <w:rPr>
                <w:rFonts w:cs="Times New Roman"/>
                <w:sz w:val="21"/>
                <w:lang w:val="zh-CN"/>
              </w:rPr>
              <w:t>2.37</w:t>
            </w:r>
          </w:p>
        </w:tc>
        <w:tc>
          <w:tcPr>
            <w:tcW w:w="1181" w:type="dxa"/>
            <w:tcBorders>
              <w:top w:val="dotted" w:color="auto" w:sz="4" w:space="0"/>
              <w:left w:val="dotted" w:color="auto" w:sz="4" w:space="0"/>
              <w:bottom w:val="single" w:color="auto" w:sz="12" w:space="0"/>
              <w:right w:val="dotted" w:color="auto" w:sz="4" w:space="0"/>
            </w:tcBorders>
            <w:noWrap/>
            <w:vAlign w:val="center"/>
          </w:tcPr>
          <w:p>
            <w:pPr>
              <w:autoSpaceDE w:val="0"/>
              <w:autoSpaceDN w:val="0"/>
              <w:spacing w:line="240" w:lineRule="auto"/>
              <w:ind w:firstLine="0" w:firstLineChars="0"/>
              <w:jc w:val="center"/>
              <w:rPr>
                <w:rFonts w:cs="Times New Roman"/>
                <w:sz w:val="21"/>
                <w:lang w:val="zh-CN"/>
              </w:rPr>
            </w:pPr>
            <w:r>
              <w:rPr>
                <w:rFonts w:hint="eastAsia" w:cs="Times New Roman"/>
                <w:sz w:val="21"/>
                <w:lang w:val="zh-CN"/>
              </w:rPr>
              <w:t>监测</w:t>
            </w:r>
          </w:p>
        </w:tc>
        <w:tc>
          <w:tcPr>
            <w:tcW w:w="1960" w:type="dxa"/>
            <w:vMerge w:val="continue"/>
            <w:tcBorders>
              <w:top w:val="single" w:color="auto" w:sz="12" w:space="0"/>
              <w:left w:val="dotted" w:color="auto" w:sz="4" w:space="0"/>
              <w:bottom w:val="single" w:color="auto" w:sz="12" w:space="0"/>
              <w:right w:val="nil"/>
            </w:tcBorders>
            <w:vAlign w:val="center"/>
          </w:tcPr>
          <w:p>
            <w:pPr>
              <w:widowControl/>
              <w:spacing w:line="240" w:lineRule="auto"/>
              <w:ind w:firstLine="0" w:firstLineChars="0"/>
              <w:jc w:val="left"/>
              <w:rPr>
                <w:rFonts w:cs="Times New Roman"/>
                <w:sz w:val="21"/>
              </w:rPr>
            </w:pPr>
          </w:p>
        </w:tc>
      </w:tr>
    </w:tbl>
    <w:p>
      <w:pPr>
        <w:adjustRightInd w:val="0"/>
        <w:snapToGrid w:val="0"/>
        <w:ind w:firstLine="470" w:firstLineChars="196"/>
        <w:rPr>
          <w:color w:val="000000"/>
        </w:rPr>
      </w:pPr>
    </w:p>
    <w:p>
      <w:pPr>
        <w:pStyle w:val="6"/>
      </w:pPr>
      <w:bookmarkStart w:id="328" w:name="_Toc82483107"/>
      <w:bookmarkStart w:id="329" w:name="_Toc82610990"/>
      <w:r>
        <w:t xml:space="preserve">5.1.2.1 </w:t>
      </w:r>
      <w:r>
        <w:rPr>
          <w:rFonts w:hint="eastAsia"/>
        </w:rPr>
        <w:t>监测项目</w:t>
      </w:r>
    </w:p>
    <w:p>
      <w:pPr>
        <w:adjustRightInd w:val="0"/>
        <w:ind w:firstLine="480"/>
        <w:rPr>
          <w:bCs/>
        </w:rPr>
      </w:pPr>
      <w:r>
        <w:rPr>
          <w:bCs/>
        </w:rPr>
        <w:t>(1)</w:t>
      </w:r>
      <w:bookmarkEnd w:id="328"/>
      <w:bookmarkEnd w:id="329"/>
      <w:r>
        <w:rPr>
          <w:rFonts w:hint="eastAsia"/>
          <w:bCs/>
        </w:rPr>
        <w:t>危废综合处置厂</w:t>
      </w:r>
    </w:p>
    <w:p>
      <w:pPr>
        <w:autoSpaceDE w:val="0"/>
        <w:autoSpaceDN w:val="0"/>
        <w:adjustRightInd w:val="0"/>
        <w:ind w:firstLine="480"/>
      </w:pPr>
      <w:r>
        <w:rPr>
          <w:rFonts w:hint="eastAsia"/>
        </w:rPr>
        <w:fldChar w:fldCharType="begin"/>
      </w:r>
      <w:r>
        <w:instrText xml:space="preserve"> = 1 \* GB3 </w:instrText>
      </w:r>
      <w:r>
        <w:rPr>
          <w:rFonts w:hint="eastAsia"/>
        </w:rPr>
        <w:fldChar w:fldCharType="separate"/>
      </w:r>
      <w:r>
        <w:rPr>
          <w:rFonts w:hint="eastAsia" w:ascii="宋体" w:hAnsi="宋体" w:cs="宋体"/>
        </w:rPr>
        <w:t>①</w:t>
      </w:r>
      <w:r>
        <w:rPr>
          <w:rFonts w:hint="eastAsia" w:ascii="宋体" w:hAnsi="宋体" w:cs="宋体"/>
        </w:rPr>
        <w:fldChar w:fldCharType="end"/>
      </w:r>
      <w:r>
        <w:rPr>
          <w:rFonts w:hint="eastAsia"/>
        </w:rPr>
        <w:t>小时浓度监测项目</w:t>
      </w:r>
    </w:p>
    <w:p>
      <w:pPr>
        <w:autoSpaceDE w:val="0"/>
        <w:autoSpaceDN w:val="0"/>
        <w:adjustRightInd w:val="0"/>
        <w:ind w:firstLine="480"/>
      </w:pPr>
      <w:r>
        <w:rPr>
          <w:rFonts w:hint="eastAsia"/>
        </w:rPr>
        <w:t>特征因子：</w:t>
      </w:r>
      <w:r>
        <w:t>H</w:t>
      </w:r>
      <w:r>
        <w:rPr>
          <w:vertAlign w:val="subscript"/>
        </w:rPr>
        <w:t>2</w:t>
      </w:r>
      <w:r>
        <w:t>S</w:t>
      </w:r>
      <w:r>
        <w:rPr>
          <w:rFonts w:hint="eastAsia"/>
        </w:rPr>
        <w:t>、</w:t>
      </w:r>
      <w:r>
        <w:t>NH</w:t>
      </w:r>
      <w:r>
        <w:rPr>
          <w:vertAlign w:val="subscript"/>
        </w:rPr>
        <w:t>3</w:t>
      </w:r>
      <w:r>
        <w:rPr>
          <w:rFonts w:hint="eastAsia"/>
        </w:rPr>
        <w:t>、非甲烷总烃、臭气浓度、氟化物、</w:t>
      </w:r>
      <w:r>
        <w:t>HCl</w:t>
      </w:r>
      <w:r>
        <w:rPr>
          <w:rFonts w:hint="eastAsia"/>
        </w:rPr>
        <w:t>、硫酸雾、</w:t>
      </w:r>
      <w:r>
        <w:t>HCN</w:t>
      </w:r>
      <w:r>
        <w:rPr>
          <w:rFonts w:hint="eastAsia"/>
        </w:rPr>
        <w:t>；</w:t>
      </w:r>
    </w:p>
    <w:p>
      <w:pPr>
        <w:autoSpaceDE w:val="0"/>
        <w:autoSpaceDN w:val="0"/>
        <w:adjustRightInd w:val="0"/>
        <w:ind w:firstLine="480"/>
        <w:outlineLvl w:val="0"/>
      </w:pPr>
      <w:r>
        <w:rPr>
          <w:rFonts w:hint="eastAsia"/>
        </w:rPr>
        <w:fldChar w:fldCharType="begin"/>
      </w:r>
      <w:r>
        <w:instrText xml:space="preserve"> = 2 \* GB3 </w:instrText>
      </w:r>
      <w:r>
        <w:rPr>
          <w:rFonts w:hint="eastAsia"/>
        </w:rPr>
        <w:fldChar w:fldCharType="separate"/>
      </w:r>
      <w:r>
        <w:rPr>
          <w:rFonts w:hint="eastAsia" w:ascii="宋体" w:hAnsi="宋体" w:cs="宋体"/>
        </w:rPr>
        <w:t>②</w:t>
      </w:r>
      <w:r>
        <w:rPr>
          <w:rFonts w:hint="eastAsia" w:ascii="宋体" w:hAnsi="宋体" w:cs="宋体"/>
        </w:rPr>
        <w:fldChar w:fldCharType="end"/>
      </w:r>
      <w:r>
        <w:rPr>
          <w:rFonts w:hint="eastAsia"/>
        </w:rPr>
        <w:t>日均浓度监测项目</w:t>
      </w:r>
    </w:p>
    <w:p>
      <w:pPr>
        <w:autoSpaceDE w:val="0"/>
        <w:autoSpaceDN w:val="0"/>
        <w:adjustRightInd w:val="0"/>
        <w:ind w:firstLine="480"/>
      </w:pPr>
      <w:r>
        <w:rPr>
          <w:rFonts w:hint="eastAsia"/>
        </w:rPr>
        <w:t>特征因子：</w:t>
      </w:r>
      <w:r>
        <w:t>TSP</w:t>
      </w:r>
      <w:r>
        <w:rPr>
          <w:rFonts w:hint="eastAsia"/>
        </w:rPr>
        <w:t>、氟化物、</w:t>
      </w:r>
      <w:r>
        <w:t>HCl</w:t>
      </w:r>
      <w:r>
        <w:rPr>
          <w:rFonts w:hint="eastAsia"/>
        </w:rPr>
        <w:t>、硫酸雾、</w:t>
      </w:r>
      <w:r>
        <w:t>HCN</w:t>
      </w:r>
      <w:r>
        <w:rPr>
          <w:rFonts w:hint="eastAsia"/>
        </w:rPr>
        <w:t>、</w:t>
      </w:r>
      <w:r>
        <w:t>Hg</w:t>
      </w:r>
      <w:r>
        <w:rPr>
          <w:rFonts w:hint="eastAsia"/>
        </w:rPr>
        <w:t>、</w:t>
      </w:r>
      <w:r>
        <w:t>Cd</w:t>
      </w:r>
      <w:r>
        <w:rPr>
          <w:rFonts w:hint="eastAsia"/>
        </w:rPr>
        <w:t>、</w:t>
      </w:r>
      <w:r>
        <w:t>Pb</w:t>
      </w:r>
      <w:r>
        <w:rPr>
          <w:rFonts w:hint="eastAsia"/>
        </w:rPr>
        <w:t>、</w:t>
      </w:r>
      <w:r>
        <w:t>As</w:t>
      </w:r>
      <w:r>
        <w:rPr>
          <w:rFonts w:hint="eastAsia"/>
        </w:rPr>
        <w:t>、</w:t>
      </w:r>
      <w:r>
        <w:t>Ni</w:t>
      </w:r>
      <w:r>
        <w:rPr>
          <w:rFonts w:hint="eastAsia"/>
        </w:rPr>
        <w:t>、</w:t>
      </w:r>
      <w:r>
        <w:t>TVOC</w:t>
      </w:r>
      <w:r>
        <w:rPr>
          <w:rFonts w:hint="eastAsia"/>
        </w:rPr>
        <w:t>、二噁英；</w:t>
      </w:r>
    </w:p>
    <w:p>
      <w:pPr>
        <w:autoSpaceDE w:val="0"/>
        <w:autoSpaceDN w:val="0"/>
        <w:adjustRightInd w:val="0"/>
        <w:ind w:firstLine="480"/>
      </w:pPr>
      <w:r>
        <w:rPr>
          <w:rFonts w:hint="eastAsia" w:ascii="宋体" w:hAnsi="宋体" w:cs="宋体"/>
        </w:rPr>
        <w:t>③</w:t>
      </w:r>
      <w:r>
        <w:rPr>
          <w:rFonts w:hint="eastAsia"/>
        </w:rPr>
        <w:t>监测期间同步测定风向、风速、气温、气压等常规气象要素。</w:t>
      </w:r>
    </w:p>
    <w:p>
      <w:pPr>
        <w:autoSpaceDE w:val="0"/>
        <w:autoSpaceDN w:val="0"/>
        <w:adjustRightInd w:val="0"/>
        <w:ind w:firstLine="480"/>
        <w:rPr>
          <w:color w:val="000000"/>
        </w:rPr>
      </w:pPr>
    </w:p>
    <w:p>
      <w:pPr>
        <w:widowControl/>
        <w:ind w:firstLine="0" w:firstLineChars="0"/>
        <w:jc w:val="left"/>
        <w:rPr>
          <w:rFonts w:hAnsi="宋体"/>
        </w:rPr>
        <w:sectPr>
          <w:pgSz w:w="11906" w:h="16838"/>
          <w:pgMar w:top="1418" w:right="1134" w:bottom="1418" w:left="1134" w:header="850" w:footer="850" w:gutter="0"/>
          <w:cols w:space="720" w:num="1"/>
          <w:docGrid w:linePitch="326" w:charSpace="0"/>
        </w:sectPr>
      </w:pPr>
    </w:p>
    <w:p>
      <w:pPr>
        <w:adjustRightInd w:val="0"/>
        <w:snapToGrid w:val="0"/>
        <w:ind w:firstLine="480"/>
        <w:jc w:val="center"/>
        <w:rPr>
          <w:rFonts w:hAnsi="宋体"/>
        </w:rPr>
      </w:pPr>
    </w:p>
    <w:p>
      <w:pPr>
        <w:adjustRightInd w:val="0"/>
        <w:snapToGrid w:val="0"/>
        <w:ind w:firstLine="480"/>
        <w:jc w:val="center"/>
        <w:rPr>
          <w:rFonts w:hAnsi="宋体"/>
        </w:rPr>
      </w:pPr>
      <w:r>
        <w:rPr>
          <w:rFonts w:hint="eastAsia" w:hAnsi="宋体"/>
        </w:rPr>
        <w:t>图</w:t>
      </w:r>
      <w:r>
        <w:rPr>
          <w:rFonts w:hAnsi="宋体"/>
        </w:rPr>
        <w:t>5.1</w:t>
      </w:r>
      <w:r>
        <w:rPr>
          <w:rFonts w:hint="eastAsia" w:hAnsi="宋体"/>
        </w:rPr>
        <w:t>—</w:t>
      </w:r>
      <w:r>
        <w:rPr>
          <w:rFonts w:hAnsi="宋体"/>
        </w:rPr>
        <w:t xml:space="preserve">1 </w:t>
      </w:r>
      <w:r>
        <w:rPr>
          <w:rFonts w:hint="eastAsia" w:hAnsi="宋体"/>
        </w:rPr>
        <w:t>危险综合处置厂区大气环境现状监测布点图</w:t>
      </w:r>
    </w:p>
    <w:p>
      <w:pPr>
        <w:adjustRightInd w:val="0"/>
        <w:snapToGrid w:val="0"/>
        <w:ind w:firstLine="480"/>
        <w:jc w:val="center"/>
        <w:rPr>
          <w:rFonts w:hAnsi="宋体"/>
        </w:rPr>
      </w:pPr>
    </w:p>
    <w:p>
      <w:pPr>
        <w:widowControl/>
        <w:spacing w:line="240" w:lineRule="auto"/>
        <w:ind w:firstLine="0" w:firstLineChars="0"/>
        <w:jc w:val="left"/>
        <w:rPr>
          <w:rFonts w:hAnsi="宋体"/>
        </w:rPr>
        <w:sectPr>
          <w:pgSz w:w="16838" w:h="11906" w:orient="landscape"/>
          <w:pgMar w:top="1701" w:right="1701" w:bottom="1701" w:left="1701" w:header="850" w:footer="1418" w:gutter="0"/>
          <w:cols w:space="720" w:num="1"/>
          <w:docGrid w:linePitch="326" w:charSpace="0"/>
        </w:sectPr>
      </w:pPr>
    </w:p>
    <w:p>
      <w:pPr>
        <w:pStyle w:val="6"/>
      </w:pPr>
      <w:r>
        <w:t>5.1.2.2</w:t>
      </w:r>
      <w:r>
        <w:rPr>
          <w:rFonts w:hint="eastAsia"/>
        </w:rPr>
        <w:t>监测频次</w:t>
      </w:r>
    </w:p>
    <w:p>
      <w:pPr>
        <w:ind w:firstLine="480"/>
      </w:pPr>
      <w:r>
        <w:t>H</w:t>
      </w:r>
      <w:r>
        <w:rPr>
          <w:vertAlign w:val="subscript"/>
        </w:rPr>
        <w:t>2</w:t>
      </w:r>
      <w:r>
        <w:t>S</w:t>
      </w:r>
      <w:r>
        <w:rPr>
          <w:rFonts w:hint="eastAsia"/>
        </w:rPr>
        <w:t>、</w:t>
      </w:r>
      <w:r>
        <w:t>NH</w:t>
      </w:r>
      <w:r>
        <w:rPr>
          <w:vertAlign w:val="subscript"/>
        </w:rPr>
        <w:t>3</w:t>
      </w:r>
      <w:r>
        <w:rPr>
          <w:rFonts w:hint="eastAsia"/>
        </w:rPr>
        <w:t>、氟化物、</w:t>
      </w:r>
      <w:r>
        <w:t>HCl</w:t>
      </w:r>
      <w:r>
        <w:rPr>
          <w:rFonts w:hint="eastAsia"/>
        </w:rPr>
        <w:t>、非甲烷总烃、臭气浓度、硫酸雾和</w:t>
      </w:r>
      <w:r>
        <w:t>HCN1</w:t>
      </w:r>
      <w:r>
        <w:rPr>
          <w:rFonts w:hint="eastAsia"/>
        </w:rPr>
        <w:t>小时平均浓度监测参照相关环境监测技术要求进行采样监测；</w:t>
      </w:r>
    </w:p>
    <w:p>
      <w:pPr>
        <w:ind w:firstLine="480"/>
      </w:pPr>
      <w:r>
        <w:rPr>
          <w:rFonts w:hint="eastAsia"/>
        </w:rPr>
        <w:t>氟化物、</w:t>
      </w:r>
      <w:r>
        <w:t>HCl</w:t>
      </w:r>
      <w:r>
        <w:rPr>
          <w:rFonts w:hint="eastAsia"/>
        </w:rPr>
        <w:t>、硫酸雾、</w:t>
      </w:r>
      <w:r>
        <w:t>HCN</w:t>
      </w:r>
      <w:r>
        <w:rPr>
          <w:rFonts w:hint="eastAsia"/>
        </w:rPr>
        <w:t>、</w:t>
      </w:r>
      <w:r>
        <w:t>Hg</w:t>
      </w:r>
      <w:r>
        <w:rPr>
          <w:rFonts w:hint="eastAsia"/>
        </w:rPr>
        <w:t>、</w:t>
      </w:r>
      <w:r>
        <w:t>Cd</w:t>
      </w:r>
      <w:r>
        <w:rPr>
          <w:rFonts w:hint="eastAsia"/>
        </w:rPr>
        <w:t>、</w:t>
      </w:r>
      <w:r>
        <w:t>Pb</w:t>
      </w:r>
      <w:r>
        <w:rPr>
          <w:rFonts w:hint="eastAsia"/>
        </w:rPr>
        <w:t>、</w:t>
      </w:r>
      <w:r>
        <w:t>As</w:t>
      </w:r>
      <w:r>
        <w:rPr>
          <w:rFonts w:hint="eastAsia"/>
        </w:rPr>
        <w:t>和</w:t>
      </w:r>
      <w:r>
        <w:t>Ni 24</w:t>
      </w:r>
      <w:r>
        <w:rPr>
          <w:rFonts w:hint="eastAsia"/>
        </w:rPr>
        <w:t>小时平均浓度监测参照相关环境监测技术要求进行采样监测；</w:t>
      </w:r>
    </w:p>
    <w:p>
      <w:pPr>
        <w:ind w:firstLine="480"/>
      </w:pPr>
      <w:r>
        <w:t>TVOC 8</w:t>
      </w:r>
      <w:r>
        <w:rPr>
          <w:rFonts w:hint="eastAsia"/>
        </w:rPr>
        <w:t>小时平均浓度监测参照相关环境监测技术要求进行采样监测；</w:t>
      </w:r>
    </w:p>
    <w:p>
      <w:pPr>
        <w:autoSpaceDE w:val="0"/>
        <w:autoSpaceDN w:val="0"/>
        <w:adjustRightInd w:val="0"/>
        <w:ind w:firstLine="480"/>
      </w:pPr>
      <w:r>
        <w:rPr>
          <w:rFonts w:hint="eastAsia"/>
        </w:rPr>
        <w:t>二噁英日均浓度监测要求：每日至少有</w:t>
      </w:r>
      <w:r>
        <w:t>18</w:t>
      </w:r>
      <w:r>
        <w:rPr>
          <w:rFonts w:hint="eastAsia"/>
        </w:rPr>
        <w:t>个小时平均浓度或采样时间。</w:t>
      </w:r>
    </w:p>
    <w:p>
      <w:pPr>
        <w:pStyle w:val="6"/>
      </w:pPr>
      <w:r>
        <w:t>5.1.2.3</w:t>
      </w:r>
      <w:r>
        <w:rPr>
          <w:rFonts w:hint="eastAsia"/>
        </w:rPr>
        <w:t>采样和监测分析方法</w:t>
      </w:r>
    </w:p>
    <w:p>
      <w:pPr>
        <w:autoSpaceDE w:val="0"/>
        <w:autoSpaceDN w:val="0"/>
        <w:adjustRightInd w:val="0"/>
        <w:ind w:firstLine="480"/>
      </w:pPr>
      <w:r>
        <w:rPr>
          <w:rFonts w:hint="eastAsia"/>
        </w:rPr>
        <w:t>环境空气监测中的采样点、采样环境、采样高度及采样频率的要求，按《环境监测技术规范》</w:t>
      </w:r>
      <w:r>
        <w:t>(</w:t>
      </w:r>
      <w:r>
        <w:rPr>
          <w:rFonts w:hint="eastAsia"/>
        </w:rPr>
        <w:t>大气部分</w:t>
      </w:r>
      <w:r>
        <w:t>)</w:t>
      </w:r>
      <w:r>
        <w:rPr>
          <w:rFonts w:hint="eastAsia"/>
        </w:rPr>
        <w:t>执行。环境空气质量监测分析方法见表</w:t>
      </w:r>
      <w:r>
        <w:t>5.1</w:t>
      </w:r>
      <w:r>
        <w:rPr>
          <w:rFonts w:hint="eastAsia"/>
        </w:rPr>
        <w:t>—</w:t>
      </w:r>
      <w:r>
        <w:t>2</w:t>
      </w:r>
      <w:r>
        <w:rPr>
          <w:rFonts w:hint="eastAsia"/>
        </w:rPr>
        <w:t>。</w:t>
      </w:r>
    </w:p>
    <w:p>
      <w:pPr>
        <w:autoSpaceDE w:val="0"/>
        <w:autoSpaceDN w:val="0"/>
        <w:adjustRightInd w:val="0"/>
        <w:ind w:firstLine="480"/>
      </w:pPr>
      <w:r>
        <w:rPr>
          <w:rFonts w:hint="eastAsia"/>
        </w:rPr>
        <w:t>表</w:t>
      </w:r>
      <w:r>
        <w:t>5.1</w:t>
      </w:r>
      <w:r>
        <w:rPr>
          <w:rFonts w:hint="eastAsia"/>
        </w:rPr>
        <w:t>—</w:t>
      </w:r>
      <w:r>
        <w:t>2</w:t>
      </w:r>
      <w:r>
        <w:rPr>
          <w:rFonts w:hint="eastAsia"/>
        </w:rPr>
        <w:t xml:space="preserve">              环境空气质量监测分析方法</w:t>
      </w:r>
    </w:p>
    <w:tbl>
      <w:tblPr>
        <w:tblStyle w:val="88"/>
        <w:tblW w:w="9854" w:type="dxa"/>
        <w:jc w:val="center"/>
        <w:tblLayout w:type="fixed"/>
        <w:tblCellMar>
          <w:top w:w="0" w:type="dxa"/>
          <w:left w:w="108" w:type="dxa"/>
          <w:bottom w:w="0" w:type="dxa"/>
          <w:right w:w="108" w:type="dxa"/>
        </w:tblCellMar>
      </w:tblPr>
      <w:tblGrid>
        <w:gridCol w:w="1577"/>
        <w:gridCol w:w="5217"/>
        <w:gridCol w:w="3060"/>
      </w:tblGrid>
      <w:tr>
        <w:tblPrEx>
          <w:tblCellMar>
            <w:top w:w="0" w:type="dxa"/>
            <w:left w:w="108" w:type="dxa"/>
            <w:bottom w:w="0" w:type="dxa"/>
            <w:right w:w="108" w:type="dxa"/>
          </w:tblCellMar>
        </w:tblPrEx>
        <w:trPr>
          <w:jc w:val="center"/>
        </w:trPr>
        <w:tc>
          <w:tcPr>
            <w:tcW w:w="1577" w:type="dxa"/>
            <w:tcBorders>
              <w:top w:val="single" w:color="000000" w:sz="12" w:space="0"/>
              <w:left w:val="nil"/>
              <w:bottom w:val="single" w:color="auto" w:sz="12" w:space="0"/>
              <w:right w:val="dotted" w:color="auto" w:sz="4" w:space="0"/>
            </w:tcBorders>
            <w:noWrap/>
          </w:tcPr>
          <w:p>
            <w:pPr>
              <w:spacing w:line="240" w:lineRule="auto"/>
              <w:ind w:firstLine="0" w:firstLineChars="0"/>
              <w:jc w:val="center"/>
              <w:rPr>
                <w:b/>
                <w:sz w:val="21"/>
              </w:rPr>
            </w:pPr>
            <w:r>
              <w:rPr>
                <w:rFonts w:hint="eastAsia"/>
                <w:b/>
                <w:sz w:val="21"/>
              </w:rPr>
              <w:t>监测项目</w:t>
            </w:r>
          </w:p>
        </w:tc>
        <w:tc>
          <w:tcPr>
            <w:tcW w:w="5217" w:type="dxa"/>
            <w:tcBorders>
              <w:top w:val="single" w:color="000000" w:sz="12" w:space="0"/>
              <w:left w:val="dotted" w:color="auto" w:sz="4" w:space="0"/>
              <w:bottom w:val="single" w:color="auto" w:sz="12" w:space="0"/>
              <w:right w:val="dotted" w:color="auto" w:sz="4" w:space="0"/>
            </w:tcBorders>
            <w:noWrap/>
          </w:tcPr>
          <w:p>
            <w:pPr>
              <w:spacing w:line="240" w:lineRule="auto"/>
              <w:ind w:firstLine="0" w:firstLineChars="0"/>
              <w:jc w:val="center"/>
              <w:rPr>
                <w:b/>
                <w:sz w:val="21"/>
              </w:rPr>
            </w:pPr>
            <w:r>
              <w:rPr>
                <w:rFonts w:hint="eastAsia"/>
                <w:b/>
                <w:sz w:val="21"/>
              </w:rPr>
              <w:t>分析依据</w:t>
            </w:r>
          </w:p>
        </w:tc>
        <w:tc>
          <w:tcPr>
            <w:tcW w:w="3060" w:type="dxa"/>
            <w:tcBorders>
              <w:top w:val="single" w:color="000000" w:sz="12" w:space="0"/>
              <w:left w:val="dotted" w:color="auto" w:sz="4" w:space="0"/>
              <w:bottom w:val="single" w:color="auto" w:sz="12" w:space="0"/>
              <w:right w:val="nil"/>
            </w:tcBorders>
            <w:noWrap/>
          </w:tcPr>
          <w:p>
            <w:pPr>
              <w:spacing w:line="240" w:lineRule="auto"/>
              <w:ind w:firstLine="0" w:firstLineChars="0"/>
              <w:jc w:val="center"/>
              <w:rPr>
                <w:b/>
                <w:sz w:val="21"/>
              </w:rPr>
            </w:pPr>
            <w:r>
              <w:rPr>
                <w:rFonts w:hint="eastAsia"/>
                <w:b/>
                <w:sz w:val="21"/>
              </w:rPr>
              <w:t>检出限</w:t>
            </w:r>
          </w:p>
        </w:tc>
      </w:tr>
      <w:tr>
        <w:tblPrEx>
          <w:tblCellMar>
            <w:top w:w="0" w:type="dxa"/>
            <w:left w:w="108" w:type="dxa"/>
            <w:bottom w:w="0" w:type="dxa"/>
            <w:right w:w="108" w:type="dxa"/>
          </w:tblCellMar>
        </w:tblPrEx>
        <w:trPr>
          <w:jc w:val="center"/>
        </w:trPr>
        <w:tc>
          <w:tcPr>
            <w:tcW w:w="1577" w:type="dxa"/>
            <w:tcBorders>
              <w:top w:val="single" w:color="auto" w:sz="12"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bCs/>
                <w:sz w:val="21"/>
              </w:rPr>
              <w:t>SO</w:t>
            </w:r>
            <w:r>
              <w:rPr>
                <w:bCs/>
                <w:sz w:val="21"/>
                <w:vertAlign w:val="subscript"/>
              </w:rPr>
              <w:t>2</w:t>
            </w:r>
          </w:p>
        </w:tc>
        <w:tc>
          <w:tcPr>
            <w:tcW w:w="5217" w:type="dxa"/>
            <w:tcBorders>
              <w:top w:val="single" w:color="auto" w:sz="12"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hAnsi="宋体"/>
                <w:sz w:val="21"/>
              </w:rPr>
              <w:t>《环境空气二氧化硫的测定甲醛吸收</w:t>
            </w:r>
            <w:r>
              <w:rPr>
                <w:sz w:val="21"/>
              </w:rPr>
              <w:t>-</w:t>
            </w:r>
            <w:r>
              <w:rPr>
                <w:rFonts w:hint="eastAsia" w:hAnsi="宋体"/>
                <w:sz w:val="21"/>
              </w:rPr>
              <w:t>副玫瑰苯胺分光光度法》</w:t>
            </w:r>
            <w:r>
              <w:rPr>
                <w:sz w:val="21"/>
              </w:rPr>
              <w:t xml:space="preserve"> (HJ 482-2009)</w:t>
            </w:r>
          </w:p>
        </w:tc>
        <w:tc>
          <w:tcPr>
            <w:tcW w:w="3060" w:type="dxa"/>
            <w:tcBorders>
              <w:top w:val="single" w:color="auto" w:sz="12" w:space="0"/>
              <w:left w:val="dotted" w:color="auto" w:sz="4" w:space="0"/>
              <w:bottom w:val="dotted" w:color="auto" w:sz="4" w:space="0"/>
              <w:right w:val="nil"/>
            </w:tcBorders>
            <w:noWrap/>
            <w:vAlign w:val="center"/>
          </w:tcPr>
          <w:p>
            <w:pPr>
              <w:spacing w:line="240" w:lineRule="auto"/>
              <w:ind w:firstLine="0" w:firstLineChars="0"/>
              <w:jc w:val="center"/>
              <w:rPr>
                <w:sz w:val="21"/>
              </w:rPr>
            </w:pPr>
            <w:r>
              <w:rPr>
                <w:rFonts w:hint="eastAsia"/>
                <w:sz w:val="21"/>
              </w:rPr>
              <w:t>小时值：</w:t>
            </w:r>
            <w:r>
              <w:rPr>
                <w:sz w:val="21"/>
              </w:rPr>
              <w:t>0.010mg/m</w:t>
            </w:r>
            <w:r>
              <w:rPr>
                <w:sz w:val="21"/>
                <w:vertAlign w:val="superscript"/>
              </w:rPr>
              <w:t>3</w:t>
            </w:r>
          </w:p>
          <w:p>
            <w:pPr>
              <w:spacing w:line="240" w:lineRule="auto"/>
              <w:ind w:firstLine="0" w:firstLineChars="0"/>
              <w:jc w:val="center"/>
              <w:rPr>
                <w:sz w:val="21"/>
              </w:rPr>
            </w:pPr>
            <w:r>
              <w:rPr>
                <w:rFonts w:hint="eastAsia"/>
                <w:sz w:val="21"/>
              </w:rPr>
              <w:t>日均值：</w:t>
            </w:r>
            <w:r>
              <w:rPr>
                <w:sz w:val="21"/>
              </w:rPr>
              <w:t>0.006mg/m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bCs/>
                <w:sz w:val="21"/>
              </w:rPr>
              <w:t>NO</w:t>
            </w:r>
            <w:r>
              <w:rPr>
                <w:bCs/>
                <w:sz w:val="21"/>
                <w:vertAlign w:val="subscript"/>
              </w:rPr>
              <w:t>2</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hAnsi="宋体"/>
                <w:sz w:val="21"/>
              </w:rPr>
              <w:t>《环境空气氮氧化物</w:t>
            </w:r>
            <w:r>
              <w:rPr>
                <w:rFonts w:hAnsi="宋体"/>
                <w:sz w:val="21"/>
              </w:rPr>
              <w:t>(</w:t>
            </w:r>
            <w:r>
              <w:rPr>
                <w:rFonts w:hint="eastAsia" w:hAnsi="宋体"/>
                <w:sz w:val="21"/>
              </w:rPr>
              <w:t>一氧化氮和二氧化氮</w:t>
            </w:r>
            <w:r>
              <w:rPr>
                <w:rFonts w:hAnsi="宋体"/>
                <w:sz w:val="21"/>
              </w:rPr>
              <w:t>)</w:t>
            </w:r>
            <w:r>
              <w:rPr>
                <w:rFonts w:hint="eastAsia" w:hAnsi="宋体"/>
                <w:sz w:val="21"/>
              </w:rPr>
              <w:t>的测定盐酸萘乙二胺分光光度法》</w:t>
            </w:r>
            <w:r>
              <w:rPr>
                <w:sz w:val="21"/>
              </w:rPr>
              <w:t>(HJ 479-2009)</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rFonts w:hint="eastAsia"/>
                <w:sz w:val="21"/>
              </w:rPr>
              <w:t>小时值：</w:t>
            </w:r>
            <w:r>
              <w:rPr>
                <w:sz w:val="21"/>
              </w:rPr>
              <w:t>0.008mg/m</w:t>
            </w:r>
            <w:r>
              <w:rPr>
                <w:sz w:val="21"/>
                <w:vertAlign w:val="superscript"/>
              </w:rPr>
              <w:t>3</w:t>
            </w:r>
          </w:p>
          <w:p>
            <w:pPr>
              <w:spacing w:line="240" w:lineRule="auto"/>
              <w:ind w:firstLine="0" w:firstLineChars="0"/>
              <w:jc w:val="center"/>
              <w:rPr>
                <w:sz w:val="21"/>
              </w:rPr>
            </w:pPr>
            <w:r>
              <w:rPr>
                <w:rFonts w:hint="eastAsia"/>
                <w:sz w:val="21"/>
              </w:rPr>
              <w:t>日均值：</w:t>
            </w:r>
            <w:r>
              <w:rPr>
                <w:sz w:val="21"/>
              </w:rPr>
              <w:t>0.004mg/m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bCs/>
                <w:sz w:val="21"/>
              </w:rPr>
              <w:t>PM</w:t>
            </w:r>
            <w:r>
              <w:rPr>
                <w:bCs/>
                <w:sz w:val="21"/>
                <w:vertAlign w:val="subscript"/>
              </w:rPr>
              <w:t>10</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hAnsi="宋体"/>
                <w:sz w:val="21"/>
              </w:rPr>
              <w:t>《环境空气</w:t>
            </w:r>
            <w:r>
              <w:rPr>
                <w:sz w:val="21"/>
              </w:rPr>
              <w:t xml:space="preserve">  PM</w:t>
            </w:r>
            <w:r>
              <w:rPr>
                <w:sz w:val="21"/>
                <w:vertAlign w:val="subscript"/>
              </w:rPr>
              <w:t>10</w:t>
            </w:r>
            <w:r>
              <w:rPr>
                <w:rFonts w:hint="eastAsia" w:hAnsi="宋体"/>
                <w:sz w:val="21"/>
              </w:rPr>
              <w:t>和</w:t>
            </w:r>
            <w:r>
              <w:rPr>
                <w:sz w:val="21"/>
              </w:rPr>
              <w:t>PM</w:t>
            </w:r>
            <w:r>
              <w:rPr>
                <w:sz w:val="21"/>
                <w:vertAlign w:val="subscript"/>
              </w:rPr>
              <w:t>2.5</w:t>
            </w:r>
            <w:r>
              <w:rPr>
                <w:rFonts w:hint="eastAsia" w:hAnsi="宋体"/>
                <w:sz w:val="21"/>
              </w:rPr>
              <w:t>的测定重量法》</w:t>
            </w:r>
            <w:r>
              <w:rPr>
                <w:sz w:val="21"/>
              </w:rPr>
              <w:t>(HJ 618-2011)</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0.010mg/m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bCs/>
                <w:sz w:val="21"/>
              </w:rPr>
              <w:t>PM</w:t>
            </w:r>
            <w:r>
              <w:rPr>
                <w:bCs/>
                <w:sz w:val="21"/>
                <w:vertAlign w:val="subscript"/>
              </w:rPr>
              <w:t>2.5</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hAnsi="宋体"/>
                <w:sz w:val="21"/>
              </w:rPr>
              <w:t>《环境空气</w:t>
            </w:r>
            <w:r>
              <w:rPr>
                <w:sz w:val="21"/>
              </w:rPr>
              <w:t xml:space="preserve">  PM</w:t>
            </w:r>
            <w:r>
              <w:rPr>
                <w:sz w:val="21"/>
                <w:vertAlign w:val="subscript"/>
              </w:rPr>
              <w:t>10</w:t>
            </w:r>
            <w:r>
              <w:rPr>
                <w:rFonts w:hint="eastAsia" w:hAnsi="宋体"/>
                <w:sz w:val="21"/>
              </w:rPr>
              <w:t>和</w:t>
            </w:r>
            <w:r>
              <w:rPr>
                <w:sz w:val="21"/>
              </w:rPr>
              <w:t>PM</w:t>
            </w:r>
            <w:r>
              <w:rPr>
                <w:sz w:val="21"/>
                <w:vertAlign w:val="subscript"/>
              </w:rPr>
              <w:t>2.5</w:t>
            </w:r>
            <w:r>
              <w:rPr>
                <w:rFonts w:hint="eastAsia" w:hAnsi="宋体"/>
                <w:sz w:val="21"/>
              </w:rPr>
              <w:t>的测定重量法》</w:t>
            </w:r>
            <w:r>
              <w:rPr>
                <w:sz w:val="21"/>
              </w:rPr>
              <w:t>(HJ 618-2011)</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0.010mg/m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bCs/>
                <w:sz w:val="21"/>
              </w:rPr>
              <w:t>TSP</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hAnsi="宋体"/>
                <w:sz w:val="21"/>
              </w:rPr>
              <w:t>《环境空气总悬浮颗粒物的测定重量法》</w:t>
            </w:r>
            <w:r>
              <w:rPr>
                <w:sz w:val="21"/>
              </w:rPr>
              <w:t>(GB/T 15432-1995)</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0.001mg/m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bCs/>
                <w:sz w:val="21"/>
              </w:rPr>
              <w:t>CO</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hAnsi="宋体"/>
                <w:sz w:val="21"/>
              </w:rPr>
              <w:t>《空气质量一氧化碳的测定非分散红外法》</w:t>
            </w:r>
            <w:r>
              <w:rPr>
                <w:sz w:val="21"/>
              </w:rPr>
              <w:t>(GB 9801-1988)</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0.3mg/m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bCs/>
                <w:sz w:val="21"/>
              </w:rPr>
              <w:t>O</w:t>
            </w:r>
            <w:r>
              <w:rPr>
                <w:bCs/>
                <w:sz w:val="21"/>
                <w:vertAlign w:val="subscript"/>
              </w:rPr>
              <w:t>3</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hAnsi="宋体"/>
                <w:sz w:val="21"/>
              </w:rPr>
              <w:t>《环境空气臭氧的测定靛蓝二磺酸钠分光光度法》</w:t>
            </w:r>
            <w:r>
              <w:rPr>
                <w:sz w:val="21"/>
              </w:rPr>
              <w:t>(HJ 504-2009)</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rFonts w:hint="eastAsia"/>
                <w:sz w:val="21"/>
              </w:rPr>
              <w:t>小时值：</w:t>
            </w:r>
            <w:r>
              <w:rPr>
                <w:sz w:val="21"/>
              </w:rPr>
              <w:t>0.015mg/m</w:t>
            </w:r>
            <w:r>
              <w:rPr>
                <w:sz w:val="21"/>
                <w:vertAlign w:val="superscript"/>
              </w:rPr>
              <w:t>3</w:t>
            </w:r>
          </w:p>
          <w:p>
            <w:pPr>
              <w:spacing w:line="240" w:lineRule="auto"/>
              <w:ind w:firstLine="0" w:firstLineChars="0"/>
              <w:jc w:val="center"/>
              <w:rPr>
                <w:sz w:val="21"/>
              </w:rPr>
            </w:pPr>
            <w:r>
              <w:rPr>
                <w:rFonts w:hint="eastAsia"/>
                <w:sz w:val="21"/>
              </w:rPr>
              <w:t>日均值：</w:t>
            </w:r>
            <w:r>
              <w:rPr>
                <w:sz w:val="21"/>
              </w:rPr>
              <w:t>0.006mg/m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sz w:val="21"/>
              </w:rPr>
              <w:t>H</w:t>
            </w:r>
            <w:r>
              <w:rPr>
                <w:sz w:val="21"/>
                <w:vertAlign w:val="subscript"/>
              </w:rPr>
              <w:t>2</w:t>
            </w:r>
            <w:r>
              <w:rPr>
                <w:sz w:val="21"/>
              </w:rPr>
              <w:t>S</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hAnsi="宋体"/>
                <w:sz w:val="21"/>
              </w:rPr>
              <w:t>《环境空气硫化氢亚甲基蓝分光光度法》《空气和废气监测分析方法》</w:t>
            </w:r>
            <w:r>
              <w:rPr>
                <w:rFonts w:hAnsi="宋体"/>
                <w:sz w:val="21"/>
              </w:rPr>
              <w:t>(</w:t>
            </w:r>
            <w:r>
              <w:rPr>
                <w:rFonts w:hint="eastAsia" w:hAnsi="宋体"/>
                <w:sz w:val="21"/>
              </w:rPr>
              <w:t>第四版</w:t>
            </w:r>
            <w:r>
              <w:rPr>
                <w:rFonts w:hAnsi="宋体"/>
                <w:sz w:val="21"/>
              </w:rPr>
              <w:t>)</w:t>
            </w:r>
            <w:r>
              <w:rPr>
                <w:rFonts w:hint="eastAsia" w:hAnsi="宋体"/>
                <w:sz w:val="21"/>
              </w:rPr>
              <w:t>国家环境保护总局</w:t>
            </w:r>
            <w:r>
              <w:rPr>
                <w:rFonts w:hAnsi="宋体"/>
                <w:sz w:val="21"/>
              </w:rPr>
              <w:t>(</w:t>
            </w:r>
            <w:r>
              <w:rPr>
                <w:sz w:val="21"/>
              </w:rPr>
              <w:t>2003</w:t>
            </w:r>
            <w:r>
              <w:rPr>
                <w:rFonts w:hint="eastAsia" w:hAnsi="宋体"/>
                <w:sz w:val="21"/>
              </w:rPr>
              <w:t>年</w:t>
            </w:r>
            <w:r>
              <w:rPr>
                <w:rFonts w:hAnsi="宋体"/>
                <w:sz w:val="21"/>
              </w:rPr>
              <w:t>)</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0.002mg/m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sz w:val="21"/>
              </w:rPr>
              <w:t>NH</w:t>
            </w:r>
            <w:r>
              <w:rPr>
                <w:sz w:val="21"/>
                <w:vertAlign w:val="subscript"/>
              </w:rPr>
              <w:t>3</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《环境空气氨的测定次氯酸钠</w:t>
            </w:r>
            <w:r>
              <w:rPr>
                <w:sz w:val="21"/>
              </w:rPr>
              <w:t>-</w:t>
            </w:r>
            <w:r>
              <w:rPr>
                <w:rFonts w:hint="eastAsia"/>
                <w:sz w:val="21"/>
              </w:rPr>
              <w:t>水杨酸分光光度法》</w:t>
            </w:r>
            <w:r>
              <w:rPr>
                <w:sz w:val="21"/>
              </w:rPr>
              <w:t>(HJ 534-2009)</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lang w:val="mn-Mong-CN"/>
              </w:rPr>
            </w:pPr>
            <w:r>
              <w:rPr>
                <w:rFonts w:hint="cs"/>
                <w:sz w:val="21"/>
                <w:cs/>
                <w:lang w:val="mn-Mong-CN" w:bidi="mn-Mong-CN"/>
              </w:rPr>
              <w:t>0.01mg/m</w:t>
            </w:r>
            <w:r>
              <w:rPr>
                <w:rFonts w:hint="cs"/>
                <w:sz w:val="21"/>
                <w:vertAlign w:val="superscript"/>
                <w:cs/>
                <w:lang w:val="mn-Mong-CN" w:bidi="mn-Mong-CN"/>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rFonts w:hint="eastAsia"/>
                <w:bCs/>
                <w:sz w:val="21"/>
              </w:rPr>
              <w:t>氟化物</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hAnsi="宋体"/>
                <w:sz w:val="21"/>
              </w:rPr>
              <w:t>《环境空气氟化物的测定滤膜采样氟离子选择电极法》</w:t>
            </w:r>
            <w:r>
              <w:rPr>
                <w:rFonts w:hAnsi="宋体"/>
                <w:sz w:val="21"/>
              </w:rPr>
              <w:t>(</w:t>
            </w:r>
            <w:r>
              <w:rPr>
                <w:sz w:val="21"/>
              </w:rPr>
              <w:t>HJ 480-2009</w:t>
            </w:r>
            <w:r>
              <w:rPr>
                <w:rFonts w:hAnsi="宋体"/>
                <w:sz w:val="21"/>
              </w:rPr>
              <w:t>)</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rFonts w:hint="eastAsia"/>
                <w:sz w:val="21"/>
              </w:rPr>
              <w:t>小时值：</w:t>
            </w:r>
            <w:r>
              <w:rPr>
                <w:sz w:val="21"/>
              </w:rPr>
              <w:t>0.0015mg/m</w:t>
            </w:r>
            <w:r>
              <w:rPr>
                <w:sz w:val="21"/>
                <w:vertAlign w:val="superscript"/>
              </w:rPr>
              <w:t>3</w:t>
            </w:r>
          </w:p>
          <w:p>
            <w:pPr>
              <w:spacing w:line="240" w:lineRule="auto"/>
              <w:ind w:firstLine="0" w:firstLineChars="0"/>
              <w:jc w:val="center"/>
              <w:rPr>
                <w:sz w:val="21"/>
              </w:rPr>
            </w:pPr>
            <w:r>
              <w:rPr>
                <w:rFonts w:hint="eastAsia"/>
                <w:sz w:val="21"/>
              </w:rPr>
              <w:t>日均值：</w:t>
            </w:r>
            <w:r>
              <w:rPr>
                <w:sz w:val="21"/>
              </w:rPr>
              <w:t>0.00005mg/m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sz w:val="21"/>
              </w:rPr>
              <w:t>HCl</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《固定污染源排气中氯化氢的测定硫氰酸汞分光光度法》</w:t>
            </w:r>
            <w:r>
              <w:rPr>
                <w:sz w:val="21"/>
              </w:rPr>
              <w:t>(HJ/T 27-1999)</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rFonts w:hint="eastAsia"/>
                <w:sz w:val="21"/>
              </w:rPr>
              <w:t>小时值：</w:t>
            </w:r>
            <w:r>
              <w:rPr>
                <w:sz w:val="21"/>
              </w:rPr>
              <w:t>0.03mg/m</w:t>
            </w:r>
            <w:r>
              <w:rPr>
                <w:sz w:val="21"/>
                <w:vertAlign w:val="superscript"/>
              </w:rPr>
              <w:t>3</w:t>
            </w:r>
          </w:p>
          <w:p>
            <w:pPr>
              <w:spacing w:line="240" w:lineRule="auto"/>
              <w:ind w:firstLine="0" w:firstLineChars="0"/>
              <w:jc w:val="center"/>
              <w:rPr>
                <w:sz w:val="21"/>
              </w:rPr>
            </w:pPr>
            <w:r>
              <w:rPr>
                <w:rFonts w:hint="eastAsia"/>
                <w:sz w:val="21"/>
              </w:rPr>
              <w:t>日均值：</w:t>
            </w:r>
            <w:r>
              <w:rPr>
                <w:sz w:val="21"/>
              </w:rPr>
              <w:t>0.01mg/m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rFonts w:hint="eastAsia"/>
                <w:bCs/>
                <w:sz w:val="21"/>
              </w:rPr>
              <w:t>非甲烷总烃</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《环境空气总烃的测定气相色谱法》</w:t>
            </w:r>
            <w:r>
              <w:rPr>
                <w:sz w:val="21"/>
              </w:rPr>
              <w:t>(HJ 604-2011)</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4×10</w:t>
            </w:r>
            <w:r>
              <w:rPr>
                <w:sz w:val="21"/>
                <w:vertAlign w:val="superscript"/>
              </w:rPr>
              <w:t>-2</w:t>
            </w:r>
            <w:r>
              <w:rPr>
                <w:sz w:val="21"/>
              </w:rPr>
              <w:t xml:space="preserve"> 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rFonts w:hint="eastAsia"/>
                <w:bCs/>
                <w:sz w:val="21"/>
              </w:rPr>
              <w:t>臭气浓度</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《空气质量恶臭的测定三点比较式臭袋法》</w:t>
            </w:r>
            <w:r>
              <w:rPr>
                <w:sz w:val="21"/>
              </w:rPr>
              <w:t>(GB/T 14675-93)</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rFonts w:hint="eastAsia"/>
                <w:bCs/>
                <w:sz w:val="21"/>
              </w:rPr>
              <w:t>硫酸雾</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《空气和废气监测分析方法》</w:t>
            </w:r>
            <w:r>
              <w:rPr>
                <w:sz w:val="21"/>
              </w:rPr>
              <w:t>(</w:t>
            </w:r>
            <w:r>
              <w:rPr>
                <w:rFonts w:hint="eastAsia"/>
                <w:sz w:val="21"/>
              </w:rPr>
              <w:t>第四版增补版</w:t>
            </w:r>
            <w:r>
              <w:rPr>
                <w:sz w:val="21"/>
              </w:rPr>
              <w:t>)</w:t>
            </w:r>
          </w:p>
          <w:p>
            <w:pPr>
              <w:spacing w:line="240" w:lineRule="auto"/>
              <w:ind w:firstLine="0" w:firstLineChars="0"/>
              <w:rPr>
                <w:sz w:val="21"/>
              </w:rPr>
            </w:pPr>
            <w:r>
              <w:rPr>
                <w:rFonts w:hint="eastAsia"/>
                <w:sz w:val="21"/>
              </w:rPr>
              <w:t>离子色谱法国家环境保护总局</w:t>
            </w:r>
            <w:r>
              <w:rPr>
                <w:sz w:val="21"/>
              </w:rPr>
              <w:t xml:space="preserve">(2003 </w:t>
            </w:r>
            <w:r>
              <w:rPr>
                <w:rFonts w:hint="eastAsia"/>
                <w:sz w:val="21"/>
              </w:rPr>
              <w:t>年</w:t>
            </w:r>
            <w:r>
              <w:rPr>
                <w:sz w:val="21"/>
              </w:rPr>
              <w:t>)</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rFonts w:hint="eastAsia"/>
                <w:bCs/>
                <w:sz w:val="21"/>
              </w:rPr>
              <w:t>氰化氢</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固定污染源排气中氰化氢的测定异烟酸</w:t>
            </w:r>
            <w:r>
              <w:rPr>
                <w:sz w:val="21"/>
              </w:rPr>
              <w:t>-</w:t>
            </w:r>
            <w:r>
              <w:rPr>
                <w:rFonts w:hint="eastAsia"/>
                <w:sz w:val="21"/>
              </w:rPr>
              <w:t>吡唑啉酮分光光度法</w:t>
            </w:r>
            <w:r>
              <w:rPr>
                <w:sz w:val="21"/>
              </w:rPr>
              <w:t>HJ/T 28-1999</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0.003mg/m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sz w:val="21"/>
              </w:rPr>
              <w:t>Hg</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《空气和废气监测分析方法》</w:t>
            </w:r>
            <w:r>
              <w:rPr>
                <w:sz w:val="21"/>
              </w:rPr>
              <w:t>(</w:t>
            </w:r>
            <w:r>
              <w:rPr>
                <w:rFonts w:hint="eastAsia"/>
                <w:sz w:val="21"/>
              </w:rPr>
              <w:t>第四版增补版</w:t>
            </w:r>
            <w:r>
              <w:rPr>
                <w:sz w:val="21"/>
              </w:rPr>
              <w:t>)</w:t>
            </w:r>
          </w:p>
          <w:p>
            <w:pPr>
              <w:spacing w:line="240" w:lineRule="auto"/>
              <w:ind w:firstLine="0" w:firstLineChars="0"/>
              <w:rPr>
                <w:sz w:val="21"/>
              </w:rPr>
            </w:pPr>
            <w:r>
              <w:rPr>
                <w:rFonts w:hint="eastAsia"/>
                <w:sz w:val="21"/>
              </w:rPr>
              <w:t>原子荧光光度法国家环境保护总局</w:t>
            </w:r>
            <w:r>
              <w:rPr>
                <w:sz w:val="21"/>
              </w:rPr>
              <w:t xml:space="preserve">(2003 </w:t>
            </w:r>
            <w:r>
              <w:rPr>
                <w:rFonts w:hint="eastAsia"/>
                <w:sz w:val="21"/>
              </w:rPr>
              <w:t>年</w:t>
            </w:r>
            <w:r>
              <w:rPr>
                <w:sz w:val="21"/>
              </w:rPr>
              <w:t>)</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0.000003mg/m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sz w:val="21"/>
              </w:rPr>
              <w:t>As</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《空气和废气监测分析方法》</w:t>
            </w:r>
            <w:r>
              <w:rPr>
                <w:sz w:val="21"/>
              </w:rPr>
              <w:t>(</w:t>
            </w:r>
            <w:r>
              <w:rPr>
                <w:rFonts w:hint="eastAsia"/>
                <w:sz w:val="21"/>
              </w:rPr>
              <w:t>第四版增补版</w:t>
            </w:r>
            <w:r>
              <w:rPr>
                <w:sz w:val="21"/>
              </w:rPr>
              <w:t>)</w:t>
            </w:r>
          </w:p>
          <w:p>
            <w:pPr>
              <w:spacing w:line="240" w:lineRule="auto"/>
              <w:ind w:firstLine="0" w:firstLineChars="0"/>
              <w:rPr>
                <w:sz w:val="21"/>
              </w:rPr>
            </w:pPr>
            <w:r>
              <w:rPr>
                <w:rFonts w:hint="eastAsia"/>
                <w:sz w:val="21"/>
              </w:rPr>
              <w:t>原子荧光光度法国家环境保护总局</w:t>
            </w:r>
            <w:r>
              <w:rPr>
                <w:sz w:val="21"/>
              </w:rPr>
              <w:t xml:space="preserve">(2003 </w:t>
            </w:r>
            <w:r>
              <w:rPr>
                <w:rFonts w:hint="eastAsia"/>
                <w:sz w:val="21"/>
              </w:rPr>
              <w:t>年</w:t>
            </w:r>
            <w:r>
              <w:rPr>
                <w:sz w:val="21"/>
              </w:rPr>
              <w:t>)</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0.000003mg/m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bCs/>
                <w:sz w:val="21"/>
              </w:rPr>
            </w:pPr>
            <w:r>
              <w:rPr>
                <w:sz w:val="21"/>
              </w:rPr>
              <w:t>Pb</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《空气和废气监测分析方法》</w:t>
            </w:r>
            <w:r>
              <w:rPr>
                <w:sz w:val="21"/>
              </w:rPr>
              <w:t>(</w:t>
            </w:r>
            <w:r>
              <w:rPr>
                <w:rFonts w:hint="eastAsia"/>
                <w:sz w:val="21"/>
              </w:rPr>
              <w:t>第四版增补版</w:t>
            </w:r>
            <w:r>
              <w:rPr>
                <w:sz w:val="21"/>
              </w:rPr>
              <w:t>)</w:t>
            </w:r>
          </w:p>
          <w:p>
            <w:pPr>
              <w:spacing w:line="240" w:lineRule="auto"/>
              <w:ind w:firstLine="0" w:firstLineChars="0"/>
              <w:rPr>
                <w:sz w:val="21"/>
              </w:rPr>
            </w:pPr>
            <w:r>
              <w:rPr>
                <w:rFonts w:hint="eastAsia"/>
                <w:sz w:val="21"/>
              </w:rPr>
              <w:t>原子荧光光度法国家环境保护总局</w:t>
            </w:r>
            <w:r>
              <w:rPr>
                <w:sz w:val="21"/>
              </w:rPr>
              <w:t xml:space="preserve">(2003 </w:t>
            </w:r>
            <w:r>
              <w:rPr>
                <w:rFonts w:hint="eastAsia"/>
                <w:sz w:val="21"/>
              </w:rPr>
              <w:t>年</w:t>
            </w:r>
            <w:r>
              <w:rPr>
                <w:sz w:val="21"/>
              </w:rPr>
              <w:t>)</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0.00025mg/m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sz w:val="21"/>
              </w:rPr>
              <w:t>Cd</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居住大气中镉卫生检验标准方法</w:t>
            </w:r>
          </w:p>
          <w:p>
            <w:pPr>
              <w:spacing w:line="240" w:lineRule="auto"/>
              <w:ind w:firstLine="0" w:firstLineChars="0"/>
              <w:rPr>
                <w:sz w:val="21"/>
              </w:rPr>
            </w:pPr>
            <w:r>
              <w:rPr>
                <w:rFonts w:hint="eastAsia"/>
                <w:sz w:val="21"/>
              </w:rPr>
              <w:t>原子吸收分光光度法</w:t>
            </w:r>
            <w:r>
              <w:rPr>
                <w:sz w:val="21"/>
              </w:rPr>
              <w:t>GB/T 11740-89</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0.00024mg/m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镍</w:t>
            </w:r>
          </w:p>
        </w:tc>
        <w:tc>
          <w:tcPr>
            <w:tcW w:w="5217" w:type="dxa"/>
            <w:tcBorders>
              <w:top w:val="dotted" w:color="auto" w:sz="4" w:space="0"/>
              <w:left w:val="dotted" w:color="auto" w:sz="4" w:space="0"/>
              <w:bottom w:val="dotted" w:color="auto" w:sz="4" w:space="0"/>
              <w:right w:val="dotted" w:color="auto" w:sz="4" w:space="0"/>
            </w:tcBorders>
            <w:noWrap/>
          </w:tcPr>
          <w:p>
            <w:pPr>
              <w:spacing w:line="240" w:lineRule="auto"/>
              <w:ind w:firstLine="0" w:firstLineChars="0"/>
              <w:rPr>
                <w:sz w:val="21"/>
              </w:rPr>
            </w:pPr>
            <w:r>
              <w:rPr>
                <w:rFonts w:hint="eastAsia"/>
                <w:sz w:val="21"/>
              </w:rPr>
              <w:t>《空气和废气监测分析方法》</w:t>
            </w:r>
            <w:r>
              <w:rPr>
                <w:sz w:val="21"/>
              </w:rPr>
              <w:t>(</w:t>
            </w:r>
            <w:r>
              <w:rPr>
                <w:rFonts w:hint="eastAsia"/>
                <w:sz w:val="21"/>
              </w:rPr>
              <w:t>第四版增补版</w:t>
            </w:r>
            <w:r>
              <w:rPr>
                <w:sz w:val="21"/>
              </w:rPr>
              <w:t>)</w:t>
            </w:r>
          </w:p>
          <w:p>
            <w:pPr>
              <w:spacing w:line="240" w:lineRule="auto"/>
              <w:ind w:firstLine="0" w:firstLineChars="0"/>
              <w:rPr>
                <w:sz w:val="21"/>
              </w:rPr>
            </w:pPr>
            <w:r>
              <w:rPr>
                <w:rFonts w:hint="eastAsia"/>
                <w:sz w:val="21"/>
              </w:rPr>
              <w:t>原子荧光光度法国家环境保护总局</w:t>
            </w:r>
            <w:r>
              <w:rPr>
                <w:sz w:val="21"/>
              </w:rPr>
              <w:t xml:space="preserve">(2003 </w:t>
            </w:r>
            <w:r>
              <w:rPr>
                <w:rFonts w:hint="eastAsia"/>
                <w:sz w:val="21"/>
              </w:rPr>
              <w:t>年</w:t>
            </w:r>
            <w:r>
              <w:rPr>
                <w:sz w:val="21"/>
              </w:rPr>
              <w:t>)</w:t>
            </w:r>
          </w:p>
        </w:tc>
        <w:tc>
          <w:tcPr>
            <w:tcW w:w="3060" w:type="dxa"/>
            <w:tcBorders>
              <w:top w:val="dotted" w:color="auto" w:sz="4" w:space="0"/>
              <w:left w:val="dotted" w:color="auto" w:sz="4" w:space="0"/>
              <w:bottom w:val="dotted" w:color="auto" w:sz="4" w:space="0"/>
              <w:right w:val="nil"/>
            </w:tcBorders>
            <w:noWrap/>
            <w:vAlign w:val="center"/>
          </w:tcPr>
          <w:p>
            <w:pPr>
              <w:spacing w:line="240" w:lineRule="auto"/>
              <w:ind w:firstLine="0" w:firstLineChars="0"/>
              <w:jc w:val="center"/>
              <w:rPr>
                <w:sz w:val="21"/>
              </w:rPr>
            </w:pPr>
            <w:r>
              <w:rPr>
                <w:sz w:val="21"/>
              </w:rPr>
              <w:t>0.0005mg/m</w:t>
            </w:r>
            <w:r>
              <w:rPr>
                <w:sz w:val="21"/>
                <w:vertAlign w:val="superscript"/>
              </w:rPr>
              <w:t>3</w:t>
            </w:r>
          </w:p>
        </w:tc>
      </w:tr>
      <w:tr>
        <w:tblPrEx>
          <w:tblCellMar>
            <w:top w:w="0" w:type="dxa"/>
            <w:left w:w="108" w:type="dxa"/>
            <w:bottom w:w="0" w:type="dxa"/>
            <w:right w:w="108" w:type="dxa"/>
          </w:tblCellMar>
        </w:tblPrEx>
        <w:trPr>
          <w:jc w:val="center"/>
        </w:trPr>
        <w:tc>
          <w:tcPr>
            <w:tcW w:w="1577" w:type="dxa"/>
            <w:tcBorders>
              <w:top w:val="dotted" w:color="auto" w:sz="4" w:space="0"/>
              <w:left w:val="nil"/>
              <w:bottom w:val="single" w:color="000000" w:sz="12" w:space="0"/>
              <w:right w:val="dotted" w:color="auto" w:sz="4" w:space="0"/>
            </w:tcBorders>
            <w:noWrap/>
            <w:vAlign w:val="center"/>
          </w:tcPr>
          <w:p>
            <w:pPr>
              <w:spacing w:line="240" w:lineRule="auto"/>
              <w:ind w:firstLine="0" w:firstLineChars="0"/>
              <w:jc w:val="center"/>
              <w:rPr>
                <w:rFonts w:ascii="宋体" w:hAnsi="宋体"/>
                <w:sz w:val="21"/>
              </w:rPr>
            </w:pPr>
            <w:r>
              <w:rPr>
                <w:rFonts w:hint="eastAsia" w:ascii="宋体" w:hAnsi="宋体"/>
                <w:sz w:val="21"/>
              </w:rPr>
              <w:t>二噁英类</w:t>
            </w:r>
          </w:p>
        </w:tc>
        <w:tc>
          <w:tcPr>
            <w:tcW w:w="5217" w:type="dxa"/>
            <w:tcBorders>
              <w:top w:val="dotted" w:color="auto" w:sz="4" w:space="0"/>
              <w:left w:val="dotted" w:color="auto" w:sz="4" w:space="0"/>
              <w:bottom w:val="single" w:color="000000" w:sz="12" w:space="0"/>
              <w:right w:val="dotted" w:color="auto" w:sz="4" w:space="0"/>
            </w:tcBorders>
            <w:noWrap/>
          </w:tcPr>
          <w:p>
            <w:pPr>
              <w:spacing w:line="240" w:lineRule="auto"/>
              <w:ind w:firstLine="0" w:firstLineChars="0"/>
              <w:rPr>
                <w:sz w:val="21"/>
              </w:rPr>
            </w:pPr>
            <w:r>
              <w:rPr>
                <w:rFonts w:hint="eastAsia"/>
                <w:sz w:val="21"/>
              </w:rPr>
              <w:t>环境空气《环境空气和废气二噁英类的测定同位素稀释高分辨气相色谱</w:t>
            </w:r>
            <w:r>
              <w:rPr>
                <w:sz w:val="21"/>
              </w:rPr>
              <w:t>-</w:t>
            </w:r>
            <w:r>
              <w:rPr>
                <w:rFonts w:hint="eastAsia"/>
                <w:sz w:val="21"/>
              </w:rPr>
              <w:t>高分辨质谱法》</w:t>
            </w:r>
            <w:r>
              <w:rPr>
                <w:sz w:val="21"/>
              </w:rPr>
              <w:t>(HJ 77.2-2008)</w:t>
            </w:r>
            <w:r>
              <w:rPr>
                <w:rFonts w:hint="eastAsia"/>
                <w:sz w:val="21"/>
              </w:rPr>
              <w:t>。</w:t>
            </w:r>
          </w:p>
        </w:tc>
        <w:tc>
          <w:tcPr>
            <w:tcW w:w="3060" w:type="dxa"/>
            <w:tcBorders>
              <w:top w:val="dotted" w:color="auto" w:sz="4" w:space="0"/>
              <w:left w:val="dotted" w:color="auto" w:sz="4" w:space="0"/>
              <w:bottom w:val="single" w:color="000000" w:sz="12" w:space="0"/>
              <w:right w:val="nil"/>
            </w:tcBorders>
            <w:noWrap/>
          </w:tcPr>
          <w:p>
            <w:pPr>
              <w:spacing w:line="240" w:lineRule="auto"/>
              <w:ind w:firstLine="0" w:firstLineChars="0"/>
              <w:rPr>
                <w:sz w:val="21"/>
              </w:rPr>
            </w:pPr>
            <w:r>
              <w:rPr>
                <w:sz w:val="21"/>
              </w:rPr>
              <w:t>-</w:t>
            </w:r>
          </w:p>
        </w:tc>
      </w:tr>
    </w:tbl>
    <w:p>
      <w:pPr>
        <w:autoSpaceDE w:val="0"/>
        <w:autoSpaceDN w:val="0"/>
        <w:adjustRightInd w:val="0"/>
        <w:snapToGrid w:val="0"/>
        <w:ind w:firstLine="482"/>
        <w:rPr>
          <w:b/>
          <w:bCs/>
        </w:rPr>
      </w:pPr>
    </w:p>
    <w:p>
      <w:pPr>
        <w:pStyle w:val="6"/>
      </w:pPr>
      <w:r>
        <w:t>5.1.2.4</w:t>
      </w:r>
      <w:r>
        <w:rPr>
          <w:rFonts w:hint="eastAsia"/>
        </w:rPr>
        <w:t>采用标准</w:t>
      </w:r>
    </w:p>
    <w:p>
      <w:pPr>
        <w:autoSpaceDE w:val="0"/>
        <w:autoSpaceDN w:val="0"/>
        <w:adjustRightInd w:val="0"/>
        <w:snapToGrid w:val="0"/>
        <w:ind w:firstLine="480"/>
      </w:pPr>
      <w:r>
        <w:rPr>
          <w:rFonts w:hint="eastAsia"/>
        </w:rPr>
        <w:t>各项污染物的所采用的标准及浓度限值见表</w:t>
      </w:r>
      <w:r>
        <w:t>5.1</w:t>
      </w:r>
      <w:r>
        <w:rPr>
          <w:rFonts w:hint="eastAsia"/>
        </w:rPr>
        <w:t>—</w:t>
      </w:r>
      <w:r>
        <w:t>3</w:t>
      </w:r>
      <w:r>
        <w:rPr>
          <w:rFonts w:hint="eastAsia"/>
        </w:rPr>
        <w:t>。</w:t>
      </w:r>
    </w:p>
    <w:p>
      <w:pPr>
        <w:autoSpaceDE w:val="0"/>
        <w:autoSpaceDN w:val="0"/>
        <w:adjustRightInd w:val="0"/>
        <w:snapToGrid w:val="0"/>
        <w:ind w:firstLine="480"/>
        <w:rPr>
          <w:vertAlign w:val="superscript"/>
        </w:rPr>
      </w:pPr>
      <w:r>
        <w:rPr>
          <w:rFonts w:hint="eastAsia"/>
        </w:rPr>
        <w:t>表</w:t>
      </w:r>
      <w:r>
        <w:t>5.1</w:t>
      </w:r>
      <w:r>
        <w:rPr>
          <w:rFonts w:hint="eastAsia"/>
        </w:rPr>
        <w:t>—</w:t>
      </w:r>
      <w:r>
        <w:t xml:space="preserve">3 </w:t>
      </w:r>
      <w:r>
        <w:rPr>
          <w:rFonts w:hint="eastAsia"/>
        </w:rPr>
        <w:t xml:space="preserve">              环境空气中污染物质量标准单位：</w:t>
      </w:r>
      <w:r>
        <w:t>mg/m</w:t>
      </w:r>
      <w:r>
        <w:rPr>
          <w:vertAlign w:val="superscript"/>
        </w:rPr>
        <w:t>3</w:t>
      </w:r>
    </w:p>
    <w:tbl>
      <w:tblPr>
        <w:tblStyle w:val="88"/>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274"/>
        <w:gridCol w:w="2275"/>
        <w:gridCol w:w="2809"/>
        <w:gridCol w:w="2280"/>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single" w:color="000000" w:sz="12"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污染物名称</w:t>
            </w:r>
          </w:p>
        </w:tc>
        <w:tc>
          <w:tcPr>
            <w:tcW w:w="2275" w:type="dxa"/>
            <w:tcBorders>
              <w:top w:val="single" w:color="000000" w:sz="12"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取值时间</w:t>
            </w:r>
          </w:p>
        </w:tc>
        <w:tc>
          <w:tcPr>
            <w:tcW w:w="2809" w:type="dxa"/>
            <w:tcBorders>
              <w:top w:val="single" w:color="000000" w:sz="12"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浓度限值</w:t>
            </w:r>
            <w:r>
              <w:rPr>
                <w:rFonts w:cs="Times New Roman"/>
                <w:sz w:val="21"/>
              </w:rPr>
              <w:t>μg/m</w:t>
            </w:r>
            <w:r>
              <w:rPr>
                <w:sz w:val="21"/>
                <w:vertAlign w:val="superscript"/>
              </w:rPr>
              <w:t>3</w:t>
            </w:r>
          </w:p>
        </w:tc>
        <w:tc>
          <w:tcPr>
            <w:tcW w:w="2280" w:type="dxa"/>
            <w:tcBorders>
              <w:top w:val="single" w:color="000000" w:sz="12" w:space="0"/>
              <w:left w:val="dotted" w:color="auto" w:sz="4" w:space="0"/>
              <w:bottom w:val="dotted" w:color="auto" w:sz="4" w:space="0"/>
              <w:right w:val="nil"/>
            </w:tcBorders>
            <w:vAlign w:val="center"/>
          </w:tcPr>
          <w:p>
            <w:pPr>
              <w:autoSpaceDE w:val="0"/>
              <w:autoSpaceDN w:val="0"/>
              <w:adjustRightInd w:val="0"/>
              <w:spacing w:line="240" w:lineRule="exact"/>
              <w:ind w:firstLine="0" w:firstLineChars="0"/>
              <w:jc w:val="center"/>
              <w:rPr>
                <w:sz w:val="21"/>
              </w:rPr>
            </w:pPr>
            <w:r>
              <w:rPr>
                <w:rFonts w:hint="eastAsia"/>
                <w:sz w:val="21"/>
              </w:rPr>
              <w:t>参照标准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restart"/>
            <w:tcBorders>
              <w:top w:val="single" w:color="auto" w:sz="12"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SO</w:t>
            </w:r>
            <w:r>
              <w:rPr>
                <w:sz w:val="21"/>
                <w:vertAlign w:val="subscript"/>
              </w:rPr>
              <w:t>2</w:t>
            </w:r>
          </w:p>
        </w:tc>
        <w:tc>
          <w:tcPr>
            <w:tcW w:w="2275" w:type="dxa"/>
            <w:tcBorders>
              <w:top w:val="single" w:color="auto" w:sz="12"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single" w:color="auto" w:sz="12"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0.50</w:t>
            </w:r>
          </w:p>
        </w:tc>
        <w:tc>
          <w:tcPr>
            <w:tcW w:w="2280" w:type="dxa"/>
            <w:vMerge w:val="restart"/>
            <w:tcBorders>
              <w:top w:val="single" w:color="auto" w:sz="12" w:space="0"/>
              <w:left w:val="dotted" w:color="auto" w:sz="4" w:space="0"/>
              <w:bottom w:val="dotted" w:color="auto" w:sz="4" w:space="0"/>
              <w:right w:val="nil"/>
            </w:tcBorders>
            <w:vAlign w:val="center"/>
          </w:tcPr>
          <w:p>
            <w:pPr>
              <w:autoSpaceDE w:val="0"/>
              <w:autoSpaceDN w:val="0"/>
              <w:adjustRightInd w:val="0"/>
              <w:spacing w:line="240" w:lineRule="exact"/>
              <w:ind w:firstLine="0" w:firstLineChars="0"/>
              <w:rPr>
                <w:sz w:val="21"/>
              </w:rPr>
            </w:pPr>
            <w:r>
              <w:rPr>
                <w:rFonts w:hint="eastAsia"/>
                <w:sz w:val="21"/>
                <w:lang w:val="zh-CN"/>
              </w:rPr>
              <w:t>《环境空气质量标准》</w:t>
            </w:r>
            <w:r>
              <w:rPr>
                <w:sz w:val="21"/>
                <w:lang w:val="zh-CN"/>
              </w:rPr>
              <w:t>(</w:t>
            </w:r>
            <w:r>
              <w:rPr>
                <w:sz w:val="21"/>
              </w:rPr>
              <w:t>GB3095-2012)</w:t>
            </w:r>
            <w:r>
              <w:rPr>
                <w:rFonts w:hint="eastAsia"/>
                <w:sz w:val="21"/>
              </w:rPr>
              <w:t>二级标准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0.15</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0.06</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TSP</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0.30</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0.20</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PM</w:t>
            </w:r>
            <w:r>
              <w:rPr>
                <w:sz w:val="21"/>
                <w:vertAlign w:val="subscript"/>
              </w:rPr>
              <w:t>10</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0.15</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0.07</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PM</w:t>
            </w:r>
            <w:r>
              <w:rPr>
                <w:sz w:val="21"/>
                <w:vertAlign w:val="subscript"/>
              </w:rPr>
              <w:t>2.5</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0.075</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0.035</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NO</w:t>
            </w:r>
            <w:r>
              <w:rPr>
                <w:sz w:val="21"/>
                <w:vertAlign w:val="subscript"/>
              </w:rPr>
              <w:t>2</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0.20</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0.08</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0.04</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CO</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10.00mg/m</w:t>
            </w:r>
            <w:r>
              <w:rPr>
                <w:sz w:val="21"/>
                <w:vertAlign w:val="superscript"/>
              </w:rPr>
              <w:t>3</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4.00 mg/m</w:t>
            </w:r>
            <w:r>
              <w:rPr>
                <w:sz w:val="21"/>
                <w:vertAlign w:val="superscript"/>
              </w:rPr>
              <w:t>3</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O</w:t>
            </w:r>
            <w:r>
              <w:rPr>
                <w:sz w:val="21"/>
                <w:vertAlign w:val="subscript"/>
              </w:rPr>
              <w:t>3</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0.16</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8</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0.20</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restart"/>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氟化物</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0.02</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sz w:val="21"/>
              </w:rPr>
            </w:pP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日平均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0.007</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Pb</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0.5</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Cd</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0.005</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Hg</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0.05</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As</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0.006</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氟化物</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20</w:t>
            </w:r>
          </w:p>
        </w:tc>
        <w:tc>
          <w:tcPr>
            <w:tcW w:w="2280" w:type="dxa"/>
            <w:vMerge w:val="continue"/>
            <w:tcBorders>
              <w:top w:val="single" w:color="auto" w:sz="12"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H</w:t>
            </w:r>
            <w:r>
              <w:rPr>
                <w:sz w:val="21"/>
                <w:vertAlign w:val="subscript"/>
              </w:rPr>
              <w:t>2</w:t>
            </w:r>
            <w:r>
              <w:rPr>
                <w:sz w:val="21"/>
              </w:rPr>
              <w:t>S</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10</w:t>
            </w:r>
          </w:p>
        </w:tc>
        <w:tc>
          <w:tcPr>
            <w:tcW w:w="2280" w:type="dxa"/>
            <w:vMerge w:val="restart"/>
            <w:tcBorders>
              <w:top w:val="dotted" w:color="auto" w:sz="4" w:space="0"/>
              <w:left w:val="dotted" w:color="auto" w:sz="4" w:space="0"/>
              <w:bottom w:val="dotted" w:color="auto" w:sz="4" w:space="0"/>
              <w:right w:val="nil"/>
            </w:tcBorders>
            <w:vAlign w:val="center"/>
          </w:tcPr>
          <w:p>
            <w:pPr>
              <w:autoSpaceDE w:val="0"/>
              <w:autoSpaceDN w:val="0"/>
              <w:adjustRightInd w:val="0"/>
              <w:spacing w:line="240" w:lineRule="exact"/>
              <w:ind w:firstLine="0" w:firstLineChars="0"/>
              <w:rPr>
                <w:sz w:val="21"/>
              </w:rPr>
            </w:pPr>
            <w:r>
              <w:rPr>
                <w:rFonts w:hint="eastAsia"/>
                <w:sz w:val="21"/>
                <w:lang w:val="zh-CN"/>
              </w:rPr>
              <w:t>《环境影响评价技术导则大气环境》</w:t>
            </w:r>
            <w:r>
              <w:rPr>
                <w:sz w:val="21"/>
                <w:lang w:val="zh-CN"/>
              </w:rPr>
              <w:t>(HJ2.2-2018)</w:t>
            </w:r>
            <w:r>
              <w:rPr>
                <w:rFonts w:hint="eastAsia"/>
                <w:sz w:val="21"/>
                <w:lang w:val="zh-CN"/>
              </w:rPr>
              <w:t>附录</w:t>
            </w:r>
            <w:r>
              <w:rPr>
                <w:sz w:val="21"/>
                <w:lang w:val="zh-CN"/>
              </w:rPr>
              <w:t>D</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NH</w:t>
            </w:r>
            <w:r>
              <w:rPr>
                <w:sz w:val="21"/>
                <w:vertAlign w:val="subscript"/>
              </w:rPr>
              <w:t>3</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200</w:t>
            </w:r>
          </w:p>
        </w:tc>
        <w:tc>
          <w:tcPr>
            <w:tcW w:w="2280" w:type="dxa"/>
            <w:vMerge w:val="continue"/>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H</w:t>
            </w:r>
            <w:r>
              <w:rPr>
                <w:sz w:val="21"/>
                <w:vertAlign w:val="subscript"/>
              </w:rPr>
              <w:t>2</w:t>
            </w:r>
            <w:r>
              <w:rPr>
                <w:sz w:val="21"/>
              </w:rPr>
              <w:t>SO</w:t>
            </w:r>
            <w:r>
              <w:rPr>
                <w:sz w:val="21"/>
                <w:vertAlign w:val="subscript"/>
              </w:rPr>
              <w:t>4</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300</w:t>
            </w:r>
          </w:p>
        </w:tc>
        <w:tc>
          <w:tcPr>
            <w:tcW w:w="2280" w:type="dxa"/>
            <w:vMerge w:val="continue"/>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HCl</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50</w:t>
            </w:r>
          </w:p>
        </w:tc>
        <w:tc>
          <w:tcPr>
            <w:tcW w:w="2280" w:type="dxa"/>
            <w:vMerge w:val="continue"/>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TVOC</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8</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600</w:t>
            </w:r>
          </w:p>
        </w:tc>
        <w:tc>
          <w:tcPr>
            <w:tcW w:w="2280" w:type="dxa"/>
            <w:vMerge w:val="continue"/>
            <w:tcBorders>
              <w:top w:val="dotted" w:color="auto" w:sz="4" w:space="0"/>
              <w:left w:val="dotted" w:color="auto" w:sz="4" w:space="0"/>
              <w:bottom w:val="dotted" w:color="auto" w:sz="4" w:space="0"/>
              <w:right w:val="nil"/>
            </w:tcBorders>
            <w:vAlign w:val="center"/>
          </w:tcPr>
          <w:p>
            <w:pPr>
              <w:widowControl/>
              <w:spacing w:line="240" w:lineRule="auto"/>
              <w:ind w:firstLine="0" w:firstLineChars="0"/>
              <w:jc w:val="left"/>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非甲烷总烃</w:t>
            </w:r>
          </w:p>
        </w:tc>
        <w:tc>
          <w:tcPr>
            <w:tcW w:w="2275"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1</w:t>
            </w:r>
            <w:r>
              <w:rPr>
                <w:rFonts w:hint="eastAsia"/>
                <w:sz w:val="21"/>
              </w:rPr>
              <w:t>小时平均</w:t>
            </w:r>
          </w:p>
        </w:tc>
        <w:tc>
          <w:tcPr>
            <w:tcW w:w="2809"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2.0</w:t>
            </w:r>
          </w:p>
        </w:tc>
        <w:tc>
          <w:tcPr>
            <w:tcW w:w="2280" w:type="dxa"/>
            <w:tcBorders>
              <w:top w:val="dotted" w:color="auto" w:sz="4" w:space="0"/>
              <w:left w:val="dotted" w:color="auto" w:sz="4" w:space="0"/>
              <w:bottom w:val="dotted" w:color="auto" w:sz="4" w:space="0"/>
              <w:right w:val="nil"/>
            </w:tcBorders>
            <w:vAlign w:val="center"/>
          </w:tcPr>
          <w:p>
            <w:pPr>
              <w:autoSpaceDE w:val="0"/>
              <w:autoSpaceDN w:val="0"/>
              <w:adjustRightInd w:val="0"/>
              <w:spacing w:line="240" w:lineRule="exact"/>
              <w:ind w:firstLine="0" w:firstLineChars="0"/>
              <w:rPr>
                <w:sz w:val="21"/>
              </w:rPr>
            </w:pPr>
            <w:r>
              <w:rPr>
                <w:rFonts w:hint="eastAsia"/>
                <w:sz w:val="21"/>
                <w:lang w:val="zh-CN"/>
              </w:rPr>
              <w:t>《环境空气质量非甲烷总烃限值》</w:t>
            </w:r>
            <w:r>
              <w:rPr>
                <w:sz w:val="21"/>
                <w:lang w:val="zh-CN"/>
              </w:rPr>
              <w:t>(</w:t>
            </w:r>
            <w:r>
              <w:rPr>
                <w:sz w:val="21"/>
              </w:rPr>
              <w:t>DB13/1577-2012</w:t>
            </w:r>
            <w:r>
              <w:rPr>
                <w:sz w:val="21"/>
                <w:lang w:val="zh-CN"/>
              </w:rPr>
              <w:t>)</w:t>
            </w:r>
            <w:r>
              <w:rPr>
                <w:rFonts w:hint="eastAsia"/>
                <w:sz w:val="21"/>
                <w:lang w:val="zh-CN"/>
              </w:rPr>
              <w:t>表</w:t>
            </w:r>
            <w:r>
              <w:rPr>
                <w:sz w:val="21"/>
              </w:rPr>
              <w:t>1</w:t>
            </w:r>
            <w:r>
              <w:rPr>
                <w:rFonts w:hint="eastAsia"/>
                <w:sz w:val="21"/>
              </w:rPr>
              <w:t>中二级标准</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5" w:hRule="atLeast"/>
        </w:trPr>
        <w:tc>
          <w:tcPr>
            <w:tcW w:w="2274" w:type="dxa"/>
            <w:tcBorders>
              <w:top w:val="dotted" w:color="auto" w:sz="4" w:space="0"/>
              <w:left w:val="nil"/>
              <w:bottom w:val="single" w:color="000000" w:sz="12"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二噁英</w:t>
            </w:r>
          </w:p>
        </w:tc>
        <w:tc>
          <w:tcPr>
            <w:tcW w:w="2275" w:type="dxa"/>
            <w:tcBorders>
              <w:top w:val="dotted" w:color="auto" w:sz="4" w:space="0"/>
              <w:left w:val="dotted" w:color="auto" w:sz="4" w:space="0"/>
              <w:bottom w:val="single" w:color="000000" w:sz="12" w:space="0"/>
              <w:right w:val="dotted" w:color="auto" w:sz="4" w:space="0"/>
            </w:tcBorders>
            <w:vAlign w:val="center"/>
          </w:tcPr>
          <w:p>
            <w:pPr>
              <w:autoSpaceDE w:val="0"/>
              <w:autoSpaceDN w:val="0"/>
              <w:adjustRightInd w:val="0"/>
              <w:spacing w:line="240" w:lineRule="exact"/>
              <w:ind w:firstLine="0" w:firstLineChars="0"/>
              <w:jc w:val="center"/>
              <w:rPr>
                <w:sz w:val="21"/>
              </w:rPr>
            </w:pPr>
            <w:r>
              <w:rPr>
                <w:rFonts w:hint="eastAsia"/>
                <w:sz w:val="21"/>
              </w:rPr>
              <w:t>年平均</w:t>
            </w:r>
          </w:p>
        </w:tc>
        <w:tc>
          <w:tcPr>
            <w:tcW w:w="2809" w:type="dxa"/>
            <w:tcBorders>
              <w:top w:val="dotted" w:color="auto" w:sz="4" w:space="0"/>
              <w:left w:val="dotted" w:color="auto" w:sz="4" w:space="0"/>
              <w:bottom w:val="single" w:color="000000" w:sz="12" w:space="0"/>
              <w:right w:val="dotted" w:color="auto" w:sz="4" w:space="0"/>
            </w:tcBorders>
            <w:vAlign w:val="center"/>
          </w:tcPr>
          <w:p>
            <w:pPr>
              <w:autoSpaceDE w:val="0"/>
              <w:autoSpaceDN w:val="0"/>
              <w:adjustRightInd w:val="0"/>
              <w:spacing w:line="240" w:lineRule="exact"/>
              <w:ind w:firstLine="0" w:firstLineChars="0"/>
              <w:jc w:val="center"/>
              <w:rPr>
                <w:sz w:val="21"/>
              </w:rPr>
            </w:pPr>
            <w:r>
              <w:rPr>
                <w:sz w:val="21"/>
              </w:rPr>
              <w:t>0.6(TEQpg/m</w:t>
            </w:r>
            <w:r>
              <w:rPr>
                <w:sz w:val="21"/>
                <w:vertAlign w:val="superscript"/>
              </w:rPr>
              <w:t>3</w:t>
            </w:r>
            <w:r>
              <w:rPr>
                <w:sz w:val="21"/>
              </w:rPr>
              <w:t>)</w:t>
            </w:r>
          </w:p>
        </w:tc>
        <w:tc>
          <w:tcPr>
            <w:tcW w:w="2280" w:type="dxa"/>
            <w:tcBorders>
              <w:top w:val="dotted" w:color="auto" w:sz="4" w:space="0"/>
              <w:left w:val="dotted" w:color="auto" w:sz="4" w:space="0"/>
              <w:bottom w:val="single" w:color="000000" w:sz="12" w:space="0"/>
              <w:right w:val="nil"/>
            </w:tcBorders>
            <w:vAlign w:val="center"/>
          </w:tcPr>
          <w:tbl>
            <w:tblPr>
              <w:tblStyle w:val="88"/>
              <w:tblW w:w="2007" w:type="dxa"/>
              <w:tblInd w:w="0" w:type="dxa"/>
              <w:tblLayout w:type="fixed"/>
              <w:tblCellMar>
                <w:top w:w="0" w:type="dxa"/>
                <w:left w:w="108" w:type="dxa"/>
                <w:bottom w:w="0" w:type="dxa"/>
                <w:right w:w="108" w:type="dxa"/>
              </w:tblCellMar>
            </w:tblPr>
            <w:tblGrid>
              <w:gridCol w:w="2007"/>
            </w:tblGrid>
            <w:tr>
              <w:tblPrEx>
                <w:tblCellMar>
                  <w:top w:w="0" w:type="dxa"/>
                  <w:left w:w="108" w:type="dxa"/>
                  <w:bottom w:w="0" w:type="dxa"/>
                  <w:right w:w="108" w:type="dxa"/>
                </w:tblCellMar>
              </w:tblPrEx>
              <w:trPr>
                <w:trHeight w:val="242" w:hRule="atLeast"/>
              </w:trPr>
              <w:tc>
                <w:tcPr>
                  <w:tcW w:w="2007" w:type="dxa"/>
                  <w:tcMar>
                    <w:top w:w="0" w:type="dxa"/>
                    <w:left w:w="0" w:type="dxa"/>
                    <w:bottom w:w="0" w:type="dxa"/>
                    <w:right w:w="0" w:type="dxa"/>
                  </w:tcMar>
                </w:tcPr>
                <w:p>
                  <w:pPr>
                    <w:autoSpaceDE w:val="0"/>
                    <w:autoSpaceDN w:val="0"/>
                    <w:adjustRightInd w:val="0"/>
                    <w:spacing w:line="240" w:lineRule="exact"/>
                    <w:ind w:firstLine="0" w:firstLineChars="0"/>
                    <w:rPr>
                      <w:rFonts w:ascii="宋体" w:cs="宋体"/>
                      <w:kern w:val="0"/>
                      <w:sz w:val="21"/>
                    </w:rPr>
                  </w:pPr>
                  <w:r>
                    <w:rPr>
                      <w:rFonts w:hint="eastAsia" w:ascii="宋体" w:cs="宋体"/>
                      <w:kern w:val="0"/>
                      <w:sz w:val="21"/>
                    </w:rPr>
                    <w:t>日本环境厅中央环境审议会制定的环境标准</w:t>
                  </w:r>
                </w:p>
              </w:tc>
            </w:tr>
          </w:tbl>
          <w:p>
            <w:pPr>
              <w:widowControl/>
              <w:spacing w:line="240" w:lineRule="auto"/>
              <w:ind w:firstLine="0" w:firstLineChars="0"/>
              <w:jc w:val="left"/>
              <w:rPr>
                <w:rFonts w:cs="宋体" w:asciiTheme="minorHAnsi" w:hAnsiTheme="minorHAnsi"/>
                <w:sz w:val="21"/>
                <w:szCs w:val="22"/>
              </w:rPr>
            </w:pPr>
          </w:p>
        </w:tc>
      </w:tr>
    </w:tbl>
    <w:p>
      <w:pPr>
        <w:autoSpaceDE w:val="0"/>
        <w:autoSpaceDN w:val="0"/>
        <w:adjustRightInd w:val="0"/>
        <w:snapToGrid w:val="0"/>
        <w:ind w:firstLine="480"/>
        <w:rPr>
          <w:vertAlign w:val="superscript"/>
        </w:rPr>
      </w:pPr>
    </w:p>
    <w:p>
      <w:pPr>
        <w:autoSpaceDE w:val="0"/>
        <w:autoSpaceDN w:val="0"/>
        <w:adjustRightInd w:val="0"/>
        <w:ind w:firstLine="420"/>
        <w:rPr>
          <w:rFonts w:ascii="宋体" w:cs="宋体"/>
          <w:kern w:val="0"/>
          <w:sz w:val="21"/>
        </w:rPr>
      </w:pPr>
      <w:bookmarkStart w:id="330" w:name="_Toc216839058"/>
      <w:bookmarkStart w:id="331" w:name="_Toc94284571"/>
      <w:bookmarkStart w:id="332" w:name="_Toc175668292"/>
      <w:bookmarkStart w:id="333" w:name="_Toc461101850"/>
      <w:bookmarkStart w:id="334" w:name="_Toc211671531"/>
      <w:bookmarkStart w:id="335" w:name="_Toc211311231"/>
      <w:bookmarkStart w:id="336" w:name="_Toc172998446"/>
      <w:bookmarkStart w:id="337" w:name="_Toc167675531"/>
      <w:bookmarkStart w:id="338" w:name="_Toc166991079"/>
      <w:bookmarkStart w:id="339" w:name="_Toc172998181"/>
      <w:bookmarkStart w:id="340" w:name="_Toc216839611"/>
      <w:bookmarkStart w:id="341" w:name="_Toc170032575"/>
      <w:bookmarkStart w:id="342" w:name="_Toc167724080"/>
      <w:r>
        <w:rPr>
          <w:rFonts w:hint="eastAsia"/>
          <w:sz w:val="21"/>
          <w:lang w:val="zh-CN"/>
        </w:rPr>
        <w:t>注：本次评价二噁英日均浓度标准值参照</w:t>
      </w:r>
      <w:r>
        <w:rPr>
          <w:rFonts w:hint="eastAsia" w:ascii="宋体" w:cs="宋体"/>
          <w:kern w:val="0"/>
          <w:sz w:val="21"/>
        </w:rPr>
        <w:t>日本环境厅中央环境审议会制定的环境标准中的年均值执行。</w:t>
      </w:r>
    </w:p>
    <w:p>
      <w:pPr>
        <w:autoSpaceDE w:val="0"/>
        <w:autoSpaceDN w:val="0"/>
        <w:adjustRightInd w:val="0"/>
        <w:ind w:firstLine="420"/>
        <w:rPr>
          <w:sz w:val="21"/>
          <w:lang w:val="zh-CN"/>
        </w:rPr>
      </w:pPr>
    </w:p>
    <w:p>
      <w:pPr>
        <w:pStyle w:val="6"/>
      </w:pPr>
      <w:bookmarkStart w:id="343" w:name="_Toc503368934"/>
      <w:r>
        <w:t>5.1.2.5</w:t>
      </w:r>
      <w:r>
        <w:rPr>
          <w:rFonts w:hint="eastAsia"/>
        </w:rPr>
        <w:t>补充污染物环境空气质量现状评价</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autoSpaceDE w:val="0"/>
        <w:autoSpaceDN w:val="0"/>
        <w:adjustRightInd w:val="0"/>
        <w:ind w:firstLine="480"/>
        <w:rPr>
          <w:lang w:val="zh-CN"/>
        </w:rPr>
      </w:pPr>
      <w:r>
        <w:rPr>
          <w:rFonts w:hint="eastAsia"/>
          <w:lang w:val="zh-CN"/>
        </w:rPr>
        <w:t>大气现状监测结果及评价统计见表</w:t>
      </w:r>
      <w:r>
        <w:t>5</w:t>
      </w:r>
      <w:r>
        <w:rPr>
          <w:lang w:val="zh-CN"/>
        </w:rPr>
        <w:t>.1</w:t>
      </w:r>
      <w:r>
        <w:rPr>
          <w:rFonts w:hint="eastAsia"/>
          <w:lang w:val="zh-CN"/>
        </w:rPr>
        <w:t>—</w:t>
      </w:r>
      <w:r>
        <w:t>4</w:t>
      </w:r>
      <w:r>
        <w:rPr>
          <w:rFonts w:hint="eastAsia"/>
          <w:lang w:val="zh-CN"/>
        </w:rPr>
        <w:t>～</w:t>
      </w:r>
      <w:r>
        <w:t>5</w:t>
      </w:r>
      <w:r>
        <w:rPr>
          <w:lang w:val="zh-CN"/>
        </w:rPr>
        <w:t>.1</w:t>
      </w:r>
      <w:r>
        <w:rPr>
          <w:rFonts w:hint="eastAsia"/>
          <w:lang w:val="zh-CN"/>
        </w:rPr>
        <w:t>—</w:t>
      </w:r>
      <w:r>
        <w:t>7</w:t>
      </w:r>
      <w:r>
        <w:rPr>
          <w:rFonts w:hint="eastAsia"/>
          <w:lang w:val="zh-CN"/>
        </w:rPr>
        <w:t>。</w:t>
      </w:r>
    </w:p>
    <w:p>
      <w:pPr>
        <w:autoSpaceDE w:val="0"/>
        <w:autoSpaceDN w:val="0"/>
        <w:adjustRightInd w:val="0"/>
        <w:ind w:firstLine="480"/>
        <w:rPr>
          <w:lang w:val="zh-CN"/>
        </w:rPr>
      </w:pPr>
      <w:r>
        <w:rPr>
          <w:rFonts w:hint="eastAsia"/>
          <w:lang w:val="zh-CN"/>
        </w:rPr>
        <w:t>表</w:t>
      </w:r>
      <w:r>
        <w:t>5</w:t>
      </w:r>
      <w:r>
        <w:rPr>
          <w:lang w:val="zh-CN"/>
        </w:rPr>
        <w:t>.1</w:t>
      </w:r>
      <w:r>
        <w:rPr>
          <w:rFonts w:hint="eastAsia"/>
          <w:lang w:val="zh-CN"/>
        </w:rPr>
        <w:t>—</w:t>
      </w:r>
      <w:r>
        <w:t>4</w:t>
      </w:r>
      <w:r>
        <w:rPr>
          <w:rFonts w:hint="eastAsia"/>
          <w:lang w:val="zh-CN"/>
        </w:rPr>
        <w:t xml:space="preserve">          危废综合处置厂日平均浓度统计结果</w:t>
      </w:r>
    </w:p>
    <w:tbl>
      <w:tblPr>
        <w:tblStyle w:val="88"/>
        <w:tblW w:w="9854" w:type="dxa"/>
        <w:jc w:val="center"/>
        <w:tblLayout w:type="fixed"/>
        <w:tblCellMar>
          <w:top w:w="0" w:type="dxa"/>
          <w:left w:w="108" w:type="dxa"/>
          <w:bottom w:w="0" w:type="dxa"/>
          <w:right w:w="108" w:type="dxa"/>
        </w:tblCellMar>
      </w:tblPr>
      <w:tblGrid>
        <w:gridCol w:w="1091"/>
        <w:gridCol w:w="1229"/>
        <w:gridCol w:w="2302"/>
        <w:gridCol w:w="1744"/>
        <w:gridCol w:w="1744"/>
        <w:gridCol w:w="1744"/>
      </w:tblGrid>
      <w:tr>
        <w:tblPrEx>
          <w:tblCellMar>
            <w:top w:w="0" w:type="dxa"/>
            <w:left w:w="108" w:type="dxa"/>
            <w:bottom w:w="0" w:type="dxa"/>
            <w:right w:w="108" w:type="dxa"/>
          </w:tblCellMar>
        </w:tblPrEx>
        <w:trPr>
          <w:trHeight w:val="259" w:hRule="atLeast"/>
          <w:jc w:val="center"/>
        </w:trPr>
        <w:tc>
          <w:tcPr>
            <w:tcW w:w="1091" w:type="dxa"/>
            <w:tcBorders>
              <w:top w:val="single" w:color="000000" w:sz="12" w:space="0"/>
              <w:left w:val="nil"/>
              <w:bottom w:val="single" w:color="auto" w:sz="12" w:space="0"/>
              <w:right w:val="dotted" w:color="auto" w:sz="4" w:space="0"/>
            </w:tcBorders>
            <w:noWrap/>
          </w:tcPr>
          <w:p>
            <w:pPr>
              <w:pStyle w:val="977"/>
              <w:adjustRightInd/>
              <w:spacing w:line="240" w:lineRule="auto"/>
              <w:rPr>
                <w:lang w:val="zh-CN"/>
              </w:rPr>
            </w:pPr>
            <w:r>
              <w:rPr>
                <w:rFonts w:hint="eastAsia"/>
                <w:lang w:val="zh-CN"/>
              </w:rPr>
              <w:t>监测因子</w:t>
            </w:r>
          </w:p>
        </w:tc>
        <w:tc>
          <w:tcPr>
            <w:tcW w:w="1229" w:type="dxa"/>
            <w:tcBorders>
              <w:top w:val="single" w:color="000000" w:sz="12" w:space="0"/>
              <w:left w:val="dotted" w:color="auto" w:sz="4" w:space="0"/>
              <w:bottom w:val="single" w:color="auto" w:sz="12" w:space="0"/>
              <w:right w:val="dotted" w:color="auto" w:sz="4" w:space="0"/>
            </w:tcBorders>
            <w:noWrap/>
          </w:tcPr>
          <w:p>
            <w:pPr>
              <w:pStyle w:val="977"/>
              <w:adjustRightInd/>
              <w:spacing w:line="240" w:lineRule="auto"/>
              <w:rPr>
                <w:lang w:val="zh-CN"/>
              </w:rPr>
            </w:pPr>
            <w:r>
              <w:rPr>
                <w:rFonts w:hint="eastAsia"/>
                <w:lang w:val="zh-CN"/>
              </w:rPr>
              <w:t>点位名称</w:t>
            </w:r>
          </w:p>
        </w:tc>
        <w:tc>
          <w:tcPr>
            <w:tcW w:w="2302" w:type="dxa"/>
            <w:tcBorders>
              <w:top w:val="single" w:color="000000" w:sz="12" w:space="0"/>
              <w:left w:val="dotted" w:color="auto" w:sz="4" w:space="0"/>
              <w:bottom w:val="single" w:color="auto" w:sz="12" w:space="0"/>
              <w:right w:val="dotted" w:color="auto" w:sz="4" w:space="0"/>
            </w:tcBorders>
            <w:noWrap/>
          </w:tcPr>
          <w:p>
            <w:pPr>
              <w:pStyle w:val="977"/>
              <w:adjustRightInd/>
              <w:spacing w:line="240" w:lineRule="auto"/>
              <w:rPr>
                <w:lang w:val="zh-CN"/>
              </w:rPr>
            </w:pPr>
            <w:r>
              <w:rPr>
                <w:rFonts w:hint="eastAsia"/>
                <w:lang w:val="zh-CN"/>
              </w:rPr>
              <w:t>浓度范围</w:t>
            </w:r>
          </w:p>
        </w:tc>
        <w:tc>
          <w:tcPr>
            <w:tcW w:w="1744" w:type="dxa"/>
            <w:tcBorders>
              <w:top w:val="single" w:color="000000" w:sz="12" w:space="0"/>
              <w:left w:val="dotted" w:color="auto" w:sz="4" w:space="0"/>
              <w:bottom w:val="single" w:color="auto" w:sz="12" w:space="0"/>
              <w:right w:val="dotted" w:color="auto" w:sz="4" w:space="0"/>
            </w:tcBorders>
            <w:noWrap/>
          </w:tcPr>
          <w:p>
            <w:pPr>
              <w:pStyle w:val="977"/>
              <w:adjustRightInd/>
              <w:spacing w:line="240" w:lineRule="auto"/>
              <w:rPr>
                <w:lang w:val="zh-CN"/>
              </w:rPr>
            </w:pPr>
            <w:r>
              <w:rPr>
                <w:rFonts w:hint="eastAsia"/>
                <w:lang w:val="zh-CN"/>
              </w:rPr>
              <w:t>污染指数</w:t>
            </w:r>
          </w:p>
          <w:p>
            <w:pPr>
              <w:pStyle w:val="977"/>
              <w:adjustRightInd/>
              <w:spacing w:line="240" w:lineRule="auto"/>
              <w:rPr>
                <w:lang w:val="zh-CN"/>
              </w:rPr>
            </w:pPr>
            <w:r>
              <w:rPr>
                <w:lang w:val="zh-CN"/>
              </w:rPr>
              <w:t>Pi</w:t>
            </w:r>
          </w:p>
        </w:tc>
        <w:tc>
          <w:tcPr>
            <w:tcW w:w="1744" w:type="dxa"/>
            <w:tcBorders>
              <w:top w:val="single" w:color="000000" w:sz="12" w:space="0"/>
              <w:left w:val="dotted" w:color="auto" w:sz="4" w:space="0"/>
              <w:bottom w:val="single" w:color="auto" w:sz="12" w:space="0"/>
              <w:right w:val="dotted" w:color="auto" w:sz="4" w:space="0"/>
            </w:tcBorders>
            <w:noWrap/>
          </w:tcPr>
          <w:p>
            <w:pPr>
              <w:pStyle w:val="977"/>
              <w:adjustRightInd/>
              <w:spacing w:line="240" w:lineRule="auto"/>
              <w:rPr>
                <w:lang w:val="zh-CN"/>
              </w:rPr>
            </w:pPr>
            <w:r>
              <w:rPr>
                <w:rFonts w:hint="eastAsia"/>
                <w:lang w:val="zh-CN"/>
              </w:rPr>
              <w:t>超标率</w:t>
            </w:r>
            <w:r>
              <w:rPr>
                <w:lang w:val="zh-CN"/>
              </w:rPr>
              <w:t>(%)</w:t>
            </w:r>
          </w:p>
        </w:tc>
        <w:tc>
          <w:tcPr>
            <w:tcW w:w="1744" w:type="dxa"/>
            <w:tcBorders>
              <w:top w:val="single" w:color="000000" w:sz="12" w:space="0"/>
              <w:left w:val="dotted" w:color="auto" w:sz="4" w:space="0"/>
              <w:bottom w:val="single" w:color="auto" w:sz="12" w:space="0"/>
              <w:right w:val="nil"/>
            </w:tcBorders>
            <w:noWrap/>
          </w:tcPr>
          <w:p>
            <w:pPr>
              <w:pStyle w:val="977"/>
              <w:adjustRightInd/>
              <w:spacing w:line="240" w:lineRule="auto"/>
              <w:rPr>
                <w:lang w:val="zh-CN"/>
              </w:rPr>
            </w:pPr>
            <w:r>
              <w:rPr>
                <w:rFonts w:hint="eastAsia"/>
                <w:lang w:val="zh-CN"/>
              </w:rPr>
              <w:t>最大超标倍数</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氟化物</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0.00016-0.00062</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0.02-0.09</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0.00017-0.0004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0.02-0.06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0.00017-0.00034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0.02-0.05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0.00018-0.00059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0.03-0.08</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0.00049-0.00062</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0.07-0.09</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0.0005-0.00067</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0.07-0.10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氯化氢</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0.01-0.014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0.67-0.93</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0.011-0.014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0.73-0.93</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0.011-0.013</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0.73-0.87</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0.01-0.014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0.67-0.93</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0.011-0.014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0.73-0.93</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0.01-0.014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0.67-0.93</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硫酸雾</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0.017-0.02</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0.17-0.20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0.012-0.015</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0.12-0.15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0.012-0.015</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0.12-0.15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0.012-0.016</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0.12-0.16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0.016-0.024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0.16-0.24</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0.017-0.019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0.17-0.19</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氰化氢</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汞</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0.000003L-0.000003</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0.000003L-0.000003</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0.000003L-0.000003</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镉</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0.00024L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0.00024L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0.00024L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0.00024L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0.00024L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0.00024L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铅</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0.00025L-0.00033</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-0.47</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0.00025L-0.00039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-0.56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0.00025L-0.00039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-0.56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0.00025L-0.00032</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-0.46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0.00025L-0.00035</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-0.50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0.00025L-0.00032</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-0.46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砷</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0.000003L-0.000004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镍</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0.0005L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0.0005L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0.0005L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0.0005L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0.0005L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0.0005L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restart"/>
            <w:tcBorders>
              <w:top w:val="dotted" w:color="auto" w:sz="4" w:space="0"/>
              <w:left w:val="nil"/>
              <w:bottom w:val="single" w:color="000000" w:sz="12" w:space="0"/>
              <w:right w:val="dotted" w:color="auto" w:sz="4" w:space="0"/>
            </w:tcBorders>
            <w:noWrap/>
            <w:vAlign w:val="center"/>
          </w:tcPr>
          <w:p>
            <w:pPr>
              <w:spacing w:line="240" w:lineRule="auto"/>
              <w:ind w:firstLine="0" w:firstLineChars="0"/>
              <w:jc w:val="center"/>
              <w:rPr>
                <w:sz w:val="21"/>
              </w:rPr>
            </w:pPr>
            <w:r>
              <w:rPr>
                <w:rFonts w:hint="eastAsia"/>
                <w:sz w:val="21"/>
              </w:rPr>
              <w:t>二噁英</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0.0035-0.080</w:t>
            </w:r>
          </w:p>
          <w:p>
            <w:pPr>
              <w:spacing w:line="240" w:lineRule="auto"/>
              <w:ind w:firstLine="0" w:firstLineChars="0"/>
              <w:jc w:val="center"/>
              <w:rPr>
                <w:sz w:val="21"/>
              </w:rPr>
            </w:pPr>
            <w:r>
              <w:rPr>
                <w:sz w:val="21"/>
              </w:rPr>
              <w:t>pgTEQ/ Nm</w:t>
            </w:r>
            <w:r>
              <w:rPr>
                <w:sz w:val="21"/>
                <w:vertAlign w:val="superscript"/>
              </w:rPr>
              <w:t>3</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0.0058-0.1333</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single" w:color="000000" w:sz="12" w:space="0"/>
              <w:right w:val="dotted" w:color="auto" w:sz="4" w:space="0"/>
            </w:tcBorders>
          </w:tcPr>
          <w:p>
            <w:pPr>
              <w:widowControl/>
              <w:spacing w:line="240" w:lineRule="auto"/>
              <w:ind w:firstLine="0" w:firstLineChars="0"/>
              <w:jc w:val="left"/>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0.016-0.10</w:t>
            </w:r>
          </w:p>
          <w:p>
            <w:pPr>
              <w:spacing w:line="240" w:lineRule="auto"/>
              <w:ind w:firstLine="0" w:firstLineChars="0"/>
              <w:jc w:val="center"/>
              <w:rPr>
                <w:sz w:val="21"/>
              </w:rPr>
            </w:pPr>
            <w:r>
              <w:rPr>
                <w:sz w:val="21"/>
              </w:rPr>
              <w:t>pgTEQ/ Nm</w:t>
            </w:r>
            <w:r>
              <w:rPr>
                <w:sz w:val="21"/>
                <w:vertAlign w:val="superscript"/>
              </w:rPr>
              <w:t>3</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0.0267-0.1667</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335" w:hRule="atLeast"/>
          <w:jc w:val="center"/>
        </w:trPr>
        <w:tc>
          <w:tcPr>
            <w:tcW w:w="1091" w:type="dxa"/>
            <w:vMerge w:val="continue"/>
            <w:tcBorders>
              <w:top w:val="dotted" w:color="auto" w:sz="4" w:space="0"/>
              <w:left w:val="nil"/>
              <w:bottom w:val="single" w:color="000000" w:sz="12" w:space="0"/>
              <w:right w:val="dotted" w:color="auto" w:sz="4" w:space="0"/>
            </w:tcBorders>
          </w:tcPr>
          <w:p>
            <w:pPr>
              <w:widowControl/>
              <w:spacing w:line="240" w:lineRule="auto"/>
              <w:ind w:firstLine="0" w:firstLineChars="0"/>
              <w:jc w:val="left"/>
              <w:rPr>
                <w:sz w:val="21"/>
              </w:rPr>
            </w:pPr>
          </w:p>
        </w:tc>
        <w:tc>
          <w:tcPr>
            <w:tcW w:w="1229" w:type="dxa"/>
            <w:tcBorders>
              <w:top w:val="dotted" w:color="auto" w:sz="4" w:space="0"/>
              <w:left w:val="dotted" w:color="auto" w:sz="4" w:space="0"/>
              <w:bottom w:val="single" w:color="000000" w:sz="12"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single" w:color="000000" w:sz="12" w:space="0"/>
              <w:right w:val="dotted" w:color="auto" w:sz="4" w:space="0"/>
            </w:tcBorders>
            <w:noWrap/>
            <w:vAlign w:val="center"/>
          </w:tcPr>
          <w:p>
            <w:pPr>
              <w:spacing w:line="240" w:lineRule="auto"/>
              <w:ind w:firstLine="0" w:firstLineChars="0"/>
              <w:jc w:val="center"/>
              <w:rPr>
                <w:sz w:val="21"/>
              </w:rPr>
            </w:pPr>
            <w:r>
              <w:rPr>
                <w:sz w:val="21"/>
              </w:rPr>
              <w:t>0.0054-0.051</w:t>
            </w:r>
          </w:p>
          <w:p>
            <w:pPr>
              <w:spacing w:line="240" w:lineRule="auto"/>
              <w:ind w:firstLine="0" w:firstLineChars="0"/>
              <w:jc w:val="center"/>
              <w:rPr>
                <w:sz w:val="21"/>
              </w:rPr>
            </w:pPr>
            <w:r>
              <w:rPr>
                <w:sz w:val="21"/>
              </w:rPr>
              <w:t>pgTEQ/ Nm</w:t>
            </w:r>
            <w:r>
              <w:rPr>
                <w:sz w:val="21"/>
                <w:vertAlign w:val="superscript"/>
              </w:rPr>
              <w:t>3</w:t>
            </w:r>
          </w:p>
        </w:tc>
        <w:tc>
          <w:tcPr>
            <w:tcW w:w="1744" w:type="dxa"/>
            <w:tcBorders>
              <w:top w:val="dotted" w:color="auto" w:sz="4" w:space="0"/>
              <w:left w:val="dotted" w:color="auto" w:sz="4" w:space="0"/>
              <w:bottom w:val="single" w:color="000000" w:sz="12" w:space="0"/>
              <w:right w:val="dotted" w:color="auto" w:sz="4" w:space="0"/>
            </w:tcBorders>
            <w:noWrap/>
            <w:vAlign w:val="center"/>
          </w:tcPr>
          <w:p>
            <w:pPr>
              <w:spacing w:line="240" w:lineRule="auto"/>
              <w:ind w:firstLine="0" w:firstLineChars="0"/>
              <w:jc w:val="center"/>
              <w:rPr>
                <w:sz w:val="21"/>
              </w:rPr>
            </w:pPr>
            <w:r>
              <w:rPr>
                <w:sz w:val="21"/>
              </w:rPr>
              <w:t>0.0090-0.0850</w:t>
            </w:r>
          </w:p>
        </w:tc>
        <w:tc>
          <w:tcPr>
            <w:tcW w:w="1744" w:type="dxa"/>
            <w:tcBorders>
              <w:top w:val="dotted" w:color="auto" w:sz="4" w:space="0"/>
              <w:left w:val="dotted" w:color="auto" w:sz="4" w:space="0"/>
              <w:bottom w:val="single" w:color="000000" w:sz="12"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single" w:color="000000" w:sz="12"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bl>
    <w:p>
      <w:pPr>
        <w:autoSpaceDE w:val="0"/>
        <w:autoSpaceDN w:val="0"/>
        <w:adjustRightInd w:val="0"/>
        <w:ind w:firstLine="0" w:firstLineChars="0"/>
        <w:rPr>
          <w:lang w:val="zh-CN"/>
        </w:rPr>
      </w:pPr>
    </w:p>
    <w:p>
      <w:pPr>
        <w:autoSpaceDE w:val="0"/>
        <w:autoSpaceDN w:val="0"/>
        <w:adjustRightInd w:val="0"/>
        <w:ind w:firstLine="480"/>
        <w:outlineLvl w:val="0"/>
        <w:rPr>
          <w:rFonts w:hAnsi="宋体"/>
          <w:szCs w:val="24"/>
          <w:lang w:val="zh-CN"/>
        </w:rPr>
      </w:pPr>
      <w:r>
        <w:rPr>
          <w:rFonts w:hint="eastAsia"/>
          <w:lang w:val="zh-CN"/>
        </w:rPr>
        <w:t>表</w:t>
      </w:r>
      <w:r>
        <w:t>5</w:t>
      </w:r>
      <w:r>
        <w:rPr>
          <w:lang w:val="zh-CN"/>
        </w:rPr>
        <w:t>.1</w:t>
      </w:r>
      <w:r>
        <w:rPr>
          <w:rFonts w:hint="eastAsia"/>
          <w:lang w:val="zh-CN"/>
        </w:rPr>
        <w:t>—</w:t>
      </w:r>
      <w:r>
        <w:t>5</w:t>
      </w:r>
      <w:r>
        <w:rPr>
          <w:rFonts w:hint="eastAsia"/>
          <w:lang w:val="zh-CN"/>
        </w:rPr>
        <w:t>危废综合处置厂</w:t>
      </w:r>
      <w:r>
        <w:rPr>
          <w:rFonts w:hint="eastAsia" w:hAnsi="宋体"/>
          <w:szCs w:val="24"/>
          <w:lang w:val="zh-CN"/>
        </w:rPr>
        <w:t>小时平均浓度统计结果</w:t>
      </w:r>
    </w:p>
    <w:tbl>
      <w:tblPr>
        <w:tblStyle w:val="88"/>
        <w:tblW w:w="9854" w:type="dxa"/>
        <w:jc w:val="center"/>
        <w:tblLayout w:type="fixed"/>
        <w:tblCellMar>
          <w:top w:w="0" w:type="dxa"/>
          <w:left w:w="108" w:type="dxa"/>
          <w:bottom w:w="0" w:type="dxa"/>
          <w:right w:w="108" w:type="dxa"/>
        </w:tblCellMar>
      </w:tblPr>
      <w:tblGrid>
        <w:gridCol w:w="1091"/>
        <w:gridCol w:w="1229"/>
        <w:gridCol w:w="2302"/>
        <w:gridCol w:w="1744"/>
        <w:gridCol w:w="1744"/>
        <w:gridCol w:w="1744"/>
      </w:tblGrid>
      <w:tr>
        <w:tblPrEx>
          <w:tblCellMar>
            <w:top w:w="0" w:type="dxa"/>
            <w:left w:w="108" w:type="dxa"/>
            <w:bottom w:w="0" w:type="dxa"/>
            <w:right w:w="108" w:type="dxa"/>
          </w:tblCellMar>
        </w:tblPrEx>
        <w:trPr>
          <w:trHeight w:val="284" w:hRule="atLeast"/>
          <w:jc w:val="center"/>
        </w:trPr>
        <w:tc>
          <w:tcPr>
            <w:tcW w:w="1091" w:type="dxa"/>
            <w:tcBorders>
              <w:top w:val="single" w:color="000000" w:sz="12" w:space="0"/>
              <w:left w:val="nil"/>
              <w:bottom w:val="single" w:color="auto" w:sz="12" w:space="0"/>
              <w:right w:val="dotted" w:color="auto" w:sz="4" w:space="0"/>
            </w:tcBorders>
            <w:noWrap/>
            <w:vAlign w:val="center"/>
          </w:tcPr>
          <w:p>
            <w:pPr>
              <w:pStyle w:val="977"/>
              <w:adjustRightInd/>
              <w:spacing w:line="240" w:lineRule="auto"/>
              <w:rPr>
                <w:lang w:val="zh-CN"/>
              </w:rPr>
            </w:pPr>
            <w:r>
              <w:rPr>
                <w:rFonts w:hint="eastAsia"/>
                <w:lang w:val="zh-CN"/>
              </w:rPr>
              <w:t>监测因子</w:t>
            </w:r>
          </w:p>
        </w:tc>
        <w:tc>
          <w:tcPr>
            <w:tcW w:w="1229" w:type="dxa"/>
            <w:tcBorders>
              <w:top w:val="single" w:color="000000" w:sz="12" w:space="0"/>
              <w:left w:val="dotted" w:color="auto" w:sz="4" w:space="0"/>
              <w:bottom w:val="single" w:color="auto" w:sz="12" w:space="0"/>
              <w:right w:val="dotted" w:color="auto" w:sz="4" w:space="0"/>
            </w:tcBorders>
            <w:noWrap/>
            <w:vAlign w:val="center"/>
          </w:tcPr>
          <w:p>
            <w:pPr>
              <w:pStyle w:val="977"/>
              <w:adjustRightInd/>
              <w:spacing w:line="240" w:lineRule="auto"/>
              <w:rPr>
                <w:lang w:val="zh-CN"/>
              </w:rPr>
            </w:pPr>
            <w:r>
              <w:rPr>
                <w:rFonts w:hint="eastAsia"/>
                <w:lang w:val="zh-CN"/>
              </w:rPr>
              <w:t>点位名称</w:t>
            </w:r>
          </w:p>
        </w:tc>
        <w:tc>
          <w:tcPr>
            <w:tcW w:w="2302" w:type="dxa"/>
            <w:tcBorders>
              <w:top w:val="single" w:color="000000" w:sz="12" w:space="0"/>
              <w:left w:val="dotted" w:color="auto" w:sz="4" w:space="0"/>
              <w:bottom w:val="single" w:color="auto" w:sz="12" w:space="0"/>
              <w:right w:val="dotted" w:color="auto" w:sz="4" w:space="0"/>
            </w:tcBorders>
            <w:noWrap/>
            <w:vAlign w:val="center"/>
          </w:tcPr>
          <w:p>
            <w:pPr>
              <w:pStyle w:val="977"/>
              <w:adjustRightInd/>
              <w:spacing w:line="240" w:lineRule="auto"/>
              <w:rPr>
                <w:lang w:val="zh-CN"/>
              </w:rPr>
            </w:pPr>
            <w:r>
              <w:rPr>
                <w:rFonts w:hint="eastAsia"/>
                <w:lang w:val="zh-CN"/>
              </w:rPr>
              <w:t>浓度范围</w:t>
            </w:r>
          </w:p>
        </w:tc>
        <w:tc>
          <w:tcPr>
            <w:tcW w:w="1744" w:type="dxa"/>
            <w:tcBorders>
              <w:top w:val="single" w:color="000000" w:sz="12" w:space="0"/>
              <w:left w:val="dotted" w:color="auto" w:sz="4" w:space="0"/>
              <w:bottom w:val="single" w:color="auto" w:sz="12" w:space="0"/>
              <w:right w:val="dotted" w:color="auto" w:sz="4" w:space="0"/>
            </w:tcBorders>
            <w:noWrap/>
            <w:vAlign w:val="center"/>
          </w:tcPr>
          <w:p>
            <w:pPr>
              <w:pStyle w:val="977"/>
              <w:adjustRightInd/>
              <w:spacing w:line="240" w:lineRule="auto"/>
              <w:rPr>
                <w:lang w:val="zh-CN"/>
              </w:rPr>
            </w:pPr>
            <w:r>
              <w:rPr>
                <w:rFonts w:hint="eastAsia"/>
                <w:lang w:val="zh-CN"/>
              </w:rPr>
              <w:t>污染指数</w:t>
            </w:r>
          </w:p>
          <w:p>
            <w:pPr>
              <w:pStyle w:val="977"/>
              <w:adjustRightInd/>
              <w:spacing w:line="240" w:lineRule="auto"/>
              <w:rPr>
                <w:lang w:val="zh-CN"/>
              </w:rPr>
            </w:pPr>
            <w:r>
              <w:rPr>
                <w:lang w:val="zh-CN"/>
              </w:rPr>
              <w:t>Pi</w:t>
            </w:r>
          </w:p>
        </w:tc>
        <w:tc>
          <w:tcPr>
            <w:tcW w:w="1744" w:type="dxa"/>
            <w:tcBorders>
              <w:top w:val="single" w:color="000000" w:sz="12" w:space="0"/>
              <w:left w:val="dotted" w:color="auto" w:sz="4" w:space="0"/>
              <w:bottom w:val="single" w:color="auto" w:sz="12" w:space="0"/>
              <w:right w:val="dotted" w:color="auto" w:sz="4" w:space="0"/>
            </w:tcBorders>
            <w:noWrap/>
            <w:vAlign w:val="center"/>
          </w:tcPr>
          <w:p>
            <w:pPr>
              <w:pStyle w:val="977"/>
              <w:adjustRightInd/>
              <w:spacing w:line="240" w:lineRule="auto"/>
              <w:rPr>
                <w:lang w:val="zh-CN"/>
              </w:rPr>
            </w:pPr>
            <w:r>
              <w:rPr>
                <w:rFonts w:hint="eastAsia"/>
                <w:lang w:val="zh-CN"/>
              </w:rPr>
              <w:t>超标率</w:t>
            </w:r>
            <w:r>
              <w:rPr>
                <w:lang w:val="zh-CN"/>
              </w:rPr>
              <w:t>(%)</w:t>
            </w:r>
          </w:p>
        </w:tc>
        <w:tc>
          <w:tcPr>
            <w:tcW w:w="1744" w:type="dxa"/>
            <w:tcBorders>
              <w:top w:val="single" w:color="000000" w:sz="12" w:space="0"/>
              <w:left w:val="dotted" w:color="auto" w:sz="4" w:space="0"/>
              <w:bottom w:val="single" w:color="auto" w:sz="12" w:space="0"/>
              <w:right w:val="nil"/>
            </w:tcBorders>
            <w:noWrap/>
            <w:vAlign w:val="center"/>
          </w:tcPr>
          <w:p>
            <w:pPr>
              <w:pStyle w:val="977"/>
              <w:adjustRightInd/>
              <w:spacing w:line="240" w:lineRule="auto"/>
              <w:rPr>
                <w:lang w:val="zh-CN"/>
              </w:rPr>
            </w:pPr>
            <w:r>
              <w:rPr>
                <w:rFonts w:hint="eastAsia"/>
                <w:lang w:val="zh-CN"/>
              </w:rPr>
              <w:t>最大超标倍数</w:t>
            </w:r>
          </w:p>
        </w:tc>
      </w:tr>
      <w:tr>
        <w:tblPrEx>
          <w:tblCellMar>
            <w:top w:w="0" w:type="dxa"/>
            <w:left w:w="108" w:type="dxa"/>
            <w:bottom w:w="0" w:type="dxa"/>
            <w:right w:w="108" w:type="dxa"/>
          </w:tblCellMar>
        </w:tblPrEx>
        <w:trPr>
          <w:trHeight w:val="284"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sz w:val="21"/>
              </w:rPr>
              <w:t>H</w:t>
            </w:r>
            <w:r>
              <w:rPr>
                <w:sz w:val="21"/>
                <w:vertAlign w:val="subscript"/>
              </w:rPr>
              <w:t>2</w:t>
            </w:r>
            <w:r>
              <w:rPr>
                <w:sz w:val="21"/>
              </w:rPr>
              <w:t>S</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0.006-0.009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0.6-0.9</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0.004-0.009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0.4-0.9</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0.002-0.009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0.2-0.9</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0.003-0.009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0.3-0.9</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0.004-0.009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0.4-0.9</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0.004-0.009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0.4-0.9</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sz w:val="21"/>
              </w:rPr>
              <w:t>NH</w:t>
            </w:r>
            <w:r>
              <w:rPr>
                <w:sz w:val="21"/>
                <w:vertAlign w:val="subscript"/>
              </w:rPr>
              <w:t>3</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0.01-0.11</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0.05-0.55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0.15-0.45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0.02-0.09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0.10-0.45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0.02-0.09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0.10-0.45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0.03-0.08</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0.15-0.40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0.03-0.09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0.15-0.45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rFonts w:ascii="宋体" w:hAnsi="宋体" w:cs="宋体"/>
                <w:sz w:val="21"/>
              </w:rPr>
            </w:pPr>
            <w:r>
              <w:rPr>
                <w:sz w:val="21"/>
              </w:rPr>
              <w:t>NmHc</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0.19-0.94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0.095-0.47</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rFonts w:ascii="宋体" w:hAnsi="宋体" w:cs="宋体"/>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0.26-0.89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0.095-0.47</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rFonts w:ascii="宋体" w:hAnsi="宋体" w:cs="宋体"/>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0.21-0.83</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0.13-0.445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rFonts w:ascii="宋体" w:hAnsi="宋体" w:cs="宋体"/>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0.21-0.90</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0.105-0.45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rFonts w:ascii="宋体" w:hAnsi="宋体" w:cs="宋体"/>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0.094-1.77</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0.47-0.885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rFonts w:ascii="宋体" w:hAnsi="宋体" w:cs="宋体"/>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1.01-1.89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0.505-0.945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臭气</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w:t>
            </w:r>
            <w:r>
              <w:rPr>
                <w:sz w:val="21"/>
              </w:rPr>
              <w:t>10</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w:t>
            </w:r>
            <w:r>
              <w:rPr>
                <w:sz w:val="21"/>
              </w:rPr>
              <w:t>10</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w:t>
            </w:r>
            <w:r>
              <w:rPr>
                <w:sz w:val="21"/>
              </w:rPr>
              <w:t>10</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w:t>
            </w:r>
            <w:r>
              <w:rPr>
                <w:sz w:val="21"/>
              </w:rPr>
              <w:t>10</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w:t>
            </w:r>
            <w:r>
              <w:rPr>
                <w:sz w:val="21"/>
              </w:rPr>
              <w:t>10</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w:t>
            </w:r>
            <w:r>
              <w:rPr>
                <w:sz w:val="21"/>
              </w:rPr>
              <w:t>10</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氟化物</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0.0015L-0.0019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-0.095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0.0016-0.0023</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0.08-0.115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0.0015L-0.0022</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-0.11</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0.0016-0.0025</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0.08-0.125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0.0015L-0.0021</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-0.105</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0.0015L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氯化氢</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0.035-0.048</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0.7-0.96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0.035-0.049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0.7-0.98</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0.035-0.048</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0.7-0.96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0.031-0.048</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0.62-0.96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0.036-0.048</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0.72-0.96</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0.035-0.049</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0.7-0.98</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restart"/>
            <w:tcBorders>
              <w:top w:val="dotted" w:color="auto" w:sz="4" w:space="0"/>
              <w:left w:val="nil"/>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硫酸雾</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0.043-0.094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0.143-0.313</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0.043-0.088</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0.143-0.293</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0.041-0.082</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0.137-0.273</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0.039-0.096</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0.13-0.320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0.028-0.084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0.093-0.280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0.031-0.084</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0.103-0.280</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restart"/>
            <w:tcBorders>
              <w:top w:val="dotted" w:color="auto" w:sz="4" w:space="0"/>
              <w:left w:val="nil"/>
              <w:bottom w:val="single" w:color="000000" w:sz="12" w:space="0"/>
              <w:right w:val="dotted" w:color="auto" w:sz="4" w:space="0"/>
            </w:tcBorders>
            <w:noWrap/>
            <w:vAlign w:val="center"/>
          </w:tcPr>
          <w:p>
            <w:pPr>
              <w:spacing w:line="240" w:lineRule="auto"/>
              <w:ind w:firstLine="0" w:firstLineChars="0"/>
              <w:jc w:val="center"/>
              <w:rPr>
                <w:sz w:val="21"/>
              </w:rPr>
            </w:pPr>
            <w:r>
              <w:rPr>
                <w:rFonts w:hint="eastAsia"/>
                <w:sz w:val="21"/>
              </w:rPr>
              <w:t>氰化氢</w:t>
            </w: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977"/>
              <w:adjustRightInd/>
              <w:spacing w:line="240" w:lineRule="auto"/>
            </w:pPr>
            <w:r>
              <w:t>1#</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single" w:color="000000" w:sz="12"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2#</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single" w:color="000000" w:sz="12"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3#</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single" w:color="000000" w:sz="12"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4#</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single" w:color="000000" w:sz="12"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dotted" w:color="auto" w:sz="4"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5#</w:t>
            </w:r>
          </w:p>
        </w:tc>
        <w:tc>
          <w:tcPr>
            <w:tcW w:w="230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sz w:val="21"/>
              </w:rPr>
              <w:t>0.003L</w:t>
            </w:r>
          </w:p>
        </w:tc>
        <w:tc>
          <w:tcPr>
            <w:tcW w:w="1744"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dotted" w:color="auto" w:sz="4"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dotted" w:color="auto" w:sz="4"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r>
        <w:tblPrEx>
          <w:tblCellMar>
            <w:top w:w="0" w:type="dxa"/>
            <w:left w:w="108" w:type="dxa"/>
            <w:bottom w:w="0" w:type="dxa"/>
            <w:right w:w="108" w:type="dxa"/>
          </w:tblCellMar>
        </w:tblPrEx>
        <w:trPr>
          <w:trHeight w:val="284" w:hRule="atLeast"/>
          <w:jc w:val="center"/>
        </w:trPr>
        <w:tc>
          <w:tcPr>
            <w:tcW w:w="1091" w:type="dxa"/>
            <w:vMerge w:val="continue"/>
            <w:tcBorders>
              <w:top w:val="dotted" w:color="auto" w:sz="4" w:space="0"/>
              <w:left w:val="nil"/>
              <w:bottom w:val="single" w:color="000000" w:sz="12" w:space="0"/>
              <w:right w:val="dotted" w:color="auto" w:sz="4" w:space="0"/>
            </w:tcBorders>
            <w:vAlign w:val="center"/>
          </w:tcPr>
          <w:p>
            <w:pPr>
              <w:widowControl/>
              <w:spacing w:line="240" w:lineRule="auto"/>
              <w:ind w:firstLine="0" w:firstLineChars="0"/>
              <w:jc w:val="center"/>
              <w:rPr>
                <w:sz w:val="21"/>
              </w:rPr>
            </w:pPr>
          </w:p>
        </w:tc>
        <w:tc>
          <w:tcPr>
            <w:tcW w:w="1229" w:type="dxa"/>
            <w:tcBorders>
              <w:top w:val="dotted" w:color="auto" w:sz="4" w:space="0"/>
              <w:left w:val="dotted" w:color="auto" w:sz="4" w:space="0"/>
              <w:bottom w:val="single" w:color="000000" w:sz="12" w:space="0"/>
              <w:right w:val="dotted" w:color="auto" w:sz="4" w:space="0"/>
            </w:tcBorders>
            <w:noWrap/>
            <w:vAlign w:val="center"/>
          </w:tcPr>
          <w:p>
            <w:pPr>
              <w:pStyle w:val="3413"/>
              <w:spacing w:before="0" w:after="0" w:line="240" w:lineRule="auto"/>
              <w:ind w:firstLine="0" w:firstLineChars="0"/>
              <w:jc w:val="center"/>
              <w:outlineLvl w:val="9"/>
              <w:rPr>
                <w:b w:val="0"/>
                <w:sz w:val="21"/>
              </w:rPr>
            </w:pPr>
            <w:r>
              <w:rPr>
                <w:b w:val="0"/>
                <w:sz w:val="21"/>
              </w:rPr>
              <w:t>6#</w:t>
            </w:r>
          </w:p>
        </w:tc>
        <w:tc>
          <w:tcPr>
            <w:tcW w:w="2302" w:type="dxa"/>
            <w:tcBorders>
              <w:top w:val="dotted" w:color="auto" w:sz="4" w:space="0"/>
              <w:left w:val="dotted" w:color="auto" w:sz="4" w:space="0"/>
              <w:bottom w:val="single" w:color="000000" w:sz="12" w:space="0"/>
              <w:right w:val="dotted" w:color="auto" w:sz="4" w:space="0"/>
            </w:tcBorders>
            <w:noWrap/>
            <w:vAlign w:val="center"/>
          </w:tcPr>
          <w:p>
            <w:pPr>
              <w:spacing w:line="240" w:lineRule="auto"/>
              <w:ind w:firstLine="0" w:firstLineChars="0"/>
              <w:jc w:val="center"/>
              <w:rPr>
                <w:sz w:val="21"/>
              </w:rPr>
            </w:pPr>
            <w:r>
              <w:rPr>
                <w:sz w:val="21"/>
              </w:rPr>
              <w:t>0.003L</w:t>
            </w:r>
          </w:p>
        </w:tc>
        <w:tc>
          <w:tcPr>
            <w:tcW w:w="1744" w:type="dxa"/>
            <w:tcBorders>
              <w:top w:val="dotted" w:color="auto" w:sz="4" w:space="0"/>
              <w:left w:val="dotted" w:color="auto" w:sz="4" w:space="0"/>
              <w:bottom w:val="single" w:color="000000" w:sz="12" w:space="0"/>
              <w:right w:val="dotted" w:color="auto" w:sz="4" w:space="0"/>
            </w:tcBorders>
            <w:noWrap/>
            <w:vAlign w:val="center"/>
          </w:tcPr>
          <w:p>
            <w:pPr>
              <w:spacing w:line="240" w:lineRule="auto"/>
              <w:ind w:firstLine="0" w:firstLineChars="0"/>
              <w:jc w:val="center"/>
              <w:rPr>
                <w:sz w:val="21"/>
              </w:rPr>
            </w:pPr>
            <w:r>
              <w:rPr>
                <w:rFonts w:hint="eastAsia"/>
                <w:sz w:val="21"/>
              </w:rPr>
              <w:t>未检出</w:t>
            </w:r>
          </w:p>
        </w:tc>
        <w:tc>
          <w:tcPr>
            <w:tcW w:w="1744" w:type="dxa"/>
            <w:tcBorders>
              <w:top w:val="dotted" w:color="auto" w:sz="4" w:space="0"/>
              <w:left w:val="dotted" w:color="auto" w:sz="4" w:space="0"/>
              <w:bottom w:val="single" w:color="000000" w:sz="12" w:space="0"/>
              <w:right w:val="dotted" w:color="auto" w:sz="4" w:space="0"/>
            </w:tcBorders>
            <w:noWrap/>
            <w:vAlign w:val="center"/>
          </w:tcPr>
          <w:p>
            <w:pPr>
              <w:pStyle w:val="45"/>
              <w:spacing w:line="240" w:lineRule="exact"/>
              <w:jc w:val="center"/>
              <w:rPr>
                <w:rFonts w:ascii="Times New Roman" w:hAnsi="Times New Roman"/>
              </w:rPr>
            </w:pPr>
            <w:r>
              <w:rPr>
                <w:rFonts w:ascii="Times New Roman" w:hAnsi="Times New Roman"/>
              </w:rPr>
              <w:t>0</w:t>
            </w:r>
          </w:p>
        </w:tc>
        <w:tc>
          <w:tcPr>
            <w:tcW w:w="1744" w:type="dxa"/>
            <w:tcBorders>
              <w:top w:val="dotted" w:color="auto" w:sz="4" w:space="0"/>
              <w:left w:val="dotted" w:color="auto" w:sz="4" w:space="0"/>
              <w:bottom w:val="single" w:color="000000" w:sz="12" w:space="0"/>
              <w:right w:val="nil"/>
            </w:tcBorders>
            <w:noWrap/>
            <w:vAlign w:val="center"/>
          </w:tcPr>
          <w:p>
            <w:pPr>
              <w:pStyle w:val="45"/>
              <w:spacing w:line="240" w:lineRule="exact"/>
              <w:jc w:val="center"/>
              <w:rPr>
                <w:rFonts w:ascii="Times New Roman" w:hAnsi="Times New Roman"/>
              </w:rPr>
            </w:pPr>
            <w:r>
              <w:rPr>
                <w:rFonts w:ascii="Times New Roman" w:hAnsi="Times New Roman"/>
              </w:rPr>
              <w:t>0</w:t>
            </w:r>
          </w:p>
        </w:tc>
      </w:tr>
    </w:tbl>
    <w:p>
      <w:pPr>
        <w:autoSpaceDE w:val="0"/>
        <w:autoSpaceDN w:val="0"/>
        <w:adjustRightInd w:val="0"/>
        <w:ind w:firstLine="480"/>
        <w:jc w:val="center"/>
        <w:rPr>
          <w:lang w:val="zh-CN"/>
        </w:rPr>
      </w:pPr>
    </w:p>
    <w:p>
      <w:pPr>
        <w:pStyle w:val="6"/>
      </w:pPr>
      <w:bookmarkStart w:id="344" w:name="_Toc427688558"/>
      <w:bookmarkStart w:id="345" w:name="_Toc451157029"/>
      <w:bookmarkStart w:id="346" w:name="_Toc503368935"/>
      <w:r>
        <w:t>5.1.2.6</w:t>
      </w:r>
      <w:r>
        <w:rPr>
          <w:rFonts w:hint="eastAsia"/>
        </w:rPr>
        <w:t>补充污染物环境空气现状评价结果分析</w:t>
      </w:r>
      <w:bookmarkEnd w:id="344"/>
      <w:bookmarkEnd w:id="345"/>
      <w:bookmarkEnd w:id="346"/>
    </w:p>
    <w:p>
      <w:pPr>
        <w:snapToGrid w:val="0"/>
        <w:ind w:firstLine="480"/>
        <w:rPr>
          <w:kern w:val="0"/>
          <w:szCs w:val="24"/>
        </w:rPr>
      </w:pPr>
      <w:r>
        <w:rPr>
          <w:rFonts w:hint="eastAsia"/>
          <w:kern w:val="0"/>
        </w:rPr>
        <w:t>监测结果表明，评价区域内特征污染物小时浓度、日均浓度浓度达到《工业企业设计卫生标准》</w:t>
      </w:r>
      <w:r>
        <w:rPr>
          <w:kern w:val="0"/>
        </w:rPr>
        <w:t>(TJ36-79)</w:t>
      </w:r>
      <w:r>
        <w:rPr>
          <w:rFonts w:hint="eastAsia"/>
          <w:kern w:val="0"/>
        </w:rPr>
        <w:t>、《环境空气质量标准非甲烷总烃限值》</w:t>
      </w:r>
      <w:r>
        <w:rPr>
          <w:kern w:val="0"/>
        </w:rPr>
        <w:t>(</w:t>
      </w:r>
      <w:r>
        <w:t>DB13/1577-2012)</w:t>
      </w:r>
      <w:r>
        <w:rPr>
          <w:rFonts w:hint="eastAsia"/>
        </w:rPr>
        <w:t>、南斯拉夫环境标准</w:t>
      </w:r>
      <w:r>
        <w:rPr>
          <w:rFonts w:hint="eastAsia"/>
          <w:szCs w:val="24"/>
        </w:rPr>
        <w:t>、</w:t>
      </w:r>
      <w:r>
        <w:rPr>
          <w:rFonts w:hint="eastAsia"/>
          <w:szCs w:val="24"/>
          <w:lang w:val="zh-CN"/>
        </w:rPr>
        <w:t>前苏联居民区大气中有害物质的最大允许浓度</w:t>
      </w:r>
      <w:r>
        <w:rPr>
          <w:szCs w:val="24"/>
          <w:lang w:val="zh-CN"/>
        </w:rPr>
        <w:t>(CH245-71)</w:t>
      </w:r>
      <w:r>
        <w:rPr>
          <w:rFonts w:hint="eastAsia"/>
          <w:kern w:val="0"/>
          <w:szCs w:val="24"/>
        </w:rPr>
        <w:t>和</w:t>
      </w:r>
      <w:r>
        <w:rPr>
          <w:rFonts w:hint="eastAsia" w:ascii="宋体" w:cs="宋体"/>
          <w:kern w:val="0"/>
          <w:szCs w:val="24"/>
        </w:rPr>
        <w:t>日本环境厅中央环境审议会制定的环境标准</w:t>
      </w:r>
      <w:r>
        <w:rPr>
          <w:rFonts w:hint="eastAsia"/>
          <w:kern w:val="0"/>
          <w:szCs w:val="24"/>
        </w:rPr>
        <w:t>，未出现超标现象。</w:t>
      </w:r>
    </w:p>
    <w:p>
      <w:pPr>
        <w:pStyle w:val="4"/>
      </w:pPr>
      <w:bookmarkStart w:id="347" w:name="_Toc9403068"/>
      <w:bookmarkStart w:id="348" w:name="_Toc13760192"/>
      <w:r>
        <w:t>5.2</w:t>
      </w:r>
      <w:r>
        <w:rPr>
          <w:rFonts w:hint="eastAsia"/>
        </w:rPr>
        <w:t>声环境质量现状监测与评价</w:t>
      </w:r>
      <w:bookmarkEnd w:id="347"/>
      <w:bookmarkEnd w:id="348"/>
    </w:p>
    <w:p>
      <w:pPr>
        <w:adjustRightInd w:val="0"/>
        <w:snapToGrid w:val="0"/>
        <w:ind w:firstLine="480"/>
        <w:rPr>
          <w:rFonts w:cs="Times New Roman"/>
        </w:rPr>
      </w:pPr>
      <w:bookmarkStart w:id="349" w:name="_Toc175668295"/>
      <w:bookmarkStart w:id="350" w:name="_Toc216839061"/>
      <w:bookmarkStart w:id="351" w:name="_Toc211311234"/>
      <w:bookmarkStart w:id="352" w:name="_Toc172998449"/>
      <w:bookmarkStart w:id="353" w:name="_Toc216839614"/>
      <w:bookmarkStart w:id="354" w:name="_Toc172998184"/>
      <w:bookmarkStart w:id="355" w:name="_Toc100630466"/>
      <w:bookmarkStart w:id="356" w:name="_Toc170032578"/>
      <w:bookmarkStart w:id="357" w:name="_Toc114282906"/>
      <w:bookmarkStart w:id="358" w:name="_Toc84903662"/>
      <w:bookmarkStart w:id="359" w:name="_Toc167724083"/>
      <w:bookmarkStart w:id="360" w:name="_Toc211671534"/>
      <w:bookmarkStart w:id="361" w:name="_Toc461101853"/>
      <w:bookmarkStart w:id="362" w:name="_Toc167675534"/>
      <w:bookmarkStart w:id="363" w:name="_Toc166991082"/>
      <w:bookmarkStart w:id="364" w:name="_Toc117890590"/>
      <w:bookmarkStart w:id="365" w:name="_Toc84860484"/>
      <w:r>
        <w:rPr>
          <w:rFonts w:cs="Times New Roman"/>
        </w:rPr>
        <w:t>(1)</w:t>
      </w:r>
      <w:r>
        <w:rPr>
          <w:rFonts w:hint="eastAsia" w:cs="Times New Roman"/>
        </w:rPr>
        <w:t>监测点位、时间及频次</w:t>
      </w:r>
    </w:p>
    <w:p>
      <w:pPr>
        <w:adjustRightInd w:val="0"/>
        <w:snapToGrid w:val="0"/>
        <w:ind w:firstLine="480"/>
        <w:rPr>
          <w:rFonts w:cs="Times New Roman"/>
          <w:bCs/>
        </w:rPr>
      </w:pPr>
      <w:r>
        <w:rPr>
          <w:rFonts w:hint="eastAsia" w:cs="Times New Roman"/>
        </w:rPr>
        <w:t>宁夏华正检测技术有限公司于</w:t>
      </w:r>
      <w:r>
        <w:rPr>
          <w:rFonts w:cs="Times New Roman"/>
          <w:bCs/>
        </w:rPr>
        <w:t>2019</w:t>
      </w:r>
      <w:r>
        <w:rPr>
          <w:rFonts w:hint="eastAsia" w:cs="Times New Roman"/>
          <w:bCs/>
        </w:rPr>
        <w:t>年</w:t>
      </w:r>
      <w:r>
        <w:rPr>
          <w:rFonts w:cs="Times New Roman"/>
          <w:bCs/>
        </w:rPr>
        <w:t>6</w:t>
      </w:r>
      <w:r>
        <w:rPr>
          <w:rFonts w:hint="eastAsia" w:cs="Times New Roman"/>
          <w:bCs/>
        </w:rPr>
        <w:t>月</w:t>
      </w:r>
      <w:r>
        <w:rPr>
          <w:rFonts w:cs="Times New Roman"/>
          <w:bCs/>
        </w:rPr>
        <w:t>11</w:t>
      </w:r>
      <w:r>
        <w:rPr>
          <w:rFonts w:hint="eastAsia" w:cs="Times New Roman"/>
          <w:bCs/>
        </w:rPr>
        <w:t>日</w:t>
      </w:r>
      <w:r>
        <w:rPr>
          <w:rFonts w:cs="Times New Roman"/>
          <w:bCs/>
        </w:rPr>
        <w:t>-6</w:t>
      </w:r>
      <w:r>
        <w:rPr>
          <w:rFonts w:hint="eastAsia" w:cs="Times New Roman"/>
          <w:bCs/>
        </w:rPr>
        <w:t>月</w:t>
      </w:r>
      <w:r>
        <w:rPr>
          <w:rFonts w:cs="Times New Roman"/>
          <w:bCs/>
        </w:rPr>
        <w:t>12</w:t>
      </w:r>
      <w:r>
        <w:rPr>
          <w:rFonts w:hint="eastAsia" w:cs="Times New Roman"/>
          <w:bCs/>
        </w:rPr>
        <w:t>日在项目厂区东、南、西、北四个厂界各布设</w:t>
      </w:r>
      <w:r>
        <w:rPr>
          <w:rFonts w:cs="Times New Roman"/>
          <w:bCs/>
        </w:rPr>
        <w:t>1</w:t>
      </w:r>
      <w:r>
        <w:rPr>
          <w:rFonts w:hint="eastAsia" w:cs="Times New Roman"/>
          <w:bCs/>
        </w:rPr>
        <w:t>个监测点位，合计</w:t>
      </w:r>
      <w:r>
        <w:rPr>
          <w:rFonts w:cs="Times New Roman"/>
          <w:bCs/>
        </w:rPr>
        <w:t>4</w:t>
      </w:r>
      <w:r>
        <w:rPr>
          <w:rFonts w:hint="eastAsia" w:cs="Times New Roman"/>
          <w:bCs/>
        </w:rPr>
        <w:t>个监测点进行了噪声本底监测，昼夜各监测一次。</w:t>
      </w:r>
      <w:r>
        <w:rPr>
          <w:rFonts w:hint="eastAsia"/>
        </w:rPr>
        <w:t>监测点位置图见图</w:t>
      </w:r>
      <w:r>
        <w:t>5.</w:t>
      </w:r>
      <w:r>
        <w:rPr>
          <w:rFonts w:hint="eastAsia"/>
        </w:rPr>
        <w:t>2—</w:t>
      </w:r>
      <w:r>
        <w:t>1</w:t>
      </w:r>
      <w:r>
        <w:rPr>
          <w:rFonts w:hint="eastAsia"/>
        </w:rPr>
        <w:t>。</w:t>
      </w:r>
    </w:p>
    <w:p>
      <w:pPr>
        <w:pStyle w:val="739"/>
        <w:ind w:firstLine="480"/>
        <w:outlineLvl w:val="0"/>
      </w:pPr>
      <w:bookmarkStart w:id="366" w:name="_Toc13582154"/>
      <w:bookmarkStart w:id="367" w:name="_Toc5286333"/>
      <w:bookmarkStart w:id="368" w:name="_Toc13760193"/>
      <w:bookmarkStart w:id="369" w:name="_Toc9403069"/>
      <w:r>
        <w:t>(2)</w:t>
      </w:r>
      <w:r>
        <w:rPr>
          <w:rFonts w:hint="eastAsia"/>
        </w:rPr>
        <w:t>测量仪器及方法</w:t>
      </w:r>
      <w:bookmarkEnd w:id="366"/>
      <w:bookmarkEnd w:id="367"/>
      <w:bookmarkEnd w:id="368"/>
      <w:bookmarkEnd w:id="369"/>
    </w:p>
    <w:p>
      <w:pPr>
        <w:tabs>
          <w:tab w:val="left" w:pos="3615"/>
        </w:tabs>
        <w:adjustRightInd w:val="0"/>
        <w:snapToGrid w:val="0"/>
        <w:ind w:firstLine="480"/>
        <w:rPr>
          <w:rFonts w:cs="Times New Roman"/>
        </w:rPr>
      </w:pPr>
      <w:r>
        <w:rPr>
          <w:rFonts w:hint="eastAsia" w:cs="Times New Roman"/>
        </w:rPr>
        <w:t>监测仪器为多功能声级计</w:t>
      </w:r>
      <w:r>
        <w:rPr>
          <w:rFonts w:cs="Times New Roman"/>
        </w:rPr>
        <w:t>AWA6228YQ-A-XC-003-01</w:t>
      </w:r>
      <w:r>
        <w:rPr>
          <w:rFonts w:hint="eastAsia" w:cs="Times New Roman"/>
        </w:rPr>
        <w:t>和声级校准器</w:t>
      </w:r>
      <w:r>
        <w:rPr>
          <w:rFonts w:cs="Times New Roman"/>
        </w:rPr>
        <w:t>AWA6221AYQ-A-XC-004-01</w:t>
      </w:r>
      <w:r>
        <w:rPr>
          <w:rFonts w:hint="eastAsia" w:cs="Times New Roman"/>
        </w:rPr>
        <w:t>。</w:t>
      </w:r>
    </w:p>
    <w:p>
      <w:pPr>
        <w:adjustRightInd w:val="0"/>
        <w:snapToGrid w:val="0"/>
        <w:ind w:firstLine="480"/>
        <w:rPr>
          <w:rFonts w:cs="Times New Roman"/>
        </w:rPr>
      </w:pPr>
      <w:r>
        <w:rPr>
          <w:rFonts w:hint="eastAsia" w:cs="Times New Roman"/>
        </w:rPr>
        <w:t>拟建厂址厂界噪声按照《声环境质量标准》和《工业企业厂界环境噪声排放标准》规定的方法进行。评价标准执行《声环境质量标准》</w:t>
      </w:r>
      <w:r>
        <w:rPr>
          <w:rFonts w:cs="Times New Roman"/>
        </w:rPr>
        <w:t>(GB3096-2008)3</w:t>
      </w:r>
      <w:r>
        <w:rPr>
          <w:rFonts w:hint="eastAsia" w:cs="Times New Roman"/>
        </w:rPr>
        <w:t>类标准值。</w:t>
      </w:r>
    </w:p>
    <w:p>
      <w:pPr>
        <w:adjustRightInd w:val="0"/>
        <w:snapToGrid w:val="0"/>
        <w:ind w:firstLine="480"/>
        <w:rPr>
          <w:rFonts w:cs="Times New Roman"/>
        </w:rPr>
      </w:pPr>
      <w:r>
        <w:rPr>
          <w:rFonts w:cs="Times New Roman"/>
        </w:rPr>
        <w:t>(3)</w:t>
      </w:r>
      <w:r>
        <w:rPr>
          <w:rFonts w:hint="eastAsia" w:cs="Times New Roman"/>
        </w:rPr>
        <w:t>监测结果</w:t>
      </w:r>
    </w:p>
    <w:p>
      <w:pPr>
        <w:adjustRightInd w:val="0"/>
        <w:snapToGrid w:val="0"/>
        <w:ind w:firstLine="480"/>
        <w:rPr>
          <w:rFonts w:cs="Times New Roman"/>
        </w:rPr>
      </w:pPr>
      <w:r>
        <w:rPr>
          <w:rFonts w:hint="eastAsia" w:cs="Times New Roman"/>
        </w:rPr>
        <w:t>本次监测结果见表</w:t>
      </w:r>
      <w:r>
        <w:rPr>
          <w:rFonts w:cs="Times New Roman"/>
        </w:rPr>
        <w:t>5.2</w:t>
      </w:r>
      <w:r>
        <w:rPr>
          <w:rFonts w:hint="eastAsia" w:cs="Times New Roman"/>
        </w:rPr>
        <w:t>—</w:t>
      </w:r>
      <w:r>
        <w:rPr>
          <w:rFonts w:cs="Times New Roman"/>
        </w:rPr>
        <w:t>1</w:t>
      </w:r>
      <w:r>
        <w:rPr>
          <w:rFonts w:hint="eastAsia" w:cs="Times New Roman"/>
        </w:rPr>
        <w:t>。</w:t>
      </w:r>
    </w:p>
    <w:p>
      <w:pPr>
        <w:spacing w:line="500" w:lineRule="exact"/>
        <w:ind w:firstLine="480"/>
        <w:rPr>
          <w:rFonts w:cs="Times New Roman"/>
          <w:color w:val="000000"/>
          <w:kern w:val="0"/>
          <w:szCs w:val="24"/>
        </w:rPr>
      </w:pPr>
    </w:p>
    <w:p>
      <w:pPr>
        <w:spacing w:line="500" w:lineRule="exact"/>
        <w:ind w:firstLine="480"/>
        <w:rPr>
          <w:rFonts w:cs="Times New Roman"/>
          <w:color w:val="000000"/>
          <w:kern w:val="0"/>
          <w:szCs w:val="24"/>
        </w:rPr>
      </w:pPr>
    </w:p>
    <w:p>
      <w:pPr>
        <w:spacing w:line="500" w:lineRule="exact"/>
        <w:ind w:firstLine="480"/>
        <w:rPr>
          <w:rFonts w:cs="Times New Roman"/>
          <w:color w:val="000000"/>
          <w:kern w:val="0"/>
          <w:szCs w:val="24"/>
        </w:rPr>
        <w:sectPr>
          <w:pgSz w:w="11906" w:h="16838"/>
          <w:pgMar w:top="1418" w:right="1134" w:bottom="1418" w:left="1134" w:header="850" w:footer="850" w:gutter="0"/>
          <w:cols w:space="720" w:num="1"/>
          <w:docGrid w:linePitch="326" w:charSpace="0"/>
        </w:sectPr>
      </w:pPr>
    </w:p>
    <w:p>
      <w:pPr>
        <w:spacing w:line="500" w:lineRule="exact"/>
        <w:ind w:firstLine="480"/>
        <w:rPr>
          <w:rFonts w:cs="Times New Roman"/>
          <w:color w:val="000000"/>
          <w:kern w:val="0"/>
          <w:szCs w:val="24"/>
        </w:rPr>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pPr>
    </w:p>
    <w:p>
      <w:pPr>
        <w:spacing w:line="500" w:lineRule="exact"/>
        <w:ind w:firstLine="480"/>
        <w:rPr>
          <w:rFonts w:cs="Times New Roman"/>
          <w:color w:val="000000"/>
          <w:kern w:val="0"/>
          <w:szCs w:val="24"/>
        </w:rPr>
      </w:pPr>
      <w:r>
        <w:rPr>
          <w:rFonts w:hint="eastAsia"/>
        </w:rPr>
        <w:t>图</w:t>
      </w:r>
      <w:r>
        <w:t>5.</w:t>
      </w:r>
      <w:r>
        <w:rPr>
          <w:rFonts w:hint="eastAsia"/>
        </w:rPr>
        <w:t>2—</w:t>
      </w:r>
      <w:r>
        <w:t>1</w:t>
      </w:r>
      <w:r>
        <w:rPr>
          <w:rFonts w:hint="eastAsia"/>
        </w:rPr>
        <w:t xml:space="preserve">                                噪声和土壤现状监测布点图</w:t>
      </w:r>
    </w:p>
    <w:p>
      <w:pPr>
        <w:spacing w:line="500" w:lineRule="exact"/>
        <w:ind w:firstLine="480"/>
        <w:rPr>
          <w:rFonts w:cs="Times New Roman"/>
          <w:color w:val="000000"/>
          <w:kern w:val="0"/>
          <w:szCs w:val="24"/>
        </w:rPr>
        <w:sectPr>
          <w:pgSz w:w="16838" w:h="11906" w:orient="landscape"/>
          <w:pgMar w:top="1134" w:right="1418" w:bottom="1134" w:left="1418" w:header="850" w:footer="850" w:gutter="0"/>
          <w:cols w:space="720" w:num="1"/>
          <w:docGrid w:linePitch="326" w:charSpace="0"/>
        </w:sectPr>
      </w:pPr>
    </w:p>
    <w:p>
      <w:pPr>
        <w:spacing w:line="500" w:lineRule="exact"/>
        <w:ind w:firstLine="480"/>
        <w:rPr>
          <w:rFonts w:cs="Times New Roman"/>
          <w:color w:val="000000"/>
          <w:kern w:val="0"/>
          <w:szCs w:val="24"/>
        </w:rPr>
      </w:pPr>
      <w:r>
        <w:rPr>
          <w:rFonts w:hint="eastAsia" w:cs="Times New Roman"/>
          <w:color w:val="000000"/>
          <w:kern w:val="0"/>
          <w:szCs w:val="24"/>
        </w:rPr>
        <w:t>表</w:t>
      </w:r>
      <w:r>
        <w:rPr>
          <w:rFonts w:cs="Times New Roman"/>
          <w:color w:val="000000"/>
          <w:kern w:val="0"/>
          <w:szCs w:val="24"/>
        </w:rPr>
        <w:t>5.2</w:t>
      </w:r>
      <w:r>
        <w:rPr>
          <w:rFonts w:hint="eastAsia" w:cs="Times New Roman"/>
          <w:color w:val="000000"/>
          <w:kern w:val="0"/>
          <w:szCs w:val="24"/>
        </w:rPr>
        <w:t>—</w:t>
      </w:r>
      <w:r>
        <w:rPr>
          <w:rFonts w:cs="Times New Roman"/>
          <w:color w:val="000000"/>
          <w:kern w:val="0"/>
          <w:szCs w:val="24"/>
        </w:rPr>
        <w:t xml:space="preserve">1       </w:t>
      </w:r>
      <w:r>
        <w:rPr>
          <w:rFonts w:hint="eastAsia" w:cs="Times New Roman"/>
          <w:color w:val="000000"/>
          <w:kern w:val="0"/>
          <w:szCs w:val="24"/>
        </w:rPr>
        <w:t>厂界噪声监测结果</w:t>
      </w:r>
      <w:r>
        <w:rPr>
          <w:rFonts w:cs="Times New Roman"/>
          <w:color w:val="000000"/>
          <w:kern w:val="0"/>
          <w:szCs w:val="24"/>
        </w:rPr>
        <w:t>(dB(A))</w:t>
      </w:r>
    </w:p>
    <w:tbl>
      <w:tblPr>
        <w:tblStyle w:val="88"/>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467"/>
        <w:gridCol w:w="2482"/>
        <w:gridCol w:w="2211"/>
        <w:gridCol w:w="212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restart"/>
            <w:tcBorders>
              <w:top w:val="single" w:color="auto" w:sz="12" w:space="0"/>
              <w:left w:val="nil"/>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监测时间</w:t>
            </w:r>
          </w:p>
        </w:tc>
        <w:tc>
          <w:tcPr>
            <w:tcW w:w="2482" w:type="dxa"/>
            <w:vMerge w:val="restart"/>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监测点位</w:t>
            </w:r>
          </w:p>
        </w:tc>
        <w:tc>
          <w:tcPr>
            <w:tcW w:w="4337" w:type="dxa"/>
            <w:gridSpan w:val="2"/>
            <w:tcBorders>
              <w:top w:val="single" w:color="auto" w:sz="12"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监测结果</w:t>
            </w:r>
            <w:r>
              <w:rPr>
                <w:rFonts w:cs="Times New Roman"/>
                <w:sz w:val="21"/>
              </w:rPr>
              <w:t>L</w:t>
            </w:r>
            <w:r>
              <w:rPr>
                <w:rFonts w:cs="Times New Roman"/>
                <w:sz w:val="21"/>
                <w:vertAlign w:val="subscript"/>
              </w:rPr>
              <w:t>Aeq</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continue"/>
            <w:tcBorders>
              <w:top w:val="single" w:color="auto" w:sz="12" w:space="0"/>
              <w:left w:val="nil"/>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2482"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2211"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昼间</w:t>
            </w:r>
          </w:p>
        </w:tc>
        <w:tc>
          <w:tcPr>
            <w:tcW w:w="2126" w:type="dxa"/>
            <w:tcBorders>
              <w:top w:val="dotted" w:color="auto" w:sz="4" w:space="0"/>
              <w:left w:val="dotted" w:color="auto" w:sz="4" w:space="0"/>
              <w:bottom w:val="single" w:color="auto" w:sz="12"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夜间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restart"/>
            <w:tcBorders>
              <w:top w:val="single" w:color="auto" w:sz="12" w:space="0"/>
              <w:left w:val="nil"/>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2019</w:t>
            </w:r>
            <w:r>
              <w:rPr>
                <w:rFonts w:hint="eastAsia" w:cs="Times New Roman"/>
                <w:sz w:val="21"/>
              </w:rPr>
              <w:t>年</w:t>
            </w:r>
            <w:r>
              <w:rPr>
                <w:rFonts w:cs="Times New Roman"/>
                <w:sz w:val="21"/>
              </w:rPr>
              <w:t>6</w:t>
            </w:r>
            <w:r>
              <w:rPr>
                <w:rFonts w:hint="eastAsia" w:cs="Times New Roman"/>
                <w:sz w:val="21"/>
              </w:rPr>
              <w:t>月</w:t>
            </w:r>
            <w:r>
              <w:rPr>
                <w:rFonts w:cs="Times New Roman"/>
                <w:sz w:val="21"/>
              </w:rPr>
              <w:t>11</w:t>
            </w:r>
            <w:r>
              <w:rPr>
                <w:rFonts w:hint="eastAsia" w:cs="Times New Roman"/>
                <w:sz w:val="21"/>
              </w:rPr>
              <w:t>日</w:t>
            </w:r>
          </w:p>
        </w:tc>
        <w:tc>
          <w:tcPr>
            <w:tcW w:w="2482"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厂区东侧</w:t>
            </w:r>
            <w:r>
              <w:rPr>
                <w:rFonts w:cs="Times New Roman"/>
                <w:sz w:val="21"/>
              </w:rPr>
              <w:t>(1#)</w:t>
            </w:r>
          </w:p>
        </w:tc>
        <w:tc>
          <w:tcPr>
            <w:tcW w:w="2211"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53</w:t>
            </w:r>
          </w:p>
        </w:tc>
        <w:tc>
          <w:tcPr>
            <w:tcW w:w="2126" w:type="dxa"/>
            <w:tcBorders>
              <w:top w:val="single" w:color="auto" w:sz="12"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50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sz w:val="21"/>
              </w:rPr>
            </w:pPr>
          </w:p>
        </w:tc>
        <w:tc>
          <w:tcPr>
            <w:tcW w:w="248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厂区南侧</w:t>
            </w:r>
            <w:r>
              <w:rPr>
                <w:rFonts w:cs="Times New Roman"/>
                <w:sz w:val="21"/>
              </w:rPr>
              <w:t>(2#)</w:t>
            </w:r>
          </w:p>
        </w:tc>
        <w:tc>
          <w:tcPr>
            <w:tcW w:w="221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52</w:t>
            </w:r>
          </w:p>
        </w:tc>
        <w:tc>
          <w:tcPr>
            <w:tcW w:w="212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50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sz w:val="21"/>
              </w:rPr>
            </w:pPr>
          </w:p>
        </w:tc>
        <w:tc>
          <w:tcPr>
            <w:tcW w:w="248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厂区西侧</w:t>
            </w:r>
            <w:r>
              <w:rPr>
                <w:rFonts w:cs="Times New Roman"/>
                <w:sz w:val="21"/>
              </w:rPr>
              <w:t>(3#)</w:t>
            </w:r>
          </w:p>
        </w:tc>
        <w:tc>
          <w:tcPr>
            <w:tcW w:w="221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54</w:t>
            </w:r>
          </w:p>
        </w:tc>
        <w:tc>
          <w:tcPr>
            <w:tcW w:w="212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51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sz w:val="21"/>
              </w:rPr>
            </w:pPr>
          </w:p>
        </w:tc>
        <w:tc>
          <w:tcPr>
            <w:tcW w:w="248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厂区北侧</w:t>
            </w:r>
            <w:r>
              <w:rPr>
                <w:rFonts w:cs="Times New Roman"/>
                <w:sz w:val="21"/>
              </w:rPr>
              <w:t>(4#)</w:t>
            </w:r>
          </w:p>
        </w:tc>
        <w:tc>
          <w:tcPr>
            <w:tcW w:w="221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54</w:t>
            </w:r>
          </w:p>
        </w:tc>
        <w:tc>
          <w:tcPr>
            <w:tcW w:w="212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51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restart"/>
            <w:tcBorders>
              <w:top w:val="dotted" w:color="auto" w:sz="4" w:space="0"/>
              <w:left w:val="nil"/>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2019</w:t>
            </w:r>
            <w:r>
              <w:rPr>
                <w:rFonts w:hint="eastAsia" w:cs="Times New Roman"/>
                <w:sz w:val="21"/>
              </w:rPr>
              <w:t>年</w:t>
            </w:r>
            <w:r>
              <w:rPr>
                <w:rFonts w:cs="Times New Roman"/>
                <w:sz w:val="21"/>
              </w:rPr>
              <w:t>6</w:t>
            </w:r>
            <w:r>
              <w:rPr>
                <w:rFonts w:hint="eastAsia" w:cs="Times New Roman"/>
                <w:sz w:val="21"/>
              </w:rPr>
              <w:t>月</w:t>
            </w:r>
            <w:r>
              <w:rPr>
                <w:rFonts w:cs="Times New Roman"/>
                <w:sz w:val="21"/>
              </w:rPr>
              <w:t>12</w:t>
            </w:r>
            <w:r>
              <w:rPr>
                <w:rFonts w:hint="eastAsia" w:cs="Times New Roman"/>
                <w:sz w:val="21"/>
              </w:rPr>
              <w:t>日</w:t>
            </w:r>
          </w:p>
        </w:tc>
        <w:tc>
          <w:tcPr>
            <w:tcW w:w="248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厂区东侧</w:t>
            </w:r>
            <w:r>
              <w:rPr>
                <w:rFonts w:cs="Times New Roman"/>
                <w:sz w:val="21"/>
              </w:rPr>
              <w:t>(1#)</w:t>
            </w:r>
          </w:p>
        </w:tc>
        <w:tc>
          <w:tcPr>
            <w:tcW w:w="221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55</w:t>
            </w:r>
          </w:p>
        </w:tc>
        <w:tc>
          <w:tcPr>
            <w:tcW w:w="212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52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sz w:val="21"/>
              </w:rPr>
            </w:pPr>
          </w:p>
        </w:tc>
        <w:tc>
          <w:tcPr>
            <w:tcW w:w="248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厂区南侧</w:t>
            </w:r>
            <w:r>
              <w:rPr>
                <w:rFonts w:cs="Times New Roman"/>
                <w:sz w:val="21"/>
              </w:rPr>
              <w:t>(2#)</w:t>
            </w:r>
          </w:p>
        </w:tc>
        <w:tc>
          <w:tcPr>
            <w:tcW w:w="221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53</w:t>
            </w:r>
          </w:p>
        </w:tc>
        <w:tc>
          <w:tcPr>
            <w:tcW w:w="212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52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sz w:val="21"/>
              </w:rPr>
            </w:pPr>
          </w:p>
        </w:tc>
        <w:tc>
          <w:tcPr>
            <w:tcW w:w="248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厂区西侧</w:t>
            </w:r>
            <w:r>
              <w:rPr>
                <w:rFonts w:cs="Times New Roman"/>
                <w:sz w:val="21"/>
              </w:rPr>
              <w:t>(3#)</w:t>
            </w:r>
          </w:p>
        </w:tc>
        <w:tc>
          <w:tcPr>
            <w:tcW w:w="221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56</w:t>
            </w:r>
          </w:p>
        </w:tc>
        <w:tc>
          <w:tcPr>
            <w:tcW w:w="212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52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7"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sz w:val="21"/>
              </w:rPr>
            </w:pPr>
          </w:p>
        </w:tc>
        <w:tc>
          <w:tcPr>
            <w:tcW w:w="248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厂区北侧</w:t>
            </w:r>
            <w:r>
              <w:rPr>
                <w:rFonts w:cs="Times New Roman"/>
                <w:sz w:val="21"/>
              </w:rPr>
              <w:t>(4#)</w:t>
            </w:r>
          </w:p>
        </w:tc>
        <w:tc>
          <w:tcPr>
            <w:tcW w:w="221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55</w:t>
            </w:r>
          </w:p>
        </w:tc>
        <w:tc>
          <w:tcPr>
            <w:tcW w:w="212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51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4949" w:type="dxa"/>
            <w:gridSpan w:val="2"/>
            <w:tcBorders>
              <w:top w:val="dotted" w:color="auto" w:sz="4" w:space="0"/>
              <w:left w:val="nil"/>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标准限值</w:t>
            </w:r>
          </w:p>
        </w:tc>
        <w:tc>
          <w:tcPr>
            <w:tcW w:w="221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65</w:t>
            </w:r>
          </w:p>
        </w:tc>
        <w:tc>
          <w:tcPr>
            <w:tcW w:w="212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55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4949" w:type="dxa"/>
            <w:gridSpan w:val="2"/>
            <w:tcBorders>
              <w:top w:val="dotted" w:color="auto" w:sz="4" w:space="0"/>
              <w:left w:val="nil"/>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达标情况</w:t>
            </w:r>
          </w:p>
        </w:tc>
        <w:tc>
          <w:tcPr>
            <w:tcW w:w="2211"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c>
          <w:tcPr>
            <w:tcW w:w="2126" w:type="dxa"/>
            <w:tcBorders>
              <w:top w:val="dotted" w:color="auto" w:sz="4" w:space="0"/>
              <w:left w:val="dotted" w:color="auto" w:sz="4" w:space="0"/>
              <w:bottom w:val="single" w:color="auto" w:sz="12"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tbl>
    <w:p>
      <w:pPr>
        <w:adjustRightInd w:val="0"/>
        <w:snapToGrid w:val="0"/>
        <w:ind w:firstLine="480"/>
      </w:pPr>
      <w:r>
        <w:rPr>
          <w:rFonts w:hint="eastAsia"/>
        </w:rPr>
        <w:t>由上表可以看出，本项目拟建厂址周围的声环境质量等效</w:t>
      </w:r>
      <w:r>
        <w:t>A</w:t>
      </w:r>
      <w:r>
        <w:rPr>
          <w:rFonts w:hint="eastAsia"/>
        </w:rPr>
        <w:t>声级昼间在</w:t>
      </w:r>
      <w:r>
        <w:t>52~56dB(A)</w:t>
      </w:r>
      <w:r>
        <w:rPr>
          <w:rFonts w:hint="eastAsia"/>
        </w:rPr>
        <w:t>之间，夜间在</w:t>
      </w:r>
      <w:r>
        <w:t>50~52dB(A)</w:t>
      </w:r>
      <w:r>
        <w:rPr>
          <w:rFonts w:hint="eastAsia"/>
        </w:rPr>
        <w:t>之间，符合《声环境质量标准》</w:t>
      </w:r>
      <w:r>
        <w:t>(GB3096-2008)3</w:t>
      </w:r>
      <w:r>
        <w:rPr>
          <w:rFonts w:hint="eastAsia"/>
        </w:rPr>
        <w:t>类标准要求，评价区声环境质量状况良好。</w:t>
      </w:r>
    </w:p>
    <w:p>
      <w:pPr>
        <w:pStyle w:val="4"/>
      </w:pPr>
      <w:bookmarkStart w:id="370" w:name="_Toc13760194"/>
      <w:r>
        <w:t>5.3</w:t>
      </w:r>
      <w:r>
        <w:rPr>
          <w:rFonts w:hint="eastAsia"/>
        </w:rPr>
        <w:t>水环境质量现状</w:t>
      </w:r>
      <w:bookmarkEnd w:id="370"/>
    </w:p>
    <w:p>
      <w:pPr>
        <w:pStyle w:val="5"/>
        <w:snapToGrid w:val="0"/>
      </w:pPr>
      <w:bookmarkStart w:id="371" w:name="_Toc503368940"/>
      <w:bookmarkStart w:id="372" w:name="_Toc13760195"/>
      <w:r>
        <w:rPr>
          <w:szCs w:val="24"/>
        </w:rPr>
        <w:t>5.3.1</w:t>
      </w:r>
      <w:r>
        <w:rPr>
          <w:rFonts w:hint="eastAsia"/>
          <w:szCs w:val="24"/>
        </w:rPr>
        <w:t>地下水水质监测</w:t>
      </w:r>
      <w:bookmarkEnd w:id="371"/>
      <w:bookmarkEnd w:id="372"/>
    </w:p>
    <w:p>
      <w:pPr>
        <w:pStyle w:val="6"/>
      </w:pPr>
      <w:r>
        <w:t xml:space="preserve">5.3.1.1 </w:t>
      </w:r>
      <w:r>
        <w:rPr>
          <w:rFonts w:hint="eastAsia"/>
        </w:rPr>
        <w:t>监测布点</w:t>
      </w:r>
    </w:p>
    <w:p>
      <w:pPr>
        <w:snapToGrid w:val="0"/>
        <w:ind w:firstLine="480"/>
      </w:pPr>
      <w:r>
        <w:rPr>
          <w:rFonts w:hint="eastAsia"/>
        </w:rPr>
        <w:t>本项目所在区域企业和居民点皆从孪井滩供水，企业和居民点不自己施工饮用水井。填埋场所在基岩山区地层基岩裂隙发育极不均匀，监测井难以布置。根据《环境影响评价技术导则地下水环境》</w:t>
      </w:r>
      <w:r>
        <w:t>(HJ610 2016)</w:t>
      </w:r>
      <w:r>
        <w:rPr>
          <w:rFonts w:hint="eastAsia"/>
        </w:rPr>
        <w:t>中“</w:t>
      </w:r>
      <w:r>
        <w:t xml:space="preserve">8.3.3.3 </w:t>
      </w:r>
      <w:r>
        <w:rPr>
          <w:rFonts w:hint="eastAsia"/>
        </w:rPr>
        <w:t>现状监测点的布设原则</w:t>
      </w:r>
      <w:r>
        <w:t>f)</w:t>
      </w:r>
      <w:r>
        <w:rPr>
          <w:rFonts w:hint="eastAsia"/>
        </w:rPr>
        <w:t>在包气带厚度超过</w:t>
      </w:r>
      <w:r>
        <w:t>100m</w:t>
      </w:r>
      <w:r>
        <w:rPr>
          <w:rFonts w:hint="eastAsia"/>
        </w:rPr>
        <w:t>的评价区或监测井较难布置的基岩山区，地下水质监测点数无法满足</w:t>
      </w:r>
      <w:r>
        <w:t>d)</w:t>
      </w:r>
      <w:r>
        <w:rPr>
          <w:rFonts w:hint="eastAsia"/>
        </w:rPr>
        <w:t>要求时，可视情况调整数量，并说明调整理由。一般情况下，该类地区一、二级评价项目至少设置</w:t>
      </w:r>
      <w:r>
        <w:t xml:space="preserve">3 </w:t>
      </w:r>
      <w:r>
        <w:rPr>
          <w:rFonts w:hint="eastAsia"/>
        </w:rPr>
        <w:t>个监测点，三级评价项目根据需要设置一定数量的监测点。”，本次评价共布置</w:t>
      </w:r>
      <w:r>
        <w:t>4</w:t>
      </w:r>
      <w:r>
        <w:rPr>
          <w:rFonts w:hint="eastAsia"/>
        </w:rPr>
        <w:t>眼现状监测井，符合导则要求。其中，</w:t>
      </w:r>
      <w:r>
        <w:t>1#</w:t>
      </w:r>
      <w:r>
        <w:rPr>
          <w:rFonts w:hint="eastAsia"/>
        </w:rPr>
        <w:t>和</w:t>
      </w:r>
      <w:r>
        <w:t>2#</w:t>
      </w:r>
      <w:r>
        <w:rPr>
          <w:rFonts w:hint="eastAsia"/>
        </w:rPr>
        <w:t>地下水监测数据引用自阿拉善盟环境监测站于</w:t>
      </w:r>
      <w:r>
        <w:t>2015</w:t>
      </w:r>
      <w:r>
        <w:rPr>
          <w:rFonts w:hint="eastAsia"/>
        </w:rPr>
        <w:t>年</w:t>
      </w:r>
      <w:r>
        <w:t>4</w:t>
      </w:r>
      <w:r>
        <w:rPr>
          <w:rFonts w:hint="eastAsia"/>
        </w:rPr>
        <w:t>月编制完成的《内蒙古莱科化学有限公司年产</w:t>
      </w:r>
      <w:r>
        <w:t>4</w:t>
      </w:r>
      <w:r>
        <w:rPr>
          <w:rFonts w:hint="eastAsia"/>
        </w:rPr>
        <w:t>万吨精细化工产品建设项目地下水环境现状监测报告》。</w:t>
      </w:r>
      <w:r>
        <w:t>3#</w:t>
      </w:r>
      <w:r>
        <w:rPr>
          <w:rFonts w:hint="eastAsia"/>
        </w:rPr>
        <w:t>和</w:t>
      </w:r>
      <w:r>
        <w:t>4#</w:t>
      </w:r>
      <w:r>
        <w:rPr>
          <w:rFonts w:hint="eastAsia"/>
        </w:rPr>
        <w:t>监测数据于</w:t>
      </w:r>
      <w:r>
        <w:t>2017</w:t>
      </w:r>
      <w:r>
        <w:rPr>
          <w:rFonts w:hint="eastAsia"/>
        </w:rPr>
        <w:t>年</w:t>
      </w:r>
      <w:r>
        <w:t>12</w:t>
      </w:r>
      <w:r>
        <w:rPr>
          <w:rFonts w:hint="eastAsia"/>
        </w:rPr>
        <w:t>月</w:t>
      </w:r>
      <w:r>
        <w:t>5</w:t>
      </w:r>
      <w:r>
        <w:rPr>
          <w:rFonts w:hint="eastAsia"/>
        </w:rPr>
        <w:t>日进行补测，具体见表</w:t>
      </w:r>
      <w:r>
        <w:t>5.3</w:t>
      </w:r>
      <w:r>
        <w:rPr>
          <w:rFonts w:hint="eastAsia"/>
        </w:rPr>
        <w:t>—</w:t>
      </w:r>
      <w:r>
        <w:t>1</w:t>
      </w:r>
      <w:r>
        <w:rPr>
          <w:rFonts w:hint="eastAsia"/>
        </w:rPr>
        <w:t>和图</w:t>
      </w:r>
      <w:r>
        <w:t>5.3</w:t>
      </w:r>
      <w:r>
        <w:rPr>
          <w:rFonts w:hint="eastAsia"/>
        </w:rPr>
        <w:t>—</w:t>
      </w:r>
      <w:r>
        <w:t>1</w:t>
      </w:r>
      <w:r>
        <w:rPr>
          <w:rFonts w:hint="eastAsia"/>
        </w:rPr>
        <w:t>。</w:t>
      </w:r>
    </w:p>
    <w:p>
      <w:pPr>
        <w:snapToGrid w:val="0"/>
        <w:ind w:firstLine="480"/>
      </w:pPr>
    </w:p>
    <w:p>
      <w:pPr>
        <w:snapToGrid w:val="0"/>
        <w:ind w:firstLine="480"/>
      </w:pPr>
    </w:p>
    <w:p>
      <w:pPr>
        <w:snapToGrid w:val="0"/>
        <w:ind w:firstLine="480"/>
      </w:pPr>
    </w:p>
    <w:p>
      <w:pPr>
        <w:snapToGrid w:val="0"/>
        <w:ind w:firstLine="480"/>
      </w:pPr>
    </w:p>
    <w:p>
      <w:pPr>
        <w:snapToGrid w:val="0"/>
        <w:ind w:firstLine="480"/>
      </w:pPr>
      <w:r>
        <w:rPr>
          <w:rFonts w:hint="eastAsia"/>
        </w:rPr>
        <w:t>表</w:t>
      </w:r>
      <w:r>
        <w:t>5.3</w:t>
      </w:r>
      <w:r>
        <w:rPr>
          <w:rFonts w:hint="eastAsia"/>
        </w:rPr>
        <w:t>—</w:t>
      </w:r>
      <w:r>
        <w:t xml:space="preserve">1      </w:t>
      </w:r>
      <w:r>
        <w:rPr>
          <w:rFonts w:hint="eastAsia"/>
        </w:rPr>
        <w:t>地下水监测点布设表</w:t>
      </w:r>
    </w:p>
    <w:tbl>
      <w:tblPr>
        <w:tblStyle w:val="181"/>
        <w:tblW w:w="9070"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98"/>
        <w:gridCol w:w="1076"/>
        <w:gridCol w:w="2262"/>
        <w:gridCol w:w="1959"/>
        <w:gridCol w:w="837"/>
        <w:gridCol w:w="1120"/>
        <w:gridCol w:w="111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624" w:hRule="atLeast"/>
        </w:trPr>
        <w:tc>
          <w:tcPr>
            <w:tcW w:w="698" w:type="dxa"/>
            <w:tcBorders>
              <w:top w:val="single" w:color="auto" w:sz="12" w:space="0"/>
              <w:left w:val="nil"/>
              <w:bottom w:val="single" w:color="auto" w:sz="12" w:space="0"/>
              <w:right w:val="dotted" w:color="auto" w:sz="4" w:space="0"/>
              <w:insideV w:val="dotted" w:sz="4" w:space="0"/>
              <w:tl2br w:val="nil"/>
              <w:tr2bl w:val="nil"/>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编号</w:t>
            </w:r>
          </w:p>
        </w:tc>
        <w:tc>
          <w:tcPr>
            <w:tcW w:w="1076" w:type="dxa"/>
            <w:tcBorders>
              <w:top w:val="single" w:color="auto" w:sz="12" w:space="0"/>
              <w:bottom w:val="single" w:color="auto" w:sz="12" w:space="0"/>
              <w:right w:val="dotted" w:color="auto" w:sz="4" w:space="0"/>
              <w:insideV w:val="dotted" w:sz="4" w:space="0"/>
              <w:tl2br w:val="nil"/>
              <w:tr2bl w:val="nil"/>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用途</w:t>
            </w:r>
          </w:p>
        </w:tc>
        <w:tc>
          <w:tcPr>
            <w:tcW w:w="2262" w:type="dxa"/>
            <w:tcBorders>
              <w:top w:val="single" w:color="auto" w:sz="12" w:space="0"/>
              <w:bottom w:val="single" w:color="auto" w:sz="12" w:space="0"/>
              <w:right w:val="dotted" w:color="auto" w:sz="4" w:space="0"/>
              <w:insideV w:val="dotted" w:sz="4" w:space="0"/>
              <w:tl2br w:val="nil"/>
              <w:tr2bl w:val="nil"/>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与处置厂方位和距离</w:t>
            </w:r>
          </w:p>
        </w:tc>
        <w:tc>
          <w:tcPr>
            <w:tcW w:w="1959" w:type="dxa"/>
            <w:tcBorders>
              <w:top w:val="single" w:color="auto" w:sz="12" w:space="0"/>
              <w:bottom w:val="single" w:color="auto" w:sz="12" w:space="0"/>
              <w:right w:val="dotted" w:color="auto" w:sz="4" w:space="0"/>
              <w:insideV w:val="dotted" w:sz="4" w:space="0"/>
              <w:tl2br w:val="nil"/>
              <w:tr2bl w:val="nil"/>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相对填埋场方位和距离</w:t>
            </w:r>
          </w:p>
        </w:tc>
        <w:tc>
          <w:tcPr>
            <w:tcW w:w="837" w:type="dxa"/>
            <w:tcBorders>
              <w:top w:val="single" w:color="auto" w:sz="12" w:space="0"/>
              <w:bottom w:val="single" w:color="auto" w:sz="12" w:space="0"/>
              <w:right w:val="dotted" w:color="auto" w:sz="4" w:space="0"/>
              <w:insideV w:val="dotted" w:sz="4" w:space="0"/>
              <w:tl2br w:val="nil"/>
              <w:tr2bl w:val="nil"/>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井深</w:t>
            </w:r>
          </w:p>
          <w:p>
            <w:pPr>
              <w:spacing w:line="240" w:lineRule="auto"/>
              <w:ind w:firstLine="0" w:firstLineChars="0"/>
              <w:rPr>
                <w:rFonts w:ascii="宋体" w:hAnsi="宋体" w:cs="宋体"/>
                <w:kern w:val="0"/>
                <w:sz w:val="21"/>
                <w:szCs w:val="20"/>
              </w:rPr>
            </w:pPr>
            <w:r>
              <w:rPr>
                <w:rFonts w:hint="eastAsia" w:ascii="宋体" w:hAnsi="宋体" w:cs="宋体"/>
                <w:kern w:val="0"/>
                <w:sz w:val="21"/>
                <w:szCs w:val="20"/>
              </w:rPr>
              <w:t>(m)</w:t>
            </w:r>
          </w:p>
        </w:tc>
        <w:tc>
          <w:tcPr>
            <w:tcW w:w="1120" w:type="dxa"/>
            <w:tcBorders>
              <w:top w:val="single" w:color="auto" w:sz="12" w:space="0"/>
              <w:bottom w:val="single" w:color="auto" w:sz="12" w:space="0"/>
              <w:right w:val="dotted" w:color="auto" w:sz="4" w:space="0"/>
              <w:insideV w:val="dotted" w:sz="4" w:space="0"/>
              <w:tl2br w:val="nil"/>
              <w:tr2bl w:val="nil"/>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压力水头埋深(m)</w:t>
            </w:r>
          </w:p>
        </w:tc>
        <w:tc>
          <w:tcPr>
            <w:tcW w:w="1118" w:type="dxa"/>
            <w:tcBorders>
              <w:top w:val="single" w:color="auto" w:sz="12" w:space="0"/>
              <w:bottom w:val="single" w:color="auto" w:sz="12" w:space="0"/>
              <w:right w:val="nil"/>
              <w:insideV w:val="dotted" w:sz="4" w:space="0"/>
              <w:tl2br w:val="nil"/>
              <w:tr2bl w:val="nil"/>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监测含水层</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64" w:hRule="atLeast"/>
        </w:trPr>
        <w:tc>
          <w:tcPr>
            <w:tcW w:w="698" w:type="dxa"/>
            <w:tcBorders>
              <w:top w:val="single" w:color="auto" w:sz="12" w:space="0"/>
              <w:left w:val="nil"/>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1#</w:t>
            </w:r>
          </w:p>
        </w:tc>
        <w:tc>
          <w:tcPr>
            <w:tcW w:w="1076" w:type="dxa"/>
            <w:vMerge w:val="restart"/>
            <w:tcBorders>
              <w:top w:val="single" w:color="auto" w:sz="12" w:space="0"/>
              <w:left w:val="dotted" w:color="auto" w:sz="4" w:space="0"/>
              <w:bottom w:val="single" w:color="auto" w:sz="12"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弃用的居民用水井</w:t>
            </w:r>
          </w:p>
        </w:tc>
        <w:tc>
          <w:tcPr>
            <w:tcW w:w="2262" w:type="dxa"/>
            <w:tcBorders>
              <w:top w:val="single" w:color="auto" w:sz="12"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S 1.35km 下游</w:t>
            </w:r>
          </w:p>
        </w:tc>
        <w:tc>
          <w:tcPr>
            <w:tcW w:w="1959" w:type="dxa"/>
            <w:tcBorders>
              <w:top w:val="single" w:color="auto" w:sz="12"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SW 9.78km 下游</w:t>
            </w:r>
          </w:p>
        </w:tc>
        <w:tc>
          <w:tcPr>
            <w:tcW w:w="837" w:type="dxa"/>
            <w:tcBorders>
              <w:top w:val="single" w:color="auto" w:sz="12"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220</w:t>
            </w:r>
          </w:p>
        </w:tc>
        <w:tc>
          <w:tcPr>
            <w:tcW w:w="1120" w:type="dxa"/>
            <w:tcBorders>
              <w:top w:val="single" w:color="auto" w:sz="12"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21</w:t>
            </w:r>
          </w:p>
        </w:tc>
        <w:tc>
          <w:tcPr>
            <w:tcW w:w="1118" w:type="dxa"/>
            <w:vMerge w:val="restart"/>
            <w:tcBorders>
              <w:top w:val="single" w:color="auto" w:sz="12" w:space="0"/>
              <w:left w:val="dotted" w:color="auto" w:sz="4" w:space="0"/>
              <w:bottom w:val="single" w:color="auto" w:sz="12" w:space="0"/>
              <w:right w:val="nil"/>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第Ⅱ含水层</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382" w:hRule="atLeast"/>
        </w:trPr>
        <w:tc>
          <w:tcPr>
            <w:tcW w:w="698" w:type="dxa"/>
            <w:tcBorders>
              <w:top w:val="dotted" w:color="auto" w:sz="4" w:space="0"/>
              <w:left w:val="nil"/>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2#</w:t>
            </w:r>
          </w:p>
        </w:tc>
        <w:tc>
          <w:tcPr>
            <w:tcW w:w="1076"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ascii="宋体" w:hAnsi="宋体" w:cs="宋体"/>
                <w:kern w:val="0"/>
                <w:sz w:val="21"/>
                <w:szCs w:val="20"/>
              </w:rPr>
            </w:pPr>
          </w:p>
        </w:tc>
        <w:tc>
          <w:tcPr>
            <w:tcW w:w="226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S 1.90km 下游</w:t>
            </w:r>
          </w:p>
        </w:tc>
        <w:tc>
          <w:tcPr>
            <w:tcW w:w="1959"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SW 9.86km 下游</w:t>
            </w:r>
          </w:p>
        </w:tc>
        <w:tc>
          <w:tcPr>
            <w:tcW w:w="837"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320</w:t>
            </w:r>
          </w:p>
        </w:tc>
        <w:tc>
          <w:tcPr>
            <w:tcW w:w="1120"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18</w:t>
            </w:r>
          </w:p>
        </w:tc>
        <w:tc>
          <w:tcPr>
            <w:tcW w:w="1118" w:type="dxa"/>
            <w:vMerge w:val="continue"/>
            <w:tcBorders>
              <w:top w:val="single" w:color="auto" w:sz="12" w:space="0"/>
              <w:left w:val="dotted" w:color="auto" w:sz="4" w:space="0"/>
              <w:bottom w:val="single" w:color="auto" w:sz="12" w:space="0"/>
              <w:right w:val="nil"/>
            </w:tcBorders>
            <w:vAlign w:val="center"/>
          </w:tcPr>
          <w:p>
            <w:pPr>
              <w:widowControl/>
              <w:spacing w:line="240" w:lineRule="auto"/>
              <w:ind w:firstLine="0" w:firstLineChars="0"/>
              <w:jc w:val="left"/>
              <w:rPr>
                <w:rFonts w:ascii="宋体" w:hAnsi="宋体" w:cs="宋体"/>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382" w:hRule="atLeast"/>
        </w:trPr>
        <w:tc>
          <w:tcPr>
            <w:tcW w:w="698" w:type="dxa"/>
            <w:tcBorders>
              <w:top w:val="dotted" w:color="auto" w:sz="4" w:space="0"/>
              <w:left w:val="nil"/>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3#</w:t>
            </w:r>
          </w:p>
        </w:tc>
        <w:tc>
          <w:tcPr>
            <w:tcW w:w="1076"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ascii="宋体" w:hAnsi="宋体" w:cs="宋体"/>
                <w:kern w:val="0"/>
                <w:sz w:val="21"/>
                <w:szCs w:val="20"/>
              </w:rPr>
            </w:pPr>
          </w:p>
        </w:tc>
        <w:tc>
          <w:tcPr>
            <w:tcW w:w="2262"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N 9.38km 上游</w:t>
            </w:r>
          </w:p>
        </w:tc>
        <w:tc>
          <w:tcPr>
            <w:tcW w:w="1959"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SW2.84km 下游</w:t>
            </w:r>
          </w:p>
        </w:tc>
        <w:tc>
          <w:tcPr>
            <w:tcW w:w="837"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250</w:t>
            </w:r>
          </w:p>
        </w:tc>
        <w:tc>
          <w:tcPr>
            <w:tcW w:w="1120" w:type="dxa"/>
            <w:tcBorders>
              <w:top w:val="dotted" w:color="auto" w:sz="4" w:space="0"/>
              <w:left w:val="dotted" w:color="auto" w:sz="4" w:space="0"/>
              <w:bottom w:val="dotted" w:color="auto" w:sz="4"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25</w:t>
            </w:r>
          </w:p>
        </w:tc>
        <w:tc>
          <w:tcPr>
            <w:tcW w:w="1118" w:type="dxa"/>
            <w:vMerge w:val="continue"/>
            <w:tcBorders>
              <w:top w:val="single" w:color="auto" w:sz="12" w:space="0"/>
              <w:left w:val="dotted" w:color="auto" w:sz="4" w:space="0"/>
              <w:bottom w:val="single" w:color="auto" w:sz="12" w:space="0"/>
              <w:right w:val="nil"/>
            </w:tcBorders>
            <w:vAlign w:val="center"/>
          </w:tcPr>
          <w:p>
            <w:pPr>
              <w:widowControl/>
              <w:spacing w:line="240" w:lineRule="auto"/>
              <w:ind w:firstLine="0" w:firstLineChars="0"/>
              <w:jc w:val="left"/>
              <w:rPr>
                <w:rFonts w:ascii="宋体" w:hAnsi="宋体" w:cs="宋体"/>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382" w:hRule="atLeast"/>
        </w:trPr>
        <w:tc>
          <w:tcPr>
            <w:tcW w:w="698" w:type="dxa"/>
            <w:tcBorders>
              <w:top w:val="dotted" w:color="auto" w:sz="4" w:space="0"/>
              <w:left w:val="nil"/>
              <w:bottom w:val="single" w:color="auto" w:sz="12"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4#</w:t>
            </w:r>
          </w:p>
        </w:tc>
        <w:tc>
          <w:tcPr>
            <w:tcW w:w="1076"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ascii="宋体" w:hAnsi="宋体" w:cs="宋体"/>
                <w:kern w:val="0"/>
                <w:sz w:val="21"/>
                <w:szCs w:val="20"/>
              </w:rPr>
            </w:pPr>
          </w:p>
        </w:tc>
        <w:tc>
          <w:tcPr>
            <w:tcW w:w="2262" w:type="dxa"/>
            <w:tcBorders>
              <w:top w:val="dotted" w:color="auto" w:sz="4" w:space="0"/>
              <w:left w:val="dotted" w:color="auto" w:sz="4" w:space="0"/>
              <w:bottom w:val="single" w:color="auto" w:sz="12"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N 6.32km 上游</w:t>
            </w:r>
          </w:p>
        </w:tc>
        <w:tc>
          <w:tcPr>
            <w:tcW w:w="1959" w:type="dxa"/>
            <w:tcBorders>
              <w:top w:val="dotted" w:color="auto" w:sz="4" w:space="0"/>
              <w:left w:val="dotted" w:color="auto" w:sz="4" w:space="0"/>
              <w:bottom w:val="single" w:color="auto" w:sz="12"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NW 3.52km 侧向</w:t>
            </w:r>
          </w:p>
        </w:tc>
        <w:tc>
          <w:tcPr>
            <w:tcW w:w="837" w:type="dxa"/>
            <w:tcBorders>
              <w:top w:val="dotted" w:color="auto" w:sz="4" w:space="0"/>
              <w:left w:val="dotted" w:color="auto" w:sz="4" w:space="0"/>
              <w:bottom w:val="single" w:color="auto" w:sz="12"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230</w:t>
            </w:r>
          </w:p>
        </w:tc>
        <w:tc>
          <w:tcPr>
            <w:tcW w:w="1120" w:type="dxa"/>
            <w:tcBorders>
              <w:top w:val="dotted" w:color="auto" w:sz="4" w:space="0"/>
              <w:left w:val="dotted" w:color="auto" w:sz="4" w:space="0"/>
              <w:bottom w:val="single" w:color="auto" w:sz="12" w:space="0"/>
              <w:right w:val="dotted" w:color="auto" w:sz="4" w:space="0"/>
            </w:tcBorders>
            <w:noWrap/>
            <w:vAlign w:val="center"/>
          </w:tcPr>
          <w:p>
            <w:pPr>
              <w:spacing w:line="240" w:lineRule="auto"/>
              <w:ind w:firstLine="0" w:firstLineChars="0"/>
              <w:rPr>
                <w:rFonts w:ascii="宋体" w:hAnsi="宋体" w:cs="宋体"/>
                <w:kern w:val="0"/>
                <w:sz w:val="21"/>
                <w:szCs w:val="20"/>
              </w:rPr>
            </w:pPr>
            <w:r>
              <w:rPr>
                <w:rFonts w:hint="eastAsia" w:ascii="宋体" w:hAnsi="宋体" w:cs="宋体"/>
                <w:kern w:val="0"/>
                <w:sz w:val="21"/>
                <w:szCs w:val="20"/>
              </w:rPr>
              <w:t>20</w:t>
            </w:r>
          </w:p>
        </w:tc>
        <w:tc>
          <w:tcPr>
            <w:tcW w:w="1118" w:type="dxa"/>
            <w:vMerge w:val="continue"/>
            <w:tcBorders>
              <w:top w:val="single" w:color="auto" w:sz="12" w:space="0"/>
              <w:left w:val="dotted" w:color="auto" w:sz="4" w:space="0"/>
              <w:bottom w:val="single" w:color="auto" w:sz="12" w:space="0"/>
              <w:right w:val="nil"/>
            </w:tcBorders>
            <w:vAlign w:val="center"/>
          </w:tcPr>
          <w:p>
            <w:pPr>
              <w:widowControl/>
              <w:spacing w:line="240" w:lineRule="auto"/>
              <w:ind w:firstLine="0" w:firstLineChars="0"/>
              <w:jc w:val="left"/>
              <w:rPr>
                <w:rFonts w:ascii="宋体" w:hAnsi="宋体" w:cs="宋体"/>
                <w:kern w:val="0"/>
                <w:sz w:val="21"/>
                <w:szCs w:val="20"/>
              </w:rPr>
            </w:pPr>
          </w:p>
        </w:tc>
      </w:tr>
    </w:tbl>
    <w:p>
      <w:pPr>
        <w:snapToGrid w:val="0"/>
        <w:ind w:firstLine="480"/>
      </w:pPr>
    </w:p>
    <w:p>
      <w:pPr>
        <w:adjustRightInd w:val="0"/>
        <w:snapToGrid w:val="0"/>
        <w:ind w:firstLine="0" w:firstLineChars="0"/>
        <w:jc w:val="center"/>
        <w:rPr>
          <w:rFonts w:ascii="宋体" w:hAnsi="宋体"/>
          <w:b/>
        </w:rPr>
      </w:pPr>
    </w:p>
    <w:p>
      <w:pPr>
        <w:adjustRightInd w:val="0"/>
        <w:snapToGrid w:val="0"/>
        <w:ind w:firstLine="720" w:firstLineChars="300"/>
      </w:pPr>
      <w:r>
        <w:rPr>
          <w:rFonts w:hint="eastAsia"/>
        </w:rPr>
        <w:t>图</w:t>
      </w:r>
      <w:r>
        <w:t>5.3</w:t>
      </w:r>
      <w:r>
        <w:rPr>
          <w:rFonts w:hint="eastAsia"/>
        </w:rPr>
        <w:t>—</w:t>
      </w:r>
      <w:r>
        <w:t xml:space="preserve">1 </w:t>
      </w:r>
      <w:r>
        <w:rPr>
          <w:rFonts w:hint="eastAsia"/>
        </w:rPr>
        <w:t xml:space="preserve">         地下水水质现状监测点位置示意图</w:t>
      </w:r>
    </w:p>
    <w:p>
      <w:pPr>
        <w:pStyle w:val="6"/>
      </w:pPr>
      <w:r>
        <w:t>5.3.1.2</w:t>
      </w:r>
      <w:r>
        <w:rPr>
          <w:rFonts w:hint="eastAsia"/>
        </w:rPr>
        <w:t>监测项目</w:t>
      </w:r>
    </w:p>
    <w:p>
      <w:pPr>
        <w:snapToGrid w:val="0"/>
        <w:ind w:firstLine="480"/>
        <w:rPr>
          <w:rFonts w:ascii="宋体" w:hAnsi="宋体"/>
          <w:szCs w:val="24"/>
        </w:rPr>
      </w:pPr>
      <w:r>
        <w:rPr>
          <w:szCs w:val="24"/>
        </w:rPr>
        <w:t>pH</w:t>
      </w:r>
      <w:r>
        <w:rPr>
          <w:rFonts w:hint="eastAsia" w:hAnsi="宋体"/>
          <w:szCs w:val="24"/>
        </w:rPr>
        <w:t>、总硬度</w:t>
      </w:r>
      <w:r>
        <w:rPr>
          <w:rFonts w:hAnsi="宋体"/>
          <w:szCs w:val="24"/>
        </w:rPr>
        <w:t>(</w:t>
      </w:r>
      <w:r>
        <w:rPr>
          <w:rFonts w:hint="eastAsia" w:hAnsi="宋体"/>
          <w:szCs w:val="24"/>
        </w:rPr>
        <w:t>以</w:t>
      </w:r>
      <w:r>
        <w:rPr>
          <w:szCs w:val="24"/>
        </w:rPr>
        <w:t>CaCO</w:t>
      </w:r>
      <w:r>
        <w:rPr>
          <w:szCs w:val="24"/>
          <w:vertAlign w:val="subscript"/>
        </w:rPr>
        <w:t>3</w:t>
      </w:r>
      <w:r>
        <w:rPr>
          <w:rFonts w:hint="eastAsia" w:hAnsi="宋体"/>
          <w:szCs w:val="24"/>
        </w:rPr>
        <w:t>计</w:t>
      </w:r>
      <w:r>
        <w:rPr>
          <w:rFonts w:hAnsi="宋体"/>
          <w:szCs w:val="24"/>
        </w:rPr>
        <w:t>)</w:t>
      </w:r>
      <w:r>
        <w:rPr>
          <w:rFonts w:hint="eastAsia" w:hAnsi="宋体"/>
          <w:szCs w:val="24"/>
        </w:rPr>
        <w:t>、溶解性总固体、</w:t>
      </w:r>
      <w:r>
        <w:rPr>
          <w:szCs w:val="24"/>
        </w:rPr>
        <w:t>SO</w:t>
      </w:r>
      <w:r>
        <w:rPr>
          <w:szCs w:val="24"/>
          <w:vertAlign w:val="subscript"/>
        </w:rPr>
        <w:t>4</w:t>
      </w:r>
      <w:r>
        <w:rPr>
          <w:szCs w:val="24"/>
          <w:vertAlign w:val="superscript"/>
        </w:rPr>
        <w:t>2-</w:t>
      </w:r>
      <w:r>
        <w:rPr>
          <w:rFonts w:hint="eastAsia" w:hAnsi="宋体"/>
          <w:szCs w:val="24"/>
        </w:rPr>
        <w:t>、</w:t>
      </w:r>
      <w:r>
        <w:rPr>
          <w:szCs w:val="24"/>
        </w:rPr>
        <w:t>Cl</w:t>
      </w:r>
      <w:r>
        <w:rPr>
          <w:szCs w:val="24"/>
          <w:vertAlign w:val="superscript"/>
        </w:rPr>
        <w:t>-</w:t>
      </w:r>
      <w:r>
        <w:rPr>
          <w:rFonts w:hint="eastAsia" w:hAnsi="宋体"/>
          <w:szCs w:val="24"/>
        </w:rPr>
        <w:t>、</w:t>
      </w:r>
      <w:r>
        <w:rPr>
          <w:szCs w:val="24"/>
        </w:rPr>
        <w:t>Fe</w:t>
      </w:r>
      <w:r>
        <w:rPr>
          <w:rFonts w:hint="eastAsia" w:hAnsi="宋体"/>
          <w:szCs w:val="24"/>
        </w:rPr>
        <w:t>、</w:t>
      </w:r>
      <w:r>
        <w:rPr>
          <w:szCs w:val="24"/>
        </w:rPr>
        <w:t>Mn</w:t>
      </w:r>
      <w:r>
        <w:rPr>
          <w:rFonts w:hint="eastAsia" w:hAnsi="宋体"/>
          <w:szCs w:val="24"/>
        </w:rPr>
        <w:t>、</w:t>
      </w:r>
      <w:r>
        <w:rPr>
          <w:szCs w:val="24"/>
        </w:rPr>
        <w:t>Cu</w:t>
      </w:r>
      <w:r>
        <w:rPr>
          <w:rFonts w:hint="eastAsia" w:hAnsi="宋体"/>
          <w:szCs w:val="24"/>
        </w:rPr>
        <w:t>、</w:t>
      </w:r>
      <w:r>
        <w:rPr>
          <w:szCs w:val="24"/>
        </w:rPr>
        <w:t>Zn</w:t>
      </w:r>
      <w:r>
        <w:rPr>
          <w:rFonts w:hint="eastAsia" w:hAnsi="宋体"/>
          <w:szCs w:val="24"/>
        </w:rPr>
        <w:t>、挥发酚、</w:t>
      </w:r>
      <w:r>
        <w:rPr>
          <w:szCs w:val="24"/>
        </w:rPr>
        <w:t>COD</w:t>
      </w:r>
      <w:r>
        <w:rPr>
          <w:szCs w:val="24"/>
          <w:vertAlign w:val="subscript"/>
        </w:rPr>
        <w:t>Mn</w:t>
      </w:r>
      <w:r>
        <w:rPr>
          <w:rFonts w:hint="eastAsia" w:hAnsi="宋体"/>
          <w:szCs w:val="24"/>
        </w:rPr>
        <w:t>、</w:t>
      </w:r>
      <w:r>
        <w:rPr>
          <w:szCs w:val="24"/>
        </w:rPr>
        <w:t>NO</w:t>
      </w:r>
      <w:r>
        <w:rPr>
          <w:szCs w:val="24"/>
          <w:vertAlign w:val="subscript"/>
        </w:rPr>
        <w:t>3</w:t>
      </w:r>
      <w:r>
        <w:rPr>
          <w:szCs w:val="24"/>
        </w:rPr>
        <w:t>-N</w:t>
      </w:r>
      <w:r>
        <w:rPr>
          <w:rFonts w:hint="eastAsia" w:hAnsi="宋体"/>
          <w:szCs w:val="24"/>
        </w:rPr>
        <w:t>、</w:t>
      </w:r>
      <w:r>
        <w:rPr>
          <w:szCs w:val="24"/>
        </w:rPr>
        <w:t>NO</w:t>
      </w:r>
      <w:r>
        <w:rPr>
          <w:szCs w:val="24"/>
          <w:vertAlign w:val="subscript"/>
        </w:rPr>
        <w:t>2</w:t>
      </w:r>
      <w:r>
        <w:rPr>
          <w:szCs w:val="24"/>
        </w:rPr>
        <w:t>-N</w:t>
      </w:r>
      <w:r>
        <w:rPr>
          <w:rFonts w:hint="eastAsia" w:hAnsi="宋体"/>
          <w:szCs w:val="24"/>
        </w:rPr>
        <w:t>、</w:t>
      </w:r>
      <w:r>
        <w:rPr>
          <w:szCs w:val="24"/>
        </w:rPr>
        <w:t>NH</w:t>
      </w:r>
      <w:r>
        <w:rPr>
          <w:szCs w:val="24"/>
          <w:vertAlign w:val="subscript"/>
        </w:rPr>
        <w:t>3</w:t>
      </w:r>
      <w:r>
        <w:rPr>
          <w:szCs w:val="24"/>
        </w:rPr>
        <w:t>-N</w:t>
      </w:r>
      <w:r>
        <w:rPr>
          <w:rFonts w:hint="eastAsia" w:hAnsi="宋体"/>
          <w:szCs w:val="24"/>
        </w:rPr>
        <w:t>、</w:t>
      </w:r>
      <w:r>
        <w:rPr>
          <w:szCs w:val="24"/>
        </w:rPr>
        <w:t>F</w:t>
      </w:r>
      <w:r>
        <w:rPr>
          <w:szCs w:val="24"/>
          <w:vertAlign w:val="superscript"/>
        </w:rPr>
        <w:t>-</w:t>
      </w:r>
      <w:r>
        <w:rPr>
          <w:rFonts w:hint="eastAsia" w:hAnsi="宋体"/>
          <w:szCs w:val="24"/>
        </w:rPr>
        <w:t>、</w:t>
      </w:r>
      <w:r>
        <w:rPr>
          <w:szCs w:val="24"/>
        </w:rPr>
        <w:t>CN</w:t>
      </w:r>
      <w:r>
        <w:rPr>
          <w:szCs w:val="24"/>
          <w:vertAlign w:val="superscript"/>
        </w:rPr>
        <w:t>-</w:t>
      </w:r>
      <w:r>
        <w:rPr>
          <w:rFonts w:hint="eastAsia" w:hAnsi="宋体"/>
          <w:szCs w:val="24"/>
        </w:rPr>
        <w:t>、</w:t>
      </w:r>
      <w:r>
        <w:rPr>
          <w:szCs w:val="24"/>
        </w:rPr>
        <w:t>Hg</w:t>
      </w:r>
      <w:r>
        <w:rPr>
          <w:rFonts w:hint="eastAsia" w:hAnsi="宋体"/>
          <w:szCs w:val="24"/>
        </w:rPr>
        <w:t>、</w:t>
      </w:r>
      <w:r>
        <w:rPr>
          <w:szCs w:val="24"/>
        </w:rPr>
        <w:t>As</w:t>
      </w:r>
      <w:r>
        <w:rPr>
          <w:rFonts w:hint="eastAsia" w:hAnsi="宋体"/>
          <w:szCs w:val="24"/>
        </w:rPr>
        <w:t>、</w:t>
      </w:r>
      <w:r>
        <w:rPr>
          <w:szCs w:val="24"/>
        </w:rPr>
        <w:t>Se</w:t>
      </w:r>
      <w:r>
        <w:rPr>
          <w:rFonts w:hint="eastAsia" w:hAnsi="宋体"/>
          <w:szCs w:val="24"/>
        </w:rPr>
        <w:t>、</w:t>
      </w:r>
      <w:r>
        <w:rPr>
          <w:szCs w:val="24"/>
        </w:rPr>
        <w:t>Cd</w:t>
      </w:r>
      <w:r>
        <w:rPr>
          <w:rFonts w:hint="eastAsia" w:hAnsi="宋体"/>
          <w:szCs w:val="24"/>
        </w:rPr>
        <w:t>、</w:t>
      </w:r>
      <w:r>
        <w:rPr>
          <w:szCs w:val="24"/>
        </w:rPr>
        <w:t>Cr</w:t>
      </w:r>
      <w:r>
        <w:rPr>
          <w:szCs w:val="24"/>
          <w:vertAlign w:val="superscript"/>
        </w:rPr>
        <w:t>6+</w:t>
      </w:r>
      <w:r>
        <w:rPr>
          <w:rFonts w:hint="eastAsia" w:hAnsi="宋体"/>
          <w:szCs w:val="24"/>
        </w:rPr>
        <w:t>、</w:t>
      </w:r>
      <w:r>
        <w:rPr>
          <w:szCs w:val="24"/>
        </w:rPr>
        <w:t>Pb</w:t>
      </w:r>
      <w:r>
        <w:rPr>
          <w:rFonts w:hint="eastAsia" w:hAnsi="宋体"/>
          <w:szCs w:val="24"/>
        </w:rPr>
        <w:t>以及阴离子表面活性剂共计</w:t>
      </w:r>
      <w:r>
        <w:rPr>
          <w:szCs w:val="24"/>
        </w:rPr>
        <w:t>28</w:t>
      </w:r>
      <w:r>
        <w:rPr>
          <w:rFonts w:hint="eastAsia" w:hAnsi="宋体"/>
          <w:szCs w:val="24"/>
        </w:rPr>
        <w:t>项</w:t>
      </w:r>
      <w:r>
        <w:rPr>
          <w:rFonts w:hint="eastAsia" w:ascii="宋体" w:hAnsi="宋体"/>
          <w:szCs w:val="24"/>
        </w:rPr>
        <w:t>。</w:t>
      </w:r>
    </w:p>
    <w:p>
      <w:pPr>
        <w:pStyle w:val="6"/>
      </w:pPr>
      <w:r>
        <w:t>5.3.1.3</w:t>
      </w:r>
      <w:r>
        <w:rPr>
          <w:rFonts w:hint="eastAsia"/>
        </w:rPr>
        <w:t>评价方法</w:t>
      </w:r>
    </w:p>
    <w:p>
      <w:pPr>
        <w:snapToGrid w:val="0"/>
        <w:ind w:firstLine="480"/>
        <w:rPr>
          <w:szCs w:val="24"/>
        </w:rPr>
      </w:pPr>
      <w:r>
        <w:rPr>
          <w:szCs w:val="24"/>
        </w:rPr>
        <w:t>(1)</w:t>
      </w:r>
      <w:r>
        <w:rPr>
          <w:rFonts w:hint="eastAsia"/>
          <w:szCs w:val="24"/>
        </w:rPr>
        <w:t>污染因子评价方法</w:t>
      </w:r>
    </w:p>
    <w:p>
      <w:pPr>
        <w:snapToGrid w:val="0"/>
        <w:ind w:firstLine="480"/>
        <w:rPr>
          <w:szCs w:val="24"/>
        </w:rPr>
      </w:pPr>
      <w:r>
        <w:rPr>
          <w:rFonts w:hint="eastAsia"/>
          <w:szCs w:val="24"/>
        </w:rPr>
        <w:t>本次评价采用单项污染因子指数进行评价，结合地下水水质标准，对评价区地下水水质优劣进行评述。水质指数基本表达式为：</w:t>
      </w:r>
    </w:p>
    <w:p>
      <w:pPr>
        <w:pStyle w:val="161"/>
        <w:ind w:firstLine="480"/>
        <w:rPr>
          <w:lang w:val="en-US"/>
        </w:rPr>
      </w:pPr>
      <w:r>
        <w:rPr>
          <w:lang w:val="en-US"/>
        </w:rPr>
        <w:t>P</w:t>
      </w:r>
      <w:r>
        <w:rPr>
          <w:vertAlign w:val="subscript"/>
          <w:lang w:val="en-US"/>
        </w:rPr>
        <w:t>i</w:t>
      </w:r>
      <w:r>
        <w:rPr>
          <w:lang w:val="en-US"/>
        </w:rPr>
        <w:t>=C</w:t>
      </w:r>
      <w:r>
        <w:rPr>
          <w:vertAlign w:val="subscript"/>
          <w:lang w:val="en-US"/>
        </w:rPr>
        <w:t>i</w:t>
      </w:r>
      <w:r>
        <w:rPr>
          <w:lang w:val="en-US"/>
        </w:rPr>
        <w:t>/C</w:t>
      </w:r>
      <w:r>
        <w:rPr>
          <w:vertAlign w:val="subscript"/>
          <w:lang w:val="en-US"/>
        </w:rPr>
        <w:t>0i</w:t>
      </w:r>
    </w:p>
    <w:p>
      <w:pPr>
        <w:snapToGrid w:val="0"/>
        <w:ind w:firstLine="480"/>
        <w:rPr>
          <w:szCs w:val="24"/>
        </w:rPr>
      </w:pPr>
      <w:r>
        <w:rPr>
          <w:rFonts w:hint="eastAsia"/>
          <w:szCs w:val="24"/>
        </w:rPr>
        <w:t>式中：</w:t>
      </w:r>
      <w:r>
        <w:rPr>
          <w:szCs w:val="24"/>
        </w:rPr>
        <w:t>P</w:t>
      </w:r>
      <w:r>
        <w:rPr>
          <w:szCs w:val="24"/>
          <w:vertAlign w:val="subscript"/>
        </w:rPr>
        <w:t>i</w:t>
      </w:r>
      <w:r>
        <w:rPr>
          <w:szCs w:val="24"/>
        </w:rPr>
        <w:t>—</w:t>
      </w:r>
      <w:r>
        <w:rPr>
          <w:rFonts w:hint="eastAsia"/>
          <w:szCs w:val="24"/>
        </w:rPr>
        <w:t>第</w:t>
      </w:r>
      <w:r>
        <w:rPr>
          <w:szCs w:val="24"/>
        </w:rPr>
        <w:t>i</w:t>
      </w:r>
      <w:r>
        <w:rPr>
          <w:rFonts w:hint="eastAsia"/>
          <w:szCs w:val="24"/>
        </w:rPr>
        <w:t>种污染物的水质污染指数；</w:t>
      </w:r>
    </w:p>
    <w:p>
      <w:pPr>
        <w:snapToGrid w:val="0"/>
        <w:ind w:firstLine="480"/>
        <w:rPr>
          <w:szCs w:val="24"/>
        </w:rPr>
      </w:pPr>
      <w:r>
        <w:rPr>
          <w:szCs w:val="24"/>
        </w:rPr>
        <w:t xml:space="preserve">      C</w:t>
      </w:r>
      <w:r>
        <w:rPr>
          <w:szCs w:val="24"/>
          <w:vertAlign w:val="subscript"/>
        </w:rPr>
        <w:t>i</w:t>
      </w:r>
      <w:r>
        <w:rPr>
          <w:szCs w:val="24"/>
        </w:rPr>
        <w:t>—</w:t>
      </w:r>
      <w:r>
        <w:rPr>
          <w:rFonts w:hint="eastAsia"/>
          <w:szCs w:val="24"/>
        </w:rPr>
        <w:t>地下水中第</w:t>
      </w:r>
      <w:r>
        <w:rPr>
          <w:szCs w:val="24"/>
        </w:rPr>
        <w:t>i</w:t>
      </w:r>
      <w:r>
        <w:rPr>
          <w:rFonts w:hint="eastAsia"/>
          <w:szCs w:val="24"/>
        </w:rPr>
        <w:t>种污染物的实测浓度，</w:t>
      </w:r>
      <w:r>
        <w:rPr>
          <w:szCs w:val="24"/>
        </w:rPr>
        <w:t>mg/L</w:t>
      </w:r>
      <w:r>
        <w:rPr>
          <w:rFonts w:hint="eastAsia"/>
          <w:szCs w:val="24"/>
        </w:rPr>
        <w:t>；</w:t>
      </w:r>
    </w:p>
    <w:p>
      <w:pPr>
        <w:snapToGrid w:val="0"/>
        <w:ind w:firstLine="480"/>
        <w:rPr>
          <w:szCs w:val="24"/>
        </w:rPr>
      </w:pPr>
      <w:r>
        <w:rPr>
          <w:szCs w:val="24"/>
        </w:rPr>
        <w:t xml:space="preserve">      C</w:t>
      </w:r>
      <w:r>
        <w:rPr>
          <w:szCs w:val="24"/>
          <w:vertAlign w:val="subscript"/>
        </w:rPr>
        <w:t>0i</w:t>
      </w:r>
      <w:r>
        <w:rPr>
          <w:szCs w:val="24"/>
        </w:rPr>
        <w:t>—</w:t>
      </w:r>
      <w:r>
        <w:rPr>
          <w:rFonts w:hint="eastAsia"/>
          <w:szCs w:val="24"/>
        </w:rPr>
        <w:t>第</w:t>
      </w:r>
      <w:r>
        <w:rPr>
          <w:szCs w:val="24"/>
        </w:rPr>
        <w:t>i</w:t>
      </w:r>
      <w:r>
        <w:rPr>
          <w:rFonts w:hint="eastAsia"/>
          <w:szCs w:val="24"/>
        </w:rPr>
        <w:t>种污染物的评价标准，</w:t>
      </w:r>
      <w:r>
        <w:rPr>
          <w:szCs w:val="24"/>
        </w:rPr>
        <w:t>mg/L</w:t>
      </w:r>
      <w:r>
        <w:rPr>
          <w:rFonts w:hint="eastAsia"/>
          <w:szCs w:val="24"/>
        </w:rPr>
        <w:t>。</w:t>
      </w:r>
    </w:p>
    <w:p>
      <w:pPr>
        <w:snapToGrid w:val="0"/>
        <w:ind w:firstLine="480"/>
        <w:rPr>
          <w:szCs w:val="24"/>
        </w:rPr>
      </w:pPr>
      <w:r>
        <w:rPr>
          <w:szCs w:val="24"/>
        </w:rPr>
        <w:t>(2)pH</w:t>
      </w:r>
      <w:r>
        <w:rPr>
          <w:rFonts w:hint="eastAsia"/>
          <w:szCs w:val="24"/>
        </w:rPr>
        <w:t>的水质指数表达方式</w:t>
      </w:r>
    </w:p>
    <w:p>
      <w:pPr>
        <w:snapToGrid w:val="0"/>
        <w:ind w:firstLine="480"/>
        <w:rPr>
          <w:szCs w:val="24"/>
        </w:rPr>
      </w:pPr>
      <w:r>
        <w:rPr>
          <w:szCs w:val="24"/>
        </w:rPr>
        <w:t>S</w:t>
      </w:r>
      <w:r>
        <w:rPr>
          <w:szCs w:val="24"/>
          <w:vertAlign w:val="subscript"/>
        </w:rPr>
        <w:t>pH</w:t>
      </w:r>
      <w:r>
        <w:rPr>
          <w:rFonts w:hint="eastAsia"/>
          <w:szCs w:val="24"/>
          <w:vertAlign w:val="subscript"/>
        </w:rPr>
        <w:t>，</w:t>
      </w:r>
      <w:r>
        <w:rPr>
          <w:szCs w:val="24"/>
          <w:vertAlign w:val="subscript"/>
        </w:rPr>
        <w:t>j</w:t>
      </w:r>
      <w:r>
        <w:rPr>
          <w:szCs w:val="24"/>
        </w:rPr>
        <w:t>=(7.0-pH</w:t>
      </w:r>
      <w:r>
        <w:rPr>
          <w:szCs w:val="24"/>
          <w:vertAlign w:val="subscript"/>
        </w:rPr>
        <w:t>j</w:t>
      </w:r>
      <w:r>
        <w:rPr>
          <w:szCs w:val="24"/>
        </w:rPr>
        <w:t>)/(7.0-pH</w:t>
      </w:r>
      <w:r>
        <w:rPr>
          <w:szCs w:val="24"/>
          <w:vertAlign w:val="subscript"/>
        </w:rPr>
        <w:t>sd</w:t>
      </w:r>
      <w:r>
        <w:rPr>
          <w:szCs w:val="24"/>
        </w:rPr>
        <w:t>)(pH</w:t>
      </w:r>
      <w:r>
        <w:rPr>
          <w:szCs w:val="24"/>
          <w:vertAlign w:val="subscript"/>
        </w:rPr>
        <w:t>j</w:t>
      </w:r>
      <w:r>
        <w:rPr>
          <w:szCs w:val="24"/>
        </w:rPr>
        <w:t>≤7.0)</w:t>
      </w:r>
    </w:p>
    <w:p>
      <w:pPr>
        <w:snapToGrid w:val="0"/>
        <w:ind w:firstLine="480"/>
        <w:rPr>
          <w:szCs w:val="24"/>
        </w:rPr>
      </w:pPr>
      <w:r>
        <w:rPr>
          <w:szCs w:val="24"/>
        </w:rPr>
        <w:t>S</w:t>
      </w:r>
      <w:r>
        <w:rPr>
          <w:szCs w:val="24"/>
          <w:vertAlign w:val="subscript"/>
        </w:rPr>
        <w:t>pH</w:t>
      </w:r>
      <w:r>
        <w:rPr>
          <w:rFonts w:hint="eastAsia"/>
          <w:szCs w:val="24"/>
          <w:vertAlign w:val="subscript"/>
        </w:rPr>
        <w:t>，</w:t>
      </w:r>
      <w:r>
        <w:rPr>
          <w:szCs w:val="24"/>
          <w:vertAlign w:val="subscript"/>
        </w:rPr>
        <w:t>j</w:t>
      </w:r>
      <w:r>
        <w:rPr>
          <w:szCs w:val="24"/>
        </w:rPr>
        <w:t>=(pH</w:t>
      </w:r>
      <w:r>
        <w:rPr>
          <w:szCs w:val="24"/>
          <w:vertAlign w:val="subscript"/>
        </w:rPr>
        <w:t>j</w:t>
      </w:r>
      <w:r>
        <w:rPr>
          <w:szCs w:val="24"/>
        </w:rPr>
        <w:t xml:space="preserve"> -7.0)/(pH</w:t>
      </w:r>
      <w:r>
        <w:rPr>
          <w:szCs w:val="24"/>
          <w:vertAlign w:val="subscript"/>
        </w:rPr>
        <w:t>su</w:t>
      </w:r>
      <w:r>
        <w:rPr>
          <w:szCs w:val="24"/>
        </w:rPr>
        <w:t xml:space="preserve"> -7.0)(pHj</w:t>
      </w:r>
      <w:r>
        <w:rPr>
          <w:rFonts w:hint="eastAsia"/>
          <w:szCs w:val="24"/>
        </w:rPr>
        <w:t>＞</w:t>
      </w:r>
      <w:r>
        <w:rPr>
          <w:szCs w:val="24"/>
        </w:rPr>
        <w:t>7.0)</w:t>
      </w:r>
    </w:p>
    <w:p>
      <w:pPr>
        <w:snapToGrid w:val="0"/>
        <w:ind w:firstLine="480"/>
        <w:rPr>
          <w:szCs w:val="24"/>
        </w:rPr>
      </w:pPr>
      <w:r>
        <w:rPr>
          <w:rFonts w:hint="eastAsia"/>
          <w:szCs w:val="24"/>
        </w:rPr>
        <w:t>式中：</w:t>
      </w:r>
      <w:r>
        <w:rPr>
          <w:szCs w:val="24"/>
        </w:rPr>
        <w:t>S</w:t>
      </w:r>
      <w:r>
        <w:rPr>
          <w:szCs w:val="24"/>
          <w:vertAlign w:val="subscript"/>
        </w:rPr>
        <w:t>pH</w:t>
      </w:r>
      <w:r>
        <w:rPr>
          <w:rFonts w:hint="eastAsia"/>
          <w:szCs w:val="24"/>
          <w:vertAlign w:val="subscript"/>
        </w:rPr>
        <w:t>，</w:t>
      </w:r>
      <w:r>
        <w:rPr>
          <w:szCs w:val="24"/>
          <w:vertAlign w:val="subscript"/>
        </w:rPr>
        <w:t>j</w:t>
      </w:r>
      <w:r>
        <w:rPr>
          <w:rFonts w:hint="eastAsia"/>
          <w:szCs w:val="24"/>
        </w:rPr>
        <w:t>—</w:t>
      </w:r>
      <w:r>
        <w:rPr>
          <w:szCs w:val="24"/>
        </w:rPr>
        <w:t>pH</w:t>
      </w:r>
      <w:r>
        <w:rPr>
          <w:rFonts w:hint="eastAsia"/>
          <w:szCs w:val="24"/>
        </w:rPr>
        <w:t>的标准指数；</w:t>
      </w:r>
    </w:p>
    <w:p>
      <w:pPr>
        <w:snapToGrid w:val="0"/>
        <w:ind w:firstLine="480"/>
        <w:rPr>
          <w:szCs w:val="24"/>
        </w:rPr>
      </w:pPr>
      <w:r>
        <w:rPr>
          <w:szCs w:val="24"/>
        </w:rPr>
        <w:t>pH</w:t>
      </w:r>
      <w:r>
        <w:rPr>
          <w:szCs w:val="24"/>
          <w:vertAlign w:val="subscript"/>
        </w:rPr>
        <w:t>j</w:t>
      </w:r>
      <w:r>
        <w:rPr>
          <w:rFonts w:hint="eastAsia"/>
          <w:szCs w:val="24"/>
        </w:rPr>
        <w:t>—监测点的</w:t>
      </w:r>
      <w:r>
        <w:rPr>
          <w:szCs w:val="24"/>
        </w:rPr>
        <w:t>pH</w:t>
      </w:r>
      <w:r>
        <w:rPr>
          <w:rFonts w:hint="eastAsia"/>
          <w:szCs w:val="24"/>
        </w:rPr>
        <w:t>值；</w:t>
      </w:r>
    </w:p>
    <w:p>
      <w:pPr>
        <w:snapToGrid w:val="0"/>
        <w:ind w:firstLine="480"/>
        <w:rPr>
          <w:szCs w:val="24"/>
        </w:rPr>
      </w:pPr>
      <w:r>
        <w:rPr>
          <w:szCs w:val="24"/>
        </w:rPr>
        <w:t>pH</w:t>
      </w:r>
      <w:r>
        <w:rPr>
          <w:szCs w:val="24"/>
          <w:vertAlign w:val="subscript"/>
        </w:rPr>
        <w:t>sd</w:t>
      </w:r>
      <w:r>
        <w:rPr>
          <w:rFonts w:hint="eastAsia"/>
          <w:szCs w:val="24"/>
        </w:rPr>
        <w:t>—地下水水质标准的</w:t>
      </w:r>
      <w:r>
        <w:rPr>
          <w:szCs w:val="24"/>
        </w:rPr>
        <w:t>pH</w:t>
      </w:r>
      <w:r>
        <w:rPr>
          <w:rFonts w:hint="eastAsia"/>
          <w:szCs w:val="24"/>
        </w:rPr>
        <w:t>值下限；</w:t>
      </w:r>
    </w:p>
    <w:p>
      <w:pPr>
        <w:snapToGrid w:val="0"/>
        <w:ind w:firstLine="480"/>
        <w:rPr>
          <w:rFonts w:ascii="宋体" w:hAnsi="宋体"/>
          <w:szCs w:val="24"/>
        </w:rPr>
      </w:pPr>
      <w:r>
        <w:rPr>
          <w:szCs w:val="24"/>
        </w:rPr>
        <w:t>pH</w:t>
      </w:r>
      <w:r>
        <w:rPr>
          <w:szCs w:val="24"/>
          <w:vertAlign w:val="subscript"/>
        </w:rPr>
        <w:t>su</w:t>
      </w:r>
      <w:r>
        <w:rPr>
          <w:rFonts w:hint="eastAsia"/>
          <w:szCs w:val="24"/>
        </w:rPr>
        <w:t>—地下水水质标准的</w:t>
      </w:r>
      <w:r>
        <w:rPr>
          <w:szCs w:val="24"/>
        </w:rPr>
        <w:t>pH</w:t>
      </w:r>
      <w:r>
        <w:rPr>
          <w:rFonts w:hint="eastAsia"/>
          <w:szCs w:val="24"/>
        </w:rPr>
        <w:t>值上限。</w:t>
      </w:r>
    </w:p>
    <w:p>
      <w:pPr>
        <w:pStyle w:val="6"/>
      </w:pPr>
      <w:r>
        <w:t>5.3.1.4</w:t>
      </w:r>
      <w:r>
        <w:rPr>
          <w:rFonts w:hint="eastAsia"/>
        </w:rPr>
        <w:t>评价标准</w:t>
      </w:r>
    </w:p>
    <w:p>
      <w:pPr>
        <w:snapToGrid w:val="0"/>
        <w:ind w:firstLine="480"/>
        <w:rPr>
          <w:szCs w:val="24"/>
        </w:rPr>
      </w:pPr>
      <w:r>
        <w:rPr>
          <w:rFonts w:hint="eastAsia"/>
          <w:szCs w:val="24"/>
        </w:rPr>
        <w:t>地下水环境质量现状评价标准执行《地下水质量质量标准》</w:t>
      </w:r>
      <w:r>
        <w:rPr>
          <w:szCs w:val="24"/>
        </w:rPr>
        <w:t>(GB/T14848-93)</w:t>
      </w:r>
      <w:r>
        <w:rPr>
          <w:rFonts w:hint="eastAsia"/>
          <w:szCs w:val="24"/>
        </w:rPr>
        <w:t>中的Ⅲ类标准值。</w:t>
      </w:r>
    </w:p>
    <w:p>
      <w:pPr>
        <w:pStyle w:val="6"/>
      </w:pPr>
      <w:r>
        <w:t>5.3.1.5</w:t>
      </w:r>
      <w:r>
        <w:rPr>
          <w:rFonts w:hint="eastAsia"/>
        </w:rPr>
        <w:t>评价结果</w:t>
      </w:r>
    </w:p>
    <w:p>
      <w:pPr>
        <w:snapToGrid w:val="0"/>
        <w:ind w:firstLine="480"/>
        <w:rPr>
          <w:szCs w:val="24"/>
        </w:rPr>
      </w:pPr>
      <w:r>
        <w:rPr>
          <w:rFonts w:hint="eastAsia"/>
          <w:szCs w:val="24"/>
        </w:rPr>
        <w:t>地下水环境质量现状评价标准执行《地下水质量质量标准》</w:t>
      </w:r>
      <w:r>
        <w:rPr>
          <w:szCs w:val="24"/>
        </w:rPr>
        <w:t>(GB/T14848-93)</w:t>
      </w:r>
      <w:r>
        <w:rPr>
          <w:rFonts w:hint="eastAsia"/>
          <w:szCs w:val="24"/>
        </w:rPr>
        <w:t>中的Ⅲ类标准值。</w:t>
      </w:r>
    </w:p>
    <w:p>
      <w:pPr>
        <w:snapToGrid w:val="0"/>
        <w:ind w:firstLine="480"/>
        <w:rPr>
          <w:szCs w:val="24"/>
        </w:rPr>
      </w:pPr>
      <w:r>
        <w:rPr>
          <w:rFonts w:hint="eastAsia"/>
          <w:szCs w:val="24"/>
        </w:rPr>
        <w:t>评价结果表明：评价区</w:t>
      </w:r>
      <w:r>
        <w:rPr>
          <w:szCs w:val="24"/>
        </w:rPr>
        <w:t>1#</w:t>
      </w:r>
      <w:r>
        <w:rPr>
          <w:rFonts w:hint="eastAsia"/>
          <w:szCs w:val="24"/>
        </w:rPr>
        <w:t>和</w:t>
      </w:r>
      <w:r>
        <w:rPr>
          <w:szCs w:val="24"/>
        </w:rPr>
        <w:t>2#</w:t>
      </w:r>
      <w:r>
        <w:rPr>
          <w:rFonts w:hint="eastAsia"/>
          <w:szCs w:val="24"/>
        </w:rPr>
        <w:t>监测井地下水中的氟化物的含量超标，</w:t>
      </w:r>
      <w:r>
        <w:rPr>
          <w:szCs w:val="24"/>
        </w:rPr>
        <w:t>3#</w:t>
      </w:r>
      <w:r>
        <w:rPr>
          <w:rFonts w:hint="eastAsia"/>
          <w:szCs w:val="24"/>
        </w:rPr>
        <w:t>监测井溶解性总固体、硫酸盐、氯化物和氟化物超标，</w:t>
      </w:r>
      <w:r>
        <w:rPr>
          <w:szCs w:val="24"/>
        </w:rPr>
        <w:t>4#</w:t>
      </w:r>
      <w:r>
        <w:rPr>
          <w:rFonts w:hint="eastAsia"/>
          <w:szCs w:val="24"/>
        </w:rPr>
        <w:t>监测井溶解性总固体超标，这是当地地下水氟化物本底值较高所致，其它各监测因子指标均符合</w:t>
      </w:r>
      <w:r>
        <w:rPr>
          <w:szCs w:val="24"/>
        </w:rPr>
        <w:t>GB/T14848-93</w:t>
      </w:r>
      <w:r>
        <w:rPr>
          <w:rFonts w:hint="eastAsia"/>
          <w:szCs w:val="24"/>
        </w:rPr>
        <w:t>《地下水质量标准》Ⅲ类标准的要求，未出现超标现象。</w:t>
      </w:r>
    </w:p>
    <w:p>
      <w:pPr>
        <w:snapToGrid w:val="0"/>
        <w:ind w:firstLine="480"/>
        <w:rPr>
          <w:szCs w:val="24"/>
        </w:rPr>
      </w:pPr>
    </w:p>
    <w:p>
      <w:pPr>
        <w:snapToGrid w:val="0"/>
        <w:ind w:firstLine="480"/>
        <w:rPr>
          <w:szCs w:val="24"/>
        </w:rPr>
      </w:pPr>
    </w:p>
    <w:p>
      <w:pPr>
        <w:snapToGrid w:val="0"/>
        <w:ind w:firstLine="480"/>
        <w:rPr>
          <w:szCs w:val="24"/>
        </w:rPr>
      </w:pPr>
      <w:r>
        <w:rPr>
          <w:rFonts w:hint="eastAsia"/>
          <w:szCs w:val="24"/>
        </w:rPr>
        <w:t>表</w:t>
      </w:r>
      <w:r>
        <w:rPr>
          <w:szCs w:val="24"/>
        </w:rPr>
        <w:t>5.3</w:t>
      </w:r>
      <w:r>
        <w:rPr>
          <w:rFonts w:hint="eastAsia"/>
          <w:szCs w:val="24"/>
        </w:rPr>
        <w:t>—</w:t>
      </w:r>
      <w:r>
        <w:rPr>
          <w:szCs w:val="24"/>
        </w:rPr>
        <w:t>2(1)           1#</w:t>
      </w:r>
      <w:r>
        <w:rPr>
          <w:rFonts w:hint="eastAsia"/>
          <w:szCs w:val="24"/>
        </w:rPr>
        <w:t>和</w:t>
      </w:r>
      <w:r>
        <w:rPr>
          <w:szCs w:val="24"/>
        </w:rPr>
        <w:t>2#</w:t>
      </w:r>
      <w:r>
        <w:rPr>
          <w:rFonts w:hint="eastAsia"/>
          <w:szCs w:val="24"/>
        </w:rPr>
        <w:t>地下水监测和评价结果一览表</w:t>
      </w:r>
    </w:p>
    <w:tbl>
      <w:tblPr>
        <w:tblStyle w:val="181"/>
        <w:tblW w:w="9070"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514"/>
        <w:gridCol w:w="1314"/>
        <w:gridCol w:w="1315"/>
        <w:gridCol w:w="1339"/>
        <w:gridCol w:w="1293"/>
        <w:gridCol w:w="129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vMerge w:val="restart"/>
            <w:tcBorders>
              <w:top w:val="single" w:color="auto" w:sz="12" w:space="0"/>
              <w:left w:val="nil"/>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监测指标</w:t>
            </w:r>
          </w:p>
        </w:tc>
        <w:tc>
          <w:tcPr>
            <w:tcW w:w="2629" w:type="dxa"/>
            <w:gridSpan w:val="2"/>
            <w:tcBorders>
              <w:top w:val="single" w:color="auto" w:sz="12" w:space="0"/>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监测结果</w:t>
            </w:r>
          </w:p>
        </w:tc>
        <w:tc>
          <w:tcPr>
            <w:tcW w:w="1339" w:type="dxa"/>
            <w:vMerge w:val="restart"/>
            <w:tcBorders>
              <w:top w:val="single" w:color="auto" w:sz="12" w:space="0"/>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标准限值</w:t>
            </w:r>
          </w:p>
        </w:tc>
        <w:tc>
          <w:tcPr>
            <w:tcW w:w="2588" w:type="dxa"/>
            <w:gridSpan w:val="2"/>
            <w:tcBorders>
              <w:top w:val="single" w:color="auto" w:sz="12" w:space="0"/>
              <w:bottom w:val="dotted" w:color="auto" w:sz="4" w:space="0"/>
              <w:right w:val="nil"/>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评价结果</w:t>
            </w:r>
            <w:r>
              <w:rPr>
                <w:rFonts w:hAnsi="宋体" w:cs="Times New Roman"/>
                <w:kern w:val="0"/>
                <w:sz w:val="21"/>
                <w:szCs w:val="20"/>
              </w:rPr>
              <w:t>(</w:t>
            </w:r>
            <w:r>
              <w:rPr>
                <w:rFonts w:hint="eastAsia" w:hAnsi="宋体" w:cs="Times New Roman"/>
                <w:kern w:val="0"/>
                <w:sz w:val="21"/>
                <w:szCs w:val="20"/>
              </w:rPr>
              <w:t>无量纲</w:t>
            </w:r>
            <w:r>
              <w:rPr>
                <w:rFonts w:hAnsi="宋体" w:cs="Times New Roman"/>
                <w:kern w:val="0"/>
                <w:sz w:val="21"/>
                <w:szCs w:val="20"/>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kern w:val="0"/>
                <w:sz w:val="21"/>
                <w:szCs w:val="20"/>
              </w:rPr>
            </w:pP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w:t>
            </w:r>
          </w:p>
        </w:tc>
        <w:tc>
          <w:tcPr>
            <w:tcW w:w="1339"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uto"/>
              <w:ind w:firstLine="0" w:firstLineChars="0"/>
              <w:jc w:val="left"/>
              <w:rPr>
                <w:rFonts w:cs="Times New Roman"/>
                <w:kern w:val="0"/>
                <w:sz w:val="21"/>
                <w:szCs w:val="20"/>
              </w:rPr>
            </w:pP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pH</w:t>
            </w:r>
            <w:r>
              <w:rPr>
                <w:rFonts w:hAnsi="宋体" w:cs="Times New Roman"/>
                <w:kern w:val="0"/>
                <w:sz w:val="21"/>
                <w:szCs w:val="20"/>
              </w:rPr>
              <w:t>(</w:t>
            </w:r>
            <w:r>
              <w:rPr>
                <w:rFonts w:hint="eastAsia" w:hAnsi="宋体" w:cs="Times New Roman"/>
                <w:kern w:val="0"/>
                <w:sz w:val="21"/>
                <w:szCs w:val="20"/>
              </w:rPr>
              <w:t>无量纲</w:t>
            </w:r>
            <w:r>
              <w:rPr>
                <w:rFonts w:hAnsi="宋体" w:cs="Times New Roman"/>
                <w:kern w:val="0"/>
                <w:sz w:val="21"/>
                <w:szCs w:val="20"/>
              </w:rPr>
              <w:t>)</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8.17</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8.1</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6.5</w:t>
            </w:r>
            <w:r>
              <w:rPr>
                <w:rFonts w:hint="eastAsia" w:hAnsi="宋体" w:cs="Times New Roman"/>
                <w:kern w:val="0"/>
                <w:sz w:val="21"/>
                <w:szCs w:val="20"/>
              </w:rPr>
              <w:t>～</w:t>
            </w:r>
            <w:r>
              <w:rPr>
                <w:rFonts w:cs="Times New Roman"/>
                <w:kern w:val="0"/>
                <w:sz w:val="21"/>
                <w:szCs w:val="20"/>
              </w:rPr>
              <w:t>8.5</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0.78</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0.733333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总硬度</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138</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265</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≤450</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0.306667</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0.588889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溶解性总固体</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283</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1028</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≤1000</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0.283</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1.028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硫酸盐</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51.3</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275</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≤250</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0.2052</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氯化物</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45.1</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226</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≤250</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0.1804</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0.904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铁</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0.03L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0.03L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≤0.3</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锰</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铜</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锌</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挥发酚</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0.0003L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0.0003L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≤0.002</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0.075</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0.075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阴离子表面活性剂</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0.050L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0.050L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≤0.3</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0.083333</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0.083333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高锰酸盐指数</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0.5L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0.5L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≤3.0</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0.083333</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0.083333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硝酸盐氮</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11.2</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12.8</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≤20</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0.56</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0.64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亚硝酸盐氮</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0.125</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0.125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氨氮</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0.025L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0.025L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≤0.2</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0.0625</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0.0625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氟化物</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1.26</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1.4</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1.26</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氰化物</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0.004L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0.004L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0.04</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汞</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0.00001L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0.00001L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≤0.001</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砷</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0.0018</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0.0039</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0.036</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0.078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硒</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0.0005L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0.0005L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0.025</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镉</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0.0001L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0.0001L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六价铬</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0.011</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0.011</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0.22</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0.22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铅</w:t>
            </w:r>
            <w:r>
              <w:rPr>
                <w:rFonts w:cs="Times New Roman"/>
                <w:kern w:val="0"/>
                <w:sz w:val="21"/>
                <w:szCs w:val="20"/>
              </w:rPr>
              <w:t>mg/L</w:t>
            </w:r>
          </w:p>
        </w:tc>
        <w:tc>
          <w:tcPr>
            <w:tcW w:w="1314"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0.001L</w:t>
            </w:r>
          </w:p>
        </w:tc>
        <w:tc>
          <w:tcPr>
            <w:tcW w:w="1315"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0.001L</w:t>
            </w:r>
          </w:p>
        </w:tc>
        <w:tc>
          <w:tcPr>
            <w:tcW w:w="1339"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9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w:t>
            </w:r>
          </w:p>
        </w:tc>
        <w:tc>
          <w:tcPr>
            <w:tcW w:w="1295"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514" w:type="dxa"/>
            <w:tcBorders>
              <w:top w:val="dotted" w:color="auto" w:sz="4" w:space="0"/>
              <w:left w:val="nil"/>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镍</w:t>
            </w:r>
            <w:r>
              <w:rPr>
                <w:rFonts w:cs="Times New Roman"/>
                <w:kern w:val="0"/>
                <w:sz w:val="21"/>
                <w:szCs w:val="20"/>
              </w:rPr>
              <w:t>mg/L</w:t>
            </w:r>
          </w:p>
        </w:tc>
        <w:tc>
          <w:tcPr>
            <w:tcW w:w="1314"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0.01L</w:t>
            </w:r>
          </w:p>
        </w:tc>
        <w:tc>
          <w:tcPr>
            <w:tcW w:w="1315"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0.01L</w:t>
            </w:r>
          </w:p>
        </w:tc>
        <w:tc>
          <w:tcPr>
            <w:tcW w:w="1339"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93"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w:t>
            </w:r>
          </w:p>
        </w:tc>
        <w:tc>
          <w:tcPr>
            <w:tcW w:w="1295" w:type="dxa"/>
            <w:tcBorders>
              <w:top w:val="dotted" w:color="auto" w:sz="4" w:space="0"/>
              <w:left w:val="dotted" w:color="auto" w:sz="4" w:space="0"/>
              <w:bottom w:val="single" w:color="auto" w:sz="12"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w:t>
            </w:r>
          </w:p>
        </w:tc>
      </w:tr>
    </w:tbl>
    <w:p>
      <w:pPr>
        <w:snapToGrid w:val="0"/>
        <w:ind w:firstLine="480"/>
        <w:rPr>
          <w:szCs w:val="24"/>
        </w:rPr>
      </w:pPr>
    </w:p>
    <w:p>
      <w:pPr>
        <w:snapToGrid w:val="0"/>
        <w:ind w:firstLine="480"/>
        <w:rPr>
          <w:rFonts w:ascii="宋体" w:hAnsi="宋体"/>
          <w:color w:val="3333FF"/>
        </w:rPr>
      </w:pPr>
      <w:r>
        <w:rPr>
          <w:rFonts w:hint="eastAsia"/>
          <w:szCs w:val="24"/>
        </w:rPr>
        <w:t>表</w:t>
      </w:r>
      <w:r>
        <w:rPr>
          <w:szCs w:val="24"/>
        </w:rPr>
        <w:t>5.3</w:t>
      </w:r>
      <w:r>
        <w:rPr>
          <w:rFonts w:hint="eastAsia"/>
          <w:szCs w:val="24"/>
        </w:rPr>
        <w:t>—</w:t>
      </w:r>
      <w:r>
        <w:rPr>
          <w:szCs w:val="24"/>
        </w:rPr>
        <w:t>2(2)         3#</w:t>
      </w:r>
      <w:r>
        <w:rPr>
          <w:rFonts w:hint="eastAsia"/>
          <w:szCs w:val="24"/>
        </w:rPr>
        <w:t>和</w:t>
      </w:r>
      <w:r>
        <w:rPr>
          <w:szCs w:val="24"/>
        </w:rPr>
        <w:t>4#</w:t>
      </w:r>
      <w:r>
        <w:rPr>
          <w:rFonts w:hint="eastAsia"/>
          <w:szCs w:val="24"/>
        </w:rPr>
        <w:t>地下水监测和评价结果一览表</w:t>
      </w:r>
    </w:p>
    <w:tbl>
      <w:tblPr>
        <w:tblStyle w:val="181"/>
        <w:tblW w:w="9070"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631"/>
        <w:gridCol w:w="1346"/>
        <w:gridCol w:w="1346"/>
        <w:gridCol w:w="1202"/>
        <w:gridCol w:w="1273"/>
        <w:gridCol w:w="1272"/>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vMerge w:val="restart"/>
            <w:tcBorders>
              <w:top w:val="single" w:color="auto" w:sz="12" w:space="0"/>
              <w:left w:val="nil"/>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监测项目</w:t>
            </w:r>
          </w:p>
        </w:tc>
        <w:tc>
          <w:tcPr>
            <w:tcW w:w="2692" w:type="dxa"/>
            <w:gridSpan w:val="2"/>
            <w:tcBorders>
              <w:top w:val="single" w:color="auto" w:sz="12" w:space="0"/>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监测结果</w:t>
            </w:r>
          </w:p>
        </w:tc>
        <w:tc>
          <w:tcPr>
            <w:tcW w:w="1202" w:type="dxa"/>
            <w:vMerge w:val="restart"/>
            <w:tcBorders>
              <w:top w:val="single" w:color="auto" w:sz="12" w:space="0"/>
              <w:bottom w:val="dotted" w:color="auto" w:sz="4" w:space="0"/>
              <w:right w:val="dotted" w:color="auto" w:sz="4" w:space="0"/>
              <w:insideV w:val="dotted" w:sz="4" w:space="0"/>
              <w:tl2br w:val="nil"/>
              <w:tr2bl w:val="nil"/>
            </w:tcBorders>
            <w:noWrap/>
            <w:vAlign w:val="center"/>
          </w:tcPr>
          <w:p>
            <w:pPr>
              <w:spacing w:line="240" w:lineRule="auto"/>
              <w:ind w:firstLine="0" w:firstLineChars="0"/>
              <w:rPr>
                <w:rFonts w:cs="Times New Roman"/>
                <w:kern w:val="0"/>
                <w:sz w:val="21"/>
                <w:szCs w:val="20"/>
              </w:rPr>
            </w:pPr>
            <w:r>
              <w:rPr>
                <w:rFonts w:hint="eastAsia" w:hAnsi="宋体" w:cs="Times New Roman"/>
                <w:kern w:val="0"/>
                <w:sz w:val="21"/>
                <w:szCs w:val="20"/>
              </w:rPr>
              <w:t>标准限值</w:t>
            </w:r>
          </w:p>
        </w:tc>
        <w:tc>
          <w:tcPr>
            <w:tcW w:w="2545" w:type="dxa"/>
            <w:gridSpan w:val="2"/>
            <w:tcBorders>
              <w:top w:val="single" w:color="auto" w:sz="12" w:space="0"/>
              <w:bottom w:val="dotted" w:color="auto" w:sz="4" w:space="0"/>
              <w:right w:val="nil"/>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评价结果</w:t>
            </w:r>
            <w:r>
              <w:rPr>
                <w:rFonts w:hAnsi="宋体" w:cs="Times New Roman"/>
                <w:kern w:val="0"/>
                <w:sz w:val="21"/>
                <w:szCs w:val="20"/>
              </w:rPr>
              <w:t>(</w:t>
            </w:r>
            <w:r>
              <w:rPr>
                <w:rFonts w:hint="eastAsia" w:hAnsi="宋体" w:cs="Times New Roman"/>
                <w:kern w:val="0"/>
                <w:sz w:val="21"/>
                <w:szCs w:val="20"/>
              </w:rPr>
              <w:t>无量纲</w:t>
            </w:r>
            <w:r>
              <w:rPr>
                <w:rFonts w:hAnsi="宋体" w:cs="Times New Roman"/>
                <w:kern w:val="0"/>
                <w:sz w:val="21"/>
                <w:szCs w:val="20"/>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kern w:val="0"/>
                <w:sz w:val="21"/>
                <w:szCs w:val="20"/>
              </w:rPr>
            </w:pP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3#</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w:t>
            </w:r>
          </w:p>
        </w:tc>
        <w:tc>
          <w:tcPr>
            <w:tcW w:w="1202"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uto"/>
              <w:ind w:firstLine="0" w:firstLineChars="0"/>
              <w:jc w:val="left"/>
              <w:rPr>
                <w:rFonts w:cs="Times New Roman"/>
                <w:kern w:val="0"/>
                <w:sz w:val="21"/>
                <w:szCs w:val="20"/>
              </w:rPr>
            </w:pP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3#</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pH</w:t>
            </w:r>
            <w:r>
              <w:rPr>
                <w:rFonts w:hAnsi="宋体" w:cs="Times New Roman"/>
                <w:kern w:val="0"/>
                <w:sz w:val="21"/>
                <w:szCs w:val="20"/>
              </w:rPr>
              <w:t>(</w:t>
            </w:r>
            <w:r>
              <w:rPr>
                <w:rFonts w:hint="eastAsia" w:hAnsi="宋体" w:cs="Times New Roman"/>
                <w:kern w:val="0"/>
                <w:sz w:val="21"/>
                <w:szCs w:val="20"/>
              </w:rPr>
              <w:t>无量纲</w:t>
            </w:r>
            <w:r>
              <w:rPr>
                <w:rFonts w:hAnsi="宋体" w:cs="Times New Roman"/>
                <w:kern w:val="0"/>
                <w:sz w:val="21"/>
                <w:szCs w:val="20"/>
              </w:rPr>
              <w:t>)</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7.43</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7.63</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6.5-8.5</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0.287</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0.420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总硬度</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282</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280</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≤450</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0.627</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0.622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溶解性总固体</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1475</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1420</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≤1000</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1.475</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1.420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硫酸盐</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425</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210</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≤250</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1.700</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0.840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氯化物</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312</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114</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≤250</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1.248</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0.456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铁</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0.17</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0.03L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≤0.3</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0.567</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锰</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0.07</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0.700</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铜</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0.025</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锌</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0.010</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挥发酚</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0.0003L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0.0003L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≤0.002</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0.075</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0.075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高锰酸盐指数</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0.7</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≤3.0</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0.333</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0.233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硝酸盐氮</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4.05</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8.58</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≤20</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0.203</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0.429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亚硝酸盐氮</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0.125</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0.125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氨氮</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0.025L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0.049</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≤0.2</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0.063</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0.063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氟化物</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2.66</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0.44</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≤1.0</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2.660</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0.440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氰化物</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0.004L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0.004L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0.040</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0.040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汞</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0.00001L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0.00001L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≤0.001</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砷</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0.0009</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0.0011</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0.018</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硒</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0.0005L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0.0005L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0.025</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0.025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镉</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0.0001L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0.0001L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六价铬</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0.03</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0.008</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0.600</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铅</w:t>
            </w:r>
            <w:r>
              <w:rPr>
                <w:rFonts w:cs="Times New Roman"/>
                <w:kern w:val="0"/>
                <w:sz w:val="21"/>
                <w:szCs w:val="20"/>
              </w:rPr>
              <w:t>mg/L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0.001L</w:t>
            </w:r>
          </w:p>
        </w:tc>
        <w:tc>
          <w:tcPr>
            <w:tcW w:w="1346"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0.001L</w:t>
            </w:r>
          </w:p>
        </w:tc>
        <w:tc>
          <w:tcPr>
            <w:tcW w:w="120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7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0.010</w:t>
            </w:r>
          </w:p>
        </w:tc>
        <w:tc>
          <w:tcPr>
            <w:tcW w:w="1272" w:type="dxa"/>
            <w:tcBorders>
              <w:top w:val="dotted" w:color="auto" w:sz="4" w:space="0"/>
              <w:left w:val="dotted" w:color="auto" w:sz="4" w:space="0"/>
              <w:bottom w:val="dotted" w:color="auto" w:sz="4"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2631" w:type="dxa"/>
            <w:tcBorders>
              <w:top w:val="dotted" w:color="auto" w:sz="4" w:space="0"/>
              <w:left w:val="nil"/>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镍</w:t>
            </w:r>
            <w:r>
              <w:rPr>
                <w:rFonts w:cs="Times New Roman"/>
                <w:kern w:val="0"/>
                <w:sz w:val="21"/>
                <w:szCs w:val="20"/>
              </w:rPr>
              <w:t>mg/L</w:t>
            </w:r>
          </w:p>
        </w:tc>
        <w:tc>
          <w:tcPr>
            <w:tcW w:w="1346"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0.01L</w:t>
            </w:r>
          </w:p>
        </w:tc>
        <w:tc>
          <w:tcPr>
            <w:tcW w:w="1346"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0.01L</w:t>
            </w:r>
          </w:p>
        </w:tc>
        <w:tc>
          <w:tcPr>
            <w:tcW w:w="1202"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≤0.05</w:t>
            </w:r>
          </w:p>
        </w:tc>
        <w:tc>
          <w:tcPr>
            <w:tcW w:w="1273"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0.100</w:t>
            </w:r>
          </w:p>
        </w:tc>
        <w:tc>
          <w:tcPr>
            <w:tcW w:w="1272" w:type="dxa"/>
            <w:tcBorders>
              <w:top w:val="dotted" w:color="auto" w:sz="4" w:space="0"/>
              <w:left w:val="dotted" w:color="auto" w:sz="4" w:space="0"/>
              <w:bottom w:val="single" w:color="auto" w:sz="12" w:space="0"/>
              <w:right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0.100</w:t>
            </w:r>
          </w:p>
        </w:tc>
      </w:tr>
    </w:tbl>
    <w:p>
      <w:pPr>
        <w:snapToGrid w:val="0"/>
        <w:ind w:firstLine="480"/>
        <w:rPr>
          <w:szCs w:val="24"/>
        </w:rPr>
      </w:pPr>
      <w:bookmarkStart w:id="373" w:name="_Toc503368941"/>
    </w:p>
    <w:p>
      <w:pPr>
        <w:pStyle w:val="5"/>
        <w:snapToGrid w:val="0"/>
        <w:rPr>
          <w:szCs w:val="24"/>
        </w:rPr>
      </w:pPr>
      <w:bookmarkStart w:id="374" w:name="_Toc13760196"/>
      <w:r>
        <w:rPr>
          <w:szCs w:val="24"/>
        </w:rPr>
        <w:t>5.3.2</w:t>
      </w:r>
      <w:r>
        <w:rPr>
          <w:rFonts w:hint="eastAsia"/>
          <w:szCs w:val="24"/>
        </w:rPr>
        <w:t>地下水水位监测</w:t>
      </w:r>
      <w:bookmarkEnd w:id="373"/>
      <w:bookmarkEnd w:id="374"/>
    </w:p>
    <w:p>
      <w:pPr>
        <w:snapToGrid w:val="0"/>
        <w:ind w:firstLine="480"/>
      </w:pPr>
      <w:r>
        <w:rPr>
          <w:rFonts w:hint="eastAsia"/>
        </w:rPr>
        <w:t>本次地下水水位监测引用了内蒙古地质调查院于</w:t>
      </w:r>
      <w:r>
        <w:t>2015</w:t>
      </w:r>
      <w:r>
        <w:rPr>
          <w:rFonts w:hint="eastAsia"/>
        </w:rPr>
        <w:t>年在腾格里园区进行水文地质勘察时，于</w:t>
      </w:r>
      <w:r>
        <w:t>2015</w:t>
      </w:r>
      <w:r>
        <w:rPr>
          <w:rFonts w:hint="eastAsia"/>
        </w:rPr>
        <w:t>年</w:t>
      </w:r>
      <w:r>
        <w:t>1</w:t>
      </w:r>
      <w:r>
        <w:rPr>
          <w:rFonts w:hint="eastAsia"/>
        </w:rPr>
        <w:t>月</w:t>
      </w:r>
      <w:r>
        <w:t>5</w:t>
      </w:r>
      <w:r>
        <w:rPr>
          <w:rFonts w:hint="eastAsia"/>
        </w:rPr>
        <w:t>日</w:t>
      </w:r>
      <w:r>
        <w:t>(</w:t>
      </w:r>
      <w:r>
        <w:rPr>
          <w:rFonts w:hint="eastAsia"/>
        </w:rPr>
        <w:t>枯水期</w:t>
      </w:r>
      <w:r>
        <w:t>)</w:t>
      </w:r>
      <w:r>
        <w:rPr>
          <w:rFonts w:hint="eastAsia"/>
        </w:rPr>
        <w:t>、</w:t>
      </w:r>
      <w:r>
        <w:t>2015</w:t>
      </w:r>
      <w:r>
        <w:rPr>
          <w:rFonts w:hint="eastAsia"/>
        </w:rPr>
        <w:t>年</w:t>
      </w:r>
      <w:r>
        <w:t>6</w:t>
      </w:r>
      <w:r>
        <w:rPr>
          <w:rFonts w:hint="eastAsia"/>
        </w:rPr>
        <w:t>月</w:t>
      </w:r>
      <w:r>
        <w:t>5</w:t>
      </w:r>
      <w:r>
        <w:rPr>
          <w:rFonts w:hint="eastAsia"/>
        </w:rPr>
        <w:t>日</w:t>
      </w:r>
      <w:r>
        <w:t>(</w:t>
      </w:r>
      <w:r>
        <w:rPr>
          <w:rFonts w:hint="eastAsia"/>
        </w:rPr>
        <w:t>平水期</w:t>
      </w:r>
      <w:r>
        <w:t>)</w:t>
      </w:r>
      <w:r>
        <w:rPr>
          <w:rFonts w:hint="eastAsia"/>
        </w:rPr>
        <w:t>和</w:t>
      </w:r>
      <w:r>
        <w:t>2015</w:t>
      </w:r>
      <w:r>
        <w:rPr>
          <w:rFonts w:hint="eastAsia"/>
        </w:rPr>
        <w:t>年</w:t>
      </w:r>
      <w:r>
        <w:t>9</w:t>
      </w:r>
      <w:r>
        <w:rPr>
          <w:rFonts w:hint="eastAsia"/>
        </w:rPr>
        <w:t>月</w:t>
      </w:r>
      <w:r>
        <w:t>5</w:t>
      </w:r>
      <w:r>
        <w:rPr>
          <w:rFonts w:hint="eastAsia"/>
        </w:rPr>
        <w:t>日</w:t>
      </w:r>
      <w:r>
        <w:t>(</w:t>
      </w:r>
      <w:r>
        <w:rPr>
          <w:rFonts w:hint="eastAsia"/>
        </w:rPr>
        <w:t>丰水期</w:t>
      </w:r>
      <w:r>
        <w:t>)</w:t>
      </w:r>
      <w:r>
        <w:rPr>
          <w:rFonts w:hint="eastAsia"/>
        </w:rPr>
        <w:t>进行的水位监测数据和地下水等水位线。见表</w:t>
      </w:r>
      <w:r>
        <w:t>5.3</w:t>
      </w:r>
      <w:r>
        <w:rPr>
          <w:rFonts w:hint="eastAsia"/>
        </w:rPr>
        <w:t>—</w:t>
      </w:r>
      <w:r>
        <w:t>3</w:t>
      </w:r>
      <w:r>
        <w:rPr>
          <w:rFonts w:hint="eastAsia"/>
        </w:rPr>
        <w:t>和图</w:t>
      </w:r>
      <w:r>
        <w:t>5.3</w:t>
      </w:r>
      <w:r>
        <w:rPr>
          <w:rFonts w:hint="eastAsia"/>
        </w:rPr>
        <w:t>—</w:t>
      </w:r>
      <w:r>
        <w:t>2</w:t>
      </w:r>
      <w:r>
        <w:rPr>
          <w:rFonts w:hint="eastAsia"/>
        </w:rPr>
        <w:t>。</w:t>
      </w:r>
    </w:p>
    <w:p>
      <w:pPr>
        <w:snapToGrid w:val="0"/>
        <w:ind w:firstLine="480"/>
      </w:pPr>
      <w:r>
        <w:rPr>
          <w:rFonts w:hint="eastAsia"/>
        </w:rPr>
        <w:t>由丰、平、枯三期地下水等水位线图可知：评价区地下水径流方向为自北向南径流，从枯水期到丰水期，地下水流向和等水位线形状保持不变。</w:t>
      </w:r>
    </w:p>
    <w:p>
      <w:pPr>
        <w:snapToGrid w:val="0"/>
        <w:ind w:firstLine="480"/>
      </w:pPr>
      <w:r>
        <w:rPr>
          <w:rFonts w:hint="eastAsia"/>
          <w:szCs w:val="24"/>
        </w:rPr>
        <w:t>表</w:t>
      </w:r>
      <w:r>
        <w:rPr>
          <w:szCs w:val="24"/>
        </w:rPr>
        <w:t>5.3</w:t>
      </w:r>
      <w:r>
        <w:rPr>
          <w:rFonts w:hint="eastAsia"/>
          <w:szCs w:val="24"/>
        </w:rPr>
        <w:t>—</w:t>
      </w:r>
      <w:r>
        <w:rPr>
          <w:szCs w:val="24"/>
        </w:rPr>
        <w:t xml:space="preserve">3             </w:t>
      </w:r>
      <w:r>
        <w:rPr>
          <w:rFonts w:hint="eastAsia"/>
          <w:szCs w:val="24"/>
        </w:rPr>
        <w:t>地下水水位监测结果一览表</w:t>
      </w:r>
    </w:p>
    <w:tbl>
      <w:tblPr>
        <w:tblStyle w:val="181"/>
        <w:tblW w:w="9070"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734"/>
        <w:gridCol w:w="1372"/>
        <w:gridCol w:w="1263"/>
        <w:gridCol w:w="662"/>
        <w:gridCol w:w="1178"/>
        <w:gridCol w:w="1272"/>
        <w:gridCol w:w="1272"/>
        <w:gridCol w:w="131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734" w:type="dxa"/>
            <w:tcBorders>
              <w:top w:val="single" w:color="auto" w:sz="12" w:space="0"/>
              <w:left w:val="nil"/>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点号</w:t>
            </w:r>
          </w:p>
        </w:tc>
        <w:tc>
          <w:tcPr>
            <w:tcW w:w="1372" w:type="dxa"/>
            <w:tcBorders>
              <w:top w:val="single" w:color="auto" w:sz="12" w:space="0"/>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X</w:t>
            </w:r>
          </w:p>
        </w:tc>
        <w:tc>
          <w:tcPr>
            <w:tcW w:w="1263" w:type="dxa"/>
            <w:tcBorders>
              <w:top w:val="single" w:color="auto" w:sz="12" w:space="0"/>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Y</w:t>
            </w:r>
          </w:p>
        </w:tc>
        <w:tc>
          <w:tcPr>
            <w:tcW w:w="662" w:type="dxa"/>
            <w:tcBorders>
              <w:top w:val="single" w:color="auto" w:sz="12" w:space="0"/>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井深</w:t>
            </w:r>
          </w:p>
        </w:tc>
        <w:tc>
          <w:tcPr>
            <w:tcW w:w="1178" w:type="dxa"/>
            <w:tcBorders>
              <w:top w:val="single" w:color="auto" w:sz="12" w:space="0"/>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2015.1.5</w:t>
            </w:r>
          </w:p>
          <w:p>
            <w:pPr>
              <w:widowControl/>
              <w:spacing w:line="240" w:lineRule="auto"/>
              <w:ind w:firstLine="0" w:firstLineChars="0"/>
              <w:rPr>
                <w:rFonts w:cs="Times New Roman"/>
                <w:kern w:val="0"/>
                <w:sz w:val="21"/>
                <w:szCs w:val="20"/>
              </w:rPr>
            </w:pPr>
            <w:r>
              <w:rPr>
                <w:rFonts w:cs="Times New Roman"/>
                <w:kern w:val="0"/>
                <w:sz w:val="21"/>
                <w:szCs w:val="20"/>
              </w:rPr>
              <w:t>(</w:t>
            </w:r>
            <w:r>
              <w:rPr>
                <w:rFonts w:hint="eastAsia" w:hAnsi="宋体" w:cs="Times New Roman"/>
                <w:kern w:val="0"/>
                <w:sz w:val="21"/>
                <w:szCs w:val="20"/>
              </w:rPr>
              <w:t>枯水期</w:t>
            </w:r>
            <w:r>
              <w:rPr>
                <w:rFonts w:cs="Times New Roman"/>
                <w:kern w:val="0"/>
                <w:sz w:val="21"/>
                <w:szCs w:val="20"/>
              </w:rPr>
              <w:t>)</w:t>
            </w:r>
          </w:p>
        </w:tc>
        <w:tc>
          <w:tcPr>
            <w:tcW w:w="1272" w:type="dxa"/>
            <w:tcBorders>
              <w:top w:val="single" w:color="auto" w:sz="12" w:space="0"/>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2015.6.5</w:t>
            </w:r>
          </w:p>
          <w:p>
            <w:pPr>
              <w:widowControl/>
              <w:spacing w:line="240" w:lineRule="auto"/>
              <w:ind w:firstLine="0" w:firstLineChars="0"/>
              <w:rPr>
                <w:rFonts w:cs="Times New Roman"/>
                <w:kern w:val="0"/>
                <w:sz w:val="21"/>
                <w:szCs w:val="20"/>
              </w:rPr>
            </w:pPr>
            <w:r>
              <w:rPr>
                <w:rFonts w:cs="Times New Roman"/>
                <w:kern w:val="0"/>
                <w:sz w:val="21"/>
                <w:szCs w:val="20"/>
              </w:rPr>
              <w:t>(</w:t>
            </w:r>
            <w:r>
              <w:rPr>
                <w:rFonts w:hint="eastAsia" w:hAnsi="宋体" w:cs="Times New Roman"/>
                <w:kern w:val="0"/>
                <w:sz w:val="21"/>
                <w:szCs w:val="20"/>
              </w:rPr>
              <w:t>平水期</w:t>
            </w:r>
            <w:r>
              <w:rPr>
                <w:rFonts w:cs="Times New Roman"/>
                <w:kern w:val="0"/>
                <w:sz w:val="21"/>
                <w:szCs w:val="20"/>
              </w:rPr>
              <w:t>)</w:t>
            </w:r>
          </w:p>
        </w:tc>
        <w:tc>
          <w:tcPr>
            <w:tcW w:w="1272" w:type="dxa"/>
            <w:tcBorders>
              <w:top w:val="single" w:color="auto" w:sz="12" w:space="0"/>
              <w:bottom w:val="dotted" w:color="auto" w:sz="4" w:space="0"/>
              <w:right w:val="dotted" w:color="auto" w:sz="4" w:space="0"/>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 xml:space="preserve">2015.9.5 </w:t>
            </w:r>
          </w:p>
          <w:p>
            <w:pPr>
              <w:widowControl/>
              <w:spacing w:line="240" w:lineRule="auto"/>
              <w:ind w:firstLine="0" w:firstLineChars="0"/>
              <w:rPr>
                <w:rFonts w:cs="Times New Roman"/>
                <w:kern w:val="0"/>
                <w:sz w:val="21"/>
                <w:szCs w:val="20"/>
              </w:rPr>
            </w:pPr>
            <w:r>
              <w:rPr>
                <w:rFonts w:cs="Times New Roman"/>
                <w:kern w:val="0"/>
                <w:sz w:val="21"/>
                <w:szCs w:val="20"/>
              </w:rPr>
              <w:t>(</w:t>
            </w:r>
            <w:r>
              <w:rPr>
                <w:rFonts w:hint="eastAsia" w:hAnsi="宋体" w:cs="Times New Roman"/>
                <w:kern w:val="0"/>
                <w:sz w:val="21"/>
                <w:szCs w:val="20"/>
              </w:rPr>
              <w:t>丰水期</w:t>
            </w:r>
            <w:r>
              <w:rPr>
                <w:rFonts w:cs="Times New Roman"/>
                <w:kern w:val="0"/>
                <w:sz w:val="21"/>
                <w:szCs w:val="20"/>
              </w:rPr>
              <w:t>)</w:t>
            </w:r>
          </w:p>
        </w:tc>
        <w:tc>
          <w:tcPr>
            <w:tcW w:w="1317" w:type="dxa"/>
            <w:tcBorders>
              <w:top w:val="single" w:color="auto" w:sz="12" w:space="0"/>
              <w:bottom w:val="dotted" w:color="auto" w:sz="4" w:space="0"/>
              <w:right w:val="nil"/>
              <w:insideV w:val="dotted" w:sz="4" w:space="0"/>
              <w:tl2br w:val="nil"/>
              <w:tr2bl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监测层位</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73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ZK4</w:t>
            </w:r>
          </w:p>
        </w:tc>
        <w:tc>
          <w:tcPr>
            <w:tcW w:w="13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18508399.58</w:t>
            </w:r>
          </w:p>
        </w:tc>
        <w:tc>
          <w:tcPr>
            <w:tcW w:w="126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4173055.16</w:t>
            </w:r>
          </w:p>
        </w:tc>
        <w:tc>
          <w:tcPr>
            <w:tcW w:w="66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272</w:t>
            </w:r>
          </w:p>
        </w:tc>
        <w:tc>
          <w:tcPr>
            <w:tcW w:w="1178"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1289.91</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1290.11</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1290.35</w:t>
            </w:r>
          </w:p>
        </w:tc>
        <w:tc>
          <w:tcPr>
            <w:tcW w:w="1317" w:type="dxa"/>
            <w:vMerge w:val="restart"/>
            <w:tcBorders>
              <w:top w:val="dotted" w:color="auto" w:sz="4" w:space="0"/>
              <w:left w:val="dotted" w:color="auto" w:sz="4" w:space="0"/>
              <w:bottom w:val="single" w:color="auto" w:sz="12" w:space="0"/>
              <w:right w:val="nil"/>
            </w:tcBorders>
            <w:noWrap/>
            <w:vAlign w:val="center"/>
          </w:tcPr>
          <w:p>
            <w:pPr>
              <w:widowControl/>
              <w:spacing w:line="240" w:lineRule="auto"/>
              <w:ind w:firstLine="0" w:firstLineChars="0"/>
              <w:rPr>
                <w:rFonts w:cs="Times New Roman"/>
                <w:kern w:val="0"/>
                <w:sz w:val="21"/>
                <w:szCs w:val="20"/>
              </w:rPr>
            </w:pPr>
            <w:r>
              <w:rPr>
                <w:rFonts w:hint="eastAsia" w:hAnsi="宋体" w:cs="Times New Roman"/>
                <w:kern w:val="0"/>
                <w:sz w:val="21"/>
                <w:szCs w:val="20"/>
              </w:rPr>
              <w:t>第二含水层</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73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ZK16</w:t>
            </w:r>
          </w:p>
        </w:tc>
        <w:tc>
          <w:tcPr>
            <w:tcW w:w="13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18514781.34</w:t>
            </w:r>
          </w:p>
        </w:tc>
        <w:tc>
          <w:tcPr>
            <w:tcW w:w="126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4173499.66</w:t>
            </w:r>
          </w:p>
        </w:tc>
        <w:tc>
          <w:tcPr>
            <w:tcW w:w="66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29</w:t>
            </w:r>
          </w:p>
        </w:tc>
        <w:tc>
          <w:tcPr>
            <w:tcW w:w="1178"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1310.78</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1311.93</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1312.23</w:t>
            </w:r>
          </w:p>
        </w:tc>
        <w:tc>
          <w:tcPr>
            <w:tcW w:w="1317" w:type="dxa"/>
            <w:vMerge w:val="continue"/>
            <w:tcBorders>
              <w:top w:val="dotted" w:color="auto" w:sz="4" w:space="0"/>
              <w:left w:val="dotted" w:color="auto" w:sz="4" w:space="0"/>
              <w:bottom w:val="single" w:color="auto" w:sz="12" w:space="0"/>
              <w:right w:val="nil"/>
            </w:tcBorders>
            <w:vAlign w:val="center"/>
          </w:tcPr>
          <w:p>
            <w:pPr>
              <w:widowControl/>
              <w:spacing w:line="240" w:lineRule="auto"/>
              <w:ind w:firstLine="0" w:firstLineChars="0"/>
              <w:jc w:val="left"/>
              <w:rPr>
                <w:rFonts w:cs="Times New Roman"/>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73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ZK14</w:t>
            </w:r>
          </w:p>
        </w:tc>
        <w:tc>
          <w:tcPr>
            <w:tcW w:w="13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18512339.32</w:t>
            </w:r>
          </w:p>
        </w:tc>
        <w:tc>
          <w:tcPr>
            <w:tcW w:w="126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4179189.00</w:t>
            </w:r>
          </w:p>
        </w:tc>
        <w:tc>
          <w:tcPr>
            <w:tcW w:w="66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223</w:t>
            </w:r>
          </w:p>
        </w:tc>
        <w:tc>
          <w:tcPr>
            <w:tcW w:w="1178"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1338.02</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1338.22</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1338.46</w:t>
            </w:r>
          </w:p>
        </w:tc>
        <w:tc>
          <w:tcPr>
            <w:tcW w:w="1317" w:type="dxa"/>
            <w:vMerge w:val="continue"/>
            <w:tcBorders>
              <w:top w:val="dotted" w:color="auto" w:sz="4" w:space="0"/>
              <w:left w:val="dotted" w:color="auto" w:sz="4" w:space="0"/>
              <w:bottom w:val="single" w:color="auto" w:sz="12" w:space="0"/>
              <w:right w:val="nil"/>
            </w:tcBorders>
            <w:vAlign w:val="center"/>
          </w:tcPr>
          <w:p>
            <w:pPr>
              <w:widowControl/>
              <w:spacing w:line="240" w:lineRule="auto"/>
              <w:ind w:firstLine="0" w:firstLineChars="0"/>
              <w:jc w:val="left"/>
              <w:rPr>
                <w:rFonts w:cs="Times New Roman"/>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73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S30</w:t>
            </w:r>
          </w:p>
        </w:tc>
        <w:tc>
          <w:tcPr>
            <w:tcW w:w="13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18509858.88</w:t>
            </w:r>
          </w:p>
        </w:tc>
        <w:tc>
          <w:tcPr>
            <w:tcW w:w="126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4171270.59</w:t>
            </w:r>
          </w:p>
        </w:tc>
        <w:tc>
          <w:tcPr>
            <w:tcW w:w="66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180</w:t>
            </w:r>
          </w:p>
        </w:tc>
        <w:tc>
          <w:tcPr>
            <w:tcW w:w="1178"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1286.68</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1286.95</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1287.23</w:t>
            </w:r>
          </w:p>
        </w:tc>
        <w:tc>
          <w:tcPr>
            <w:tcW w:w="1317" w:type="dxa"/>
            <w:vMerge w:val="continue"/>
            <w:tcBorders>
              <w:top w:val="dotted" w:color="auto" w:sz="4" w:space="0"/>
              <w:left w:val="dotted" w:color="auto" w:sz="4" w:space="0"/>
              <w:bottom w:val="single" w:color="auto" w:sz="12" w:space="0"/>
              <w:right w:val="nil"/>
            </w:tcBorders>
            <w:vAlign w:val="center"/>
          </w:tcPr>
          <w:p>
            <w:pPr>
              <w:widowControl/>
              <w:spacing w:line="240" w:lineRule="auto"/>
              <w:ind w:firstLine="0" w:firstLineChars="0"/>
              <w:jc w:val="left"/>
              <w:rPr>
                <w:rFonts w:cs="Times New Roman"/>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73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S28</w:t>
            </w:r>
          </w:p>
        </w:tc>
        <w:tc>
          <w:tcPr>
            <w:tcW w:w="13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18510942.98</w:t>
            </w:r>
          </w:p>
        </w:tc>
        <w:tc>
          <w:tcPr>
            <w:tcW w:w="126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4177270.02</w:t>
            </w:r>
          </w:p>
        </w:tc>
        <w:tc>
          <w:tcPr>
            <w:tcW w:w="66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168</w:t>
            </w:r>
          </w:p>
        </w:tc>
        <w:tc>
          <w:tcPr>
            <w:tcW w:w="1178"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1322.30</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1324.12</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1324.37</w:t>
            </w:r>
          </w:p>
        </w:tc>
        <w:tc>
          <w:tcPr>
            <w:tcW w:w="1317" w:type="dxa"/>
            <w:vMerge w:val="continue"/>
            <w:tcBorders>
              <w:top w:val="dotted" w:color="auto" w:sz="4" w:space="0"/>
              <w:left w:val="dotted" w:color="auto" w:sz="4" w:space="0"/>
              <w:bottom w:val="single" w:color="auto" w:sz="12" w:space="0"/>
              <w:right w:val="nil"/>
            </w:tcBorders>
            <w:vAlign w:val="center"/>
          </w:tcPr>
          <w:p>
            <w:pPr>
              <w:widowControl/>
              <w:spacing w:line="240" w:lineRule="auto"/>
              <w:ind w:firstLine="0" w:firstLineChars="0"/>
              <w:jc w:val="left"/>
              <w:rPr>
                <w:rFonts w:cs="Times New Roman"/>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73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S26</w:t>
            </w:r>
          </w:p>
        </w:tc>
        <w:tc>
          <w:tcPr>
            <w:tcW w:w="13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18512768.61</w:t>
            </w:r>
          </w:p>
        </w:tc>
        <w:tc>
          <w:tcPr>
            <w:tcW w:w="126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4181543.05</w:t>
            </w:r>
          </w:p>
        </w:tc>
        <w:tc>
          <w:tcPr>
            <w:tcW w:w="66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181</w:t>
            </w:r>
          </w:p>
        </w:tc>
        <w:tc>
          <w:tcPr>
            <w:tcW w:w="1178"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1350.43</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1350.91</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1353.23</w:t>
            </w:r>
          </w:p>
        </w:tc>
        <w:tc>
          <w:tcPr>
            <w:tcW w:w="1317" w:type="dxa"/>
            <w:vMerge w:val="continue"/>
            <w:tcBorders>
              <w:top w:val="dotted" w:color="auto" w:sz="4" w:space="0"/>
              <w:left w:val="dotted" w:color="auto" w:sz="4" w:space="0"/>
              <w:bottom w:val="single" w:color="auto" w:sz="12" w:space="0"/>
              <w:right w:val="nil"/>
            </w:tcBorders>
            <w:vAlign w:val="center"/>
          </w:tcPr>
          <w:p>
            <w:pPr>
              <w:widowControl/>
              <w:spacing w:line="240" w:lineRule="auto"/>
              <w:ind w:firstLine="0" w:firstLineChars="0"/>
              <w:jc w:val="left"/>
              <w:rPr>
                <w:rFonts w:cs="Times New Roman"/>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734" w:type="dxa"/>
            <w:tcBorders>
              <w:top w:val="dotted" w:color="auto" w:sz="4" w:space="0"/>
              <w:left w:val="nil"/>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S15</w:t>
            </w:r>
          </w:p>
        </w:tc>
        <w:tc>
          <w:tcPr>
            <w:tcW w:w="13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18511604.44</w:t>
            </w:r>
          </w:p>
        </w:tc>
        <w:tc>
          <w:tcPr>
            <w:tcW w:w="1263"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4174227.31</w:t>
            </w:r>
          </w:p>
        </w:tc>
        <w:tc>
          <w:tcPr>
            <w:tcW w:w="66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132</w:t>
            </w:r>
          </w:p>
        </w:tc>
        <w:tc>
          <w:tcPr>
            <w:tcW w:w="1178"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1308.75</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1308.93</w:t>
            </w:r>
          </w:p>
        </w:tc>
        <w:tc>
          <w:tcPr>
            <w:tcW w:w="1272" w:type="dxa"/>
            <w:tcBorders>
              <w:top w:val="dotted" w:color="auto" w:sz="4" w:space="0"/>
              <w:left w:val="dotted" w:color="auto" w:sz="4" w:space="0"/>
              <w:bottom w:val="dotted" w:color="auto" w:sz="4"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1309.06</w:t>
            </w:r>
          </w:p>
        </w:tc>
        <w:tc>
          <w:tcPr>
            <w:tcW w:w="1317" w:type="dxa"/>
            <w:vMerge w:val="continue"/>
            <w:tcBorders>
              <w:top w:val="dotted" w:color="auto" w:sz="4" w:space="0"/>
              <w:left w:val="dotted" w:color="auto" w:sz="4" w:space="0"/>
              <w:bottom w:val="single" w:color="auto" w:sz="12" w:space="0"/>
              <w:right w:val="nil"/>
            </w:tcBorders>
            <w:vAlign w:val="center"/>
          </w:tcPr>
          <w:p>
            <w:pPr>
              <w:widowControl/>
              <w:spacing w:line="240" w:lineRule="auto"/>
              <w:ind w:firstLine="0" w:firstLineChars="0"/>
              <w:jc w:val="left"/>
              <w:rPr>
                <w:rFonts w:cs="Times New Roman"/>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272" w:hRule="atLeast"/>
        </w:trPr>
        <w:tc>
          <w:tcPr>
            <w:tcW w:w="734" w:type="dxa"/>
            <w:tcBorders>
              <w:top w:val="dotted" w:color="auto" w:sz="4" w:space="0"/>
              <w:left w:val="nil"/>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S20</w:t>
            </w:r>
          </w:p>
        </w:tc>
        <w:tc>
          <w:tcPr>
            <w:tcW w:w="1372"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18508921.56</w:t>
            </w:r>
          </w:p>
        </w:tc>
        <w:tc>
          <w:tcPr>
            <w:tcW w:w="1263"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4175285.64</w:t>
            </w:r>
          </w:p>
        </w:tc>
        <w:tc>
          <w:tcPr>
            <w:tcW w:w="662"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145</w:t>
            </w:r>
          </w:p>
        </w:tc>
        <w:tc>
          <w:tcPr>
            <w:tcW w:w="1178"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1307.83</w:t>
            </w:r>
          </w:p>
        </w:tc>
        <w:tc>
          <w:tcPr>
            <w:tcW w:w="1272"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1308.05</w:t>
            </w:r>
          </w:p>
        </w:tc>
        <w:tc>
          <w:tcPr>
            <w:tcW w:w="1272" w:type="dxa"/>
            <w:tcBorders>
              <w:top w:val="dotted" w:color="auto" w:sz="4" w:space="0"/>
              <w:left w:val="dotted" w:color="auto" w:sz="4" w:space="0"/>
              <w:bottom w:val="single" w:color="auto" w:sz="12" w:space="0"/>
              <w:right w:val="dotted" w:color="auto" w:sz="4" w:space="0"/>
            </w:tcBorders>
            <w:noWrap/>
            <w:vAlign w:val="center"/>
          </w:tcPr>
          <w:p>
            <w:pPr>
              <w:widowControl/>
              <w:spacing w:line="240" w:lineRule="auto"/>
              <w:ind w:firstLine="0" w:firstLineChars="0"/>
              <w:rPr>
                <w:rFonts w:cs="Times New Roman"/>
                <w:kern w:val="0"/>
                <w:sz w:val="21"/>
                <w:szCs w:val="20"/>
              </w:rPr>
            </w:pPr>
            <w:r>
              <w:rPr>
                <w:rFonts w:cs="Times New Roman"/>
                <w:kern w:val="0"/>
                <w:sz w:val="21"/>
                <w:szCs w:val="20"/>
              </w:rPr>
              <w:t>1308.22</w:t>
            </w:r>
          </w:p>
        </w:tc>
        <w:tc>
          <w:tcPr>
            <w:tcW w:w="1317" w:type="dxa"/>
            <w:vMerge w:val="continue"/>
            <w:tcBorders>
              <w:top w:val="dotted" w:color="auto" w:sz="4" w:space="0"/>
              <w:left w:val="dotted" w:color="auto" w:sz="4" w:space="0"/>
              <w:bottom w:val="single" w:color="auto" w:sz="12" w:space="0"/>
              <w:right w:val="nil"/>
            </w:tcBorders>
            <w:vAlign w:val="center"/>
          </w:tcPr>
          <w:p>
            <w:pPr>
              <w:widowControl/>
              <w:spacing w:line="240" w:lineRule="auto"/>
              <w:ind w:firstLine="0" w:firstLineChars="0"/>
              <w:jc w:val="left"/>
              <w:rPr>
                <w:rFonts w:cs="Times New Roman"/>
                <w:kern w:val="0"/>
                <w:sz w:val="21"/>
                <w:szCs w:val="20"/>
              </w:rPr>
            </w:pPr>
          </w:p>
        </w:tc>
      </w:tr>
    </w:tbl>
    <w:p>
      <w:pPr>
        <w:snapToGrid w:val="0"/>
        <w:ind w:firstLine="0" w:firstLineChars="0"/>
        <w:jc w:val="center"/>
      </w:pPr>
    </w:p>
    <w:p>
      <w:pPr>
        <w:snapToGrid w:val="0"/>
        <w:ind w:firstLine="480"/>
        <w:jc w:val="center"/>
      </w:pPr>
      <w:r>
        <w:t>a</w:t>
      </w:r>
      <w:r>
        <w:rPr>
          <w:rFonts w:hint="eastAsia"/>
        </w:rPr>
        <w:t>、</w:t>
      </w:r>
      <w:r>
        <w:t>2015</w:t>
      </w:r>
      <w:r>
        <w:rPr>
          <w:rFonts w:hint="eastAsia"/>
        </w:rPr>
        <w:t>年</w:t>
      </w:r>
      <w:r>
        <w:t>1</w:t>
      </w:r>
      <w:r>
        <w:rPr>
          <w:rFonts w:hint="eastAsia"/>
        </w:rPr>
        <w:t>月</w:t>
      </w:r>
      <w:r>
        <w:t>5</w:t>
      </w:r>
      <w:r>
        <w:rPr>
          <w:rFonts w:hint="eastAsia"/>
        </w:rPr>
        <w:t>日</w:t>
      </w:r>
      <w:r>
        <w:t>(</w:t>
      </w:r>
      <w:r>
        <w:rPr>
          <w:rFonts w:hint="eastAsia"/>
        </w:rPr>
        <w:t>枯水期</w:t>
      </w:r>
      <w:r>
        <w:t>)</w:t>
      </w:r>
      <w:r>
        <w:rPr>
          <w:rFonts w:hint="eastAsia"/>
        </w:rPr>
        <w:t>等水位线图</w:t>
      </w:r>
    </w:p>
    <w:p>
      <w:pPr>
        <w:snapToGrid w:val="0"/>
        <w:ind w:firstLine="0" w:firstLineChars="0"/>
        <w:jc w:val="center"/>
      </w:pPr>
    </w:p>
    <w:p>
      <w:pPr>
        <w:snapToGrid w:val="0"/>
        <w:ind w:firstLine="480"/>
        <w:jc w:val="center"/>
      </w:pPr>
      <w:r>
        <w:t>b</w:t>
      </w:r>
      <w:r>
        <w:rPr>
          <w:rFonts w:hint="eastAsia"/>
        </w:rPr>
        <w:t>、</w:t>
      </w:r>
      <w:r>
        <w:t>2015</w:t>
      </w:r>
      <w:r>
        <w:rPr>
          <w:rFonts w:hint="eastAsia"/>
        </w:rPr>
        <w:t>年</w:t>
      </w:r>
      <w:r>
        <w:t>6</w:t>
      </w:r>
      <w:r>
        <w:rPr>
          <w:rFonts w:hint="eastAsia"/>
        </w:rPr>
        <w:t>月</w:t>
      </w:r>
      <w:r>
        <w:t>5</w:t>
      </w:r>
      <w:r>
        <w:rPr>
          <w:rFonts w:hint="eastAsia"/>
        </w:rPr>
        <w:t>日</w:t>
      </w:r>
      <w:r>
        <w:t>(</w:t>
      </w:r>
      <w:r>
        <w:rPr>
          <w:rFonts w:hint="eastAsia"/>
        </w:rPr>
        <w:t>平水期</w:t>
      </w:r>
      <w:r>
        <w:t>)</w:t>
      </w:r>
      <w:r>
        <w:rPr>
          <w:rFonts w:hint="eastAsia"/>
        </w:rPr>
        <w:t>等水位线图</w:t>
      </w:r>
    </w:p>
    <w:p>
      <w:pPr>
        <w:snapToGrid w:val="0"/>
        <w:ind w:firstLine="0" w:firstLineChars="0"/>
        <w:jc w:val="center"/>
      </w:pPr>
    </w:p>
    <w:p>
      <w:pPr>
        <w:adjustRightInd w:val="0"/>
        <w:snapToGrid w:val="0"/>
        <w:ind w:firstLine="480"/>
        <w:jc w:val="center"/>
      </w:pPr>
      <w:r>
        <w:t>c</w:t>
      </w:r>
      <w:r>
        <w:rPr>
          <w:rFonts w:hint="eastAsia"/>
        </w:rPr>
        <w:t>、</w:t>
      </w:r>
      <w:r>
        <w:t>2015</w:t>
      </w:r>
      <w:r>
        <w:rPr>
          <w:rFonts w:hint="eastAsia"/>
        </w:rPr>
        <w:t>年</w:t>
      </w:r>
      <w:r>
        <w:t>9</w:t>
      </w:r>
      <w:r>
        <w:rPr>
          <w:rFonts w:hint="eastAsia"/>
        </w:rPr>
        <w:t>月</w:t>
      </w:r>
      <w:r>
        <w:t>5</w:t>
      </w:r>
      <w:r>
        <w:rPr>
          <w:rFonts w:hint="eastAsia"/>
        </w:rPr>
        <w:t>日</w:t>
      </w:r>
      <w:r>
        <w:t>(</w:t>
      </w:r>
      <w:r>
        <w:rPr>
          <w:rFonts w:hint="eastAsia"/>
        </w:rPr>
        <w:t>丰水期</w:t>
      </w:r>
      <w:r>
        <w:t>)</w:t>
      </w:r>
      <w:r>
        <w:rPr>
          <w:rFonts w:hint="eastAsia"/>
        </w:rPr>
        <w:t>等水位线图</w:t>
      </w:r>
    </w:p>
    <w:p>
      <w:pPr>
        <w:adjustRightInd w:val="0"/>
        <w:snapToGrid w:val="0"/>
        <w:ind w:firstLine="480"/>
        <w:jc w:val="center"/>
      </w:pPr>
      <w:r>
        <w:rPr>
          <w:rFonts w:hint="eastAsia"/>
        </w:rPr>
        <w:t>图</w:t>
      </w:r>
      <w:r>
        <w:t>5.3-2 2015</w:t>
      </w:r>
      <w:r>
        <w:rPr>
          <w:rFonts w:hint="eastAsia"/>
        </w:rPr>
        <w:t>年丰、平、枯水期地下水等水位线图</w:t>
      </w:r>
    </w:p>
    <w:p>
      <w:pPr>
        <w:pStyle w:val="87"/>
        <w:ind w:left="480" w:leftChars="0" w:firstLine="480"/>
      </w:pPr>
    </w:p>
    <w:p>
      <w:pPr>
        <w:pStyle w:val="4"/>
      </w:pPr>
      <w:bookmarkStart w:id="375" w:name="_Toc9403079"/>
      <w:bookmarkStart w:id="376" w:name="_Toc13760197"/>
      <w:r>
        <w:t>5.4</w:t>
      </w:r>
      <w:r>
        <w:rPr>
          <w:rFonts w:hint="eastAsia"/>
        </w:rPr>
        <w:t>土壤环境质量现状监测与评价</w:t>
      </w:r>
      <w:bookmarkEnd w:id="375"/>
      <w:bookmarkEnd w:id="376"/>
    </w:p>
    <w:p>
      <w:pPr>
        <w:pStyle w:val="6"/>
      </w:pPr>
      <w:r>
        <w:t xml:space="preserve">5.4.1 </w:t>
      </w:r>
      <w:r>
        <w:rPr>
          <w:rFonts w:hint="eastAsia"/>
        </w:rPr>
        <w:t>处置场土壤环境质量现状监测与评价</w:t>
      </w:r>
    </w:p>
    <w:p>
      <w:pPr>
        <w:adjustRightInd w:val="0"/>
        <w:snapToGrid w:val="0"/>
        <w:ind w:firstLine="480"/>
        <w:rPr>
          <w:rFonts w:cs="Times New Roman"/>
        </w:rPr>
      </w:pPr>
      <w:r>
        <w:rPr>
          <w:rFonts w:cs="Times New Roman"/>
        </w:rPr>
        <w:fldChar w:fldCharType="begin"/>
      </w:r>
      <w:r>
        <w:rPr>
          <w:rFonts w:cs="Times New Roman"/>
        </w:rPr>
        <w:instrText xml:space="preserve">= 1 \* GB2</w:instrText>
      </w:r>
      <w:r>
        <w:rPr>
          <w:rFonts w:cs="Times New Roman"/>
        </w:rPr>
        <w:fldChar w:fldCharType="separate"/>
      </w:r>
      <w:bookmarkStart w:id="377" w:name="_Toc13760198"/>
      <w:bookmarkStart w:id="378" w:name="_Toc13582159"/>
      <w:r>
        <w:rPr>
          <w:rFonts w:hint="eastAsia" w:cs="Times New Roman"/>
        </w:rPr>
        <w:t>⑴</w:t>
      </w:r>
      <w:r>
        <w:rPr>
          <w:rFonts w:cs="Times New Roman"/>
        </w:rPr>
        <w:fldChar w:fldCharType="end"/>
      </w:r>
      <w:r>
        <w:rPr>
          <w:rFonts w:hint="eastAsia" w:cs="Times New Roman"/>
        </w:rPr>
        <w:t>监测点位布设</w:t>
      </w:r>
      <w:bookmarkEnd w:id="377"/>
      <w:bookmarkEnd w:id="378"/>
    </w:p>
    <w:p>
      <w:pPr>
        <w:adjustRightInd w:val="0"/>
        <w:snapToGrid w:val="0"/>
        <w:ind w:firstLine="480"/>
        <w:rPr>
          <w:rFonts w:cs="Times New Roman"/>
        </w:rPr>
      </w:pPr>
      <w:r>
        <w:rPr>
          <w:rFonts w:hint="eastAsia" w:cs="Times New Roman"/>
        </w:rPr>
        <w:t>本次评价土壤环境质量现状监测由宁夏华正检测技术有限公司，取样时间为</w:t>
      </w:r>
      <w:r>
        <w:rPr>
          <w:rFonts w:cs="Times New Roman"/>
        </w:rPr>
        <w:t>2019</w:t>
      </w:r>
      <w:r>
        <w:rPr>
          <w:rFonts w:hint="eastAsia" w:cs="Times New Roman"/>
        </w:rPr>
        <w:t>年</w:t>
      </w:r>
      <w:r>
        <w:rPr>
          <w:rFonts w:cs="Times New Roman"/>
        </w:rPr>
        <w:t>6</w:t>
      </w:r>
      <w:r>
        <w:rPr>
          <w:rFonts w:hint="eastAsia" w:cs="Times New Roman"/>
        </w:rPr>
        <w:t>月</w:t>
      </w:r>
      <w:r>
        <w:rPr>
          <w:rFonts w:cs="Times New Roman"/>
        </w:rPr>
        <w:t>11</w:t>
      </w:r>
      <w:r>
        <w:rPr>
          <w:rFonts w:hint="eastAsia" w:cs="Times New Roman"/>
        </w:rPr>
        <w:t>日，监测</w:t>
      </w:r>
      <w:r>
        <w:rPr>
          <w:rFonts w:cs="Times New Roman"/>
        </w:rPr>
        <w:t>1</w:t>
      </w:r>
      <w:r>
        <w:rPr>
          <w:rFonts w:hint="eastAsia" w:cs="Times New Roman"/>
        </w:rPr>
        <w:t>天。监测布点图见图5.2—1。</w:t>
      </w:r>
    </w:p>
    <w:p>
      <w:pPr>
        <w:adjustRightInd w:val="0"/>
        <w:snapToGrid w:val="0"/>
        <w:ind w:firstLine="480"/>
        <w:rPr>
          <w:rFonts w:cs="Times New Roman"/>
        </w:rPr>
      </w:pPr>
      <w:r>
        <w:rPr>
          <w:rFonts w:hint="eastAsia" w:cs="Times New Roman"/>
        </w:rPr>
        <w:t>监测点位及频次：本次共布设</w:t>
      </w:r>
      <w:r>
        <w:rPr>
          <w:rFonts w:cs="Times New Roman"/>
        </w:rPr>
        <w:t>3</w:t>
      </w:r>
      <w:r>
        <w:rPr>
          <w:rFonts w:hint="eastAsia" w:cs="Times New Roman"/>
        </w:rPr>
        <w:t>个土壤采样点（</w:t>
      </w:r>
      <w:r>
        <w:rPr>
          <w:rFonts w:cs="Times New Roman"/>
        </w:rPr>
        <w:t>3</w:t>
      </w:r>
      <w:r>
        <w:rPr>
          <w:rFonts w:hint="eastAsia" w:cs="Times New Roman"/>
        </w:rPr>
        <w:t>个柱状样、</w:t>
      </w:r>
      <w:r>
        <w:rPr>
          <w:rFonts w:cs="Times New Roman"/>
        </w:rPr>
        <w:t>1</w:t>
      </w:r>
      <w:r>
        <w:rPr>
          <w:rFonts w:hint="eastAsia" w:cs="Times New Roman"/>
        </w:rPr>
        <w:t>个表层样），采样监测</w:t>
      </w:r>
      <w:r>
        <w:rPr>
          <w:rFonts w:cs="Times New Roman"/>
        </w:rPr>
        <w:t>1</w:t>
      </w:r>
      <w:r>
        <w:rPr>
          <w:rFonts w:hint="eastAsia" w:cs="Times New Roman"/>
        </w:rPr>
        <w:t>次，表层样在</w:t>
      </w:r>
      <w:r>
        <w:rPr>
          <w:rFonts w:cs="Times New Roman"/>
        </w:rPr>
        <w:t>0-0.2m</w:t>
      </w:r>
      <w:r>
        <w:rPr>
          <w:rFonts w:hint="eastAsia" w:cs="Times New Roman"/>
        </w:rPr>
        <w:t>取样；柱状样在</w:t>
      </w:r>
      <w:r>
        <w:rPr>
          <w:rFonts w:cs="Times New Roman"/>
        </w:rPr>
        <w:t>0-0.5m</w:t>
      </w:r>
      <w:r>
        <w:rPr>
          <w:rFonts w:hint="eastAsia" w:cs="Times New Roman"/>
        </w:rPr>
        <w:t>、</w:t>
      </w:r>
      <w:r>
        <w:rPr>
          <w:rFonts w:cs="Times New Roman"/>
        </w:rPr>
        <w:t>0.5-1.5m</w:t>
      </w:r>
      <w:r>
        <w:rPr>
          <w:rFonts w:hint="eastAsia" w:cs="Times New Roman"/>
        </w:rPr>
        <w:t>、</w:t>
      </w:r>
      <w:r>
        <w:rPr>
          <w:rFonts w:cs="Times New Roman"/>
        </w:rPr>
        <w:t>1.5-3.0m</w:t>
      </w:r>
      <w:r>
        <w:rPr>
          <w:rFonts w:hint="eastAsia" w:cs="Times New Roman"/>
        </w:rPr>
        <w:t>分别取样</w:t>
      </w:r>
    </w:p>
    <w:p>
      <w:pPr>
        <w:adjustRightInd w:val="0"/>
        <w:snapToGrid w:val="0"/>
        <w:ind w:firstLine="480"/>
        <w:rPr>
          <w:rFonts w:cs="Times New Roman"/>
        </w:rPr>
      </w:pPr>
      <w:r>
        <w:rPr>
          <w:rFonts w:hint="eastAsia" w:cs="Times New Roman"/>
        </w:rPr>
        <w:t>土壤环境质量监测点位及监测项目见表</w:t>
      </w:r>
      <w:r>
        <w:rPr>
          <w:rFonts w:cs="Times New Roman"/>
        </w:rPr>
        <w:t>5.4</w:t>
      </w:r>
      <w:r>
        <w:rPr>
          <w:rFonts w:hint="eastAsia" w:cs="Times New Roman"/>
        </w:rPr>
        <w:t>—</w:t>
      </w:r>
      <w:r>
        <w:rPr>
          <w:rFonts w:cs="Times New Roman"/>
        </w:rPr>
        <w:t>1</w:t>
      </w:r>
      <w:r>
        <w:rPr>
          <w:rFonts w:hint="eastAsia" w:cs="Times New Roman"/>
        </w:rPr>
        <w:t>。</w:t>
      </w:r>
    </w:p>
    <w:p>
      <w:pPr>
        <w:adjustRightInd w:val="0"/>
        <w:snapToGrid w:val="0"/>
        <w:ind w:firstLine="480"/>
        <w:rPr>
          <w:rFonts w:cs="Times New Roman"/>
        </w:rPr>
      </w:pPr>
      <w:r>
        <w:rPr>
          <w:rFonts w:hint="eastAsia" w:cs="Times New Roman"/>
        </w:rPr>
        <w:t>表</w:t>
      </w:r>
      <w:r>
        <w:rPr>
          <w:rFonts w:cs="Times New Roman"/>
        </w:rPr>
        <w:t>5.4</w:t>
      </w:r>
      <w:r>
        <w:rPr>
          <w:rFonts w:hint="eastAsia" w:cs="Times New Roman"/>
        </w:rPr>
        <w:t>—</w:t>
      </w:r>
      <w:r>
        <w:rPr>
          <w:rFonts w:cs="Times New Roman"/>
        </w:rPr>
        <w:t xml:space="preserve">1      </w:t>
      </w:r>
      <w:r>
        <w:rPr>
          <w:rFonts w:hint="eastAsia" w:cs="Times New Roman"/>
        </w:rPr>
        <w:t>土壤质量现状监测布点一览表</w:t>
      </w:r>
    </w:p>
    <w:tbl>
      <w:tblPr>
        <w:tblStyle w:val="88"/>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30"/>
        <w:gridCol w:w="1125"/>
        <w:gridCol w:w="4063"/>
        <w:gridCol w:w="912"/>
        <w:gridCol w:w="255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01" w:hRule="atLeast"/>
        </w:trPr>
        <w:tc>
          <w:tcPr>
            <w:tcW w:w="630" w:type="dxa"/>
            <w:tcBorders>
              <w:top w:val="single" w:color="auto" w:sz="12" w:space="0"/>
              <w:left w:val="nil"/>
              <w:bottom w:val="single" w:color="auto" w:sz="12" w:space="0"/>
              <w:right w:val="dotted" w:color="auto" w:sz="4" w:space="0"/>
            </w:tcBorders>
            <w:vAlign w:val="center"/>
          </w:tcPr>
          <w:p>
            <w:pPr>
              <w:spacing w:line="240" w:lineRule="auto"/>
              <w:ind w:firstLine="0" w:firstLineChars="0"/>
              <w:jc w:val="center"/>
              <w:rPr>
                <w:rFonts w:ascii="宋体" w:hAnsi="宋体" w:cs="宋体"/>
                <w:bCs/>
                <w:sz w:val="21"/>
              </w:rPr>
            </w:pPr>
            <w:r>
              <w:rPr>
                <w:rFonts w:hint="eastAsia" w:ascii="宋体" w:hAnsi="宋体" w:cs="宋体"/>
                <w:bCs/>
                <w:sz w:val="21"/>
              </w:rPr>
              <w:t>序号</w:t>
            </w:r>
          </w:p>
        </w:tc>
        <w:tc>
          <w:tcPr>
            <w:tcW w:w="1125" w:type="dxa"/>
            <w:tcBorders>
              <w:top w:val="single" w:color="auto" w:sz="12" w:space="0"/>
              <w:left w:val="dotted" w:color="auto" w:sz="4" w:space="0"/>
              <w:bottom w:val="single" w:color="auto" w:sz="12" w:space="0"/>
              <w:right w:val="dotted" w:color="auto" w:sz="4" w:space="0"/>
            </w:tcBorders>
            <w:vAlign w:val="center"/>
          </w:tcPr>
          <w:p>
            <w:pPr>
              <w:spacing w:line="240" w:lineRule="auto"/>
              <w:ind w:firstLine="0" w:firstLineChars="0"/>
              <w:jc w:val="center"/>
              <w:rPr>
                <w:rFonts w:ascii="宋体" w:hAnsi="宋体" w:cs="宋体"/>
                <w:bCs/>
                <w:sz w:val="21"/>
              </w:rPr>
            </w:pPr>
            <w:r>
              <w:rPr>
                <w:rFonts w:hint="eastAsia" w:ascii="宋体" w:hAnsi="宋体" w:cs="宋体"/>
                <w:bCs/>
                <w:sz w:val="21"/>
              </w:rPr>
              <w:t>监测点位名称</w:t>
            </w:r>
          </w:p>
        </w:tc>
        <w:tc>
          <w:tcPr>
            <w:tcW w:w="4063" w:type="dxa"/>
            <w:tcBorders>
              <w:top w:val="single" w:color="auto" w:sz="12" w:space="0"/>
              <w:left w:val="dotted" w:color="auto" w:sz="4" w:space="0"/>
              <w:bottom w:val="single" w:color="auto" w:sz="12" w:space="0"/>
              <w:right w:val="dotted" w:color="auto" w:sz="4" w:space="0"/>
            </w:tcBorders>
            <w:vAlign w:val="center"/>
          </w:tcPr>
          <w:p>
            <w:pPr>
              <w:spacing w:line="240" w:lineRule="auto"/>
              <w:ind w:firstLine="0" w:firstLineChars="0"/>
              <w:jc w:val="center"/>
              <w:rPr>
                <w:rFonts w:ascii="宋体" w:hAnsi="宋体" w:cs="宋体"/>
                <w:bCs/>
                <w:sz w:val="21"/>
              </w:rPr>
            </w:pPr>
            <w:r>
              <w:rPr>
                <w:rFonts w:hint="eastAsia" w:ascii="宋体" w:hAnsi="宋体" w:cs="宋体"/>
                <w:bCs/>
                <w:sz w:val="21"/>
              </w:rPr>
              <w:t>监测因子</w:t>
            </w:r>
          </w:p>
        </w:tc>
        <w:tc>
          <w:tcPr>
            <w:tcW w:w="912" w:type="dxa"/>
            <w:tcBorders>
              <w:top w:val="single" w:color="auto" w:sz="12" w:space="0"/>
              <w:left w:val="dotted" w:color="auto" w:sz="4" w:space="0"/>
              <w:bottom w:val="single" w:color="auto" w:sz="12" w:space="0"/>
              <w:right w:val="dotted" w:color="auto" w:sz="4" w:space="0"/>
            </w:tcBorders>
            <w:vAlign w:val="center"/>
          </w:tcPr>
          <w:p>
            <w:pPr>
              <w:spacing w:line="240" w:lineRule="auto"/>
              <w:ind w:firstLine="0" w:firstLineChars="0"/>
              <w:jc w:val="center"/>
              <w:rPr>
                <w:rFonts w:ascii="宋体" w:hAnsi="宋体" w:cs="宋体"/>
                <w:bCs/>
                <w:sz w:val="21"/>
              </w:rPr>
            </w:pPr>
            <w:r>
              <w:rPr>
                <w:rFonts w:hint="eastAsia" w:ascii="宋体" w:hAnsi="宋体" w:cs="宋体"/>
                <w:bCs/>
                <w:sz w:val="21"/>
              </w:rPr>
              <w:t>相对厂址方位</w:t>
            </w:r>
          </w:p>
        </w:tc>
        <w:tc>
          <w:tcPr>
            <w:tcW w:w="2556" w:type="dxa"/>
            <w:tcBorders>
              <w:top w:val="single" w:color="auto" w:sz="12" w:space="0"/>
              <w:left w:val="dotted" w:color="auto" w:sz="4" w:space="0"/>
              <w:bottom w:val="single" w:color="auto" w:sz="12" w:space="0"/>
              <w:right w:val="nil"/>
            </w:tcBorders>
            <w:vAlign w:val="center"/>
          </w:tcPr>
          <w:p>
            <w:pPr>
              <w:spacing w:line="240" w:lineRule="auto"/>
              <w:ind w:firstLine="0" w:firstLineChars="0"/>
              <w:jc w:val="center"/>
              <w:rPr>
                <w:rFonts w:ascii="宋体" w:hAnsi="宋体" w:cs="宋体"/>
                <w:bCs/>
                <w:sz w:val="21"/>
              </w:rPr>
            </w:pPr>
            <w:r>
              <w:rPr>
                <w:rFonts w:hint="eastAsia" w:ascii="宋体" w:hAnsi="宋体" w:cs="宋体"/>
                <w:bCs/>
                <w:sz w:val="21"/>
              </w:rPr>
              <w:t>地理位置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500" w:hRule="atLeast"/>
        </w:trPr>
        <w:tc>
          <w:tcPr>
            <w:tcW w:w="630" w:type="dxa"/>
            <w:tcBorders>
              <w:top w:val="single" w:color="auto" w:sz="12" w:space="0"/>
              <w:left w:val="nil"/>
              <w:bottom w:val="dotted" w:color="auto" w:sz="4" w:space="0"/>
              <w:right w:val="dotted" w:color="auto" w:sz="4" w:space="0"/>
            </w:tcBorders>
            <w:vAlign w:val="center"/>
          </w:tcPr>
          <w:p>
            <w:pPr>
              <w:spacing w:line="240" w:lineRule="auto"/>
              <w:ind w:firstLine="0" w:firstLineChars="0"/>
              <w:jc w:val="center"/>
              <w:rPr>
                <w:rFonts w:ascii="宋体" w:hAnsi="宋体" w:cs="宋体"/>
                <w:sz w:val="21"/>
              </w:rPr>
            </w:pPr>
            <w:r>
              <w:rPr>
                <w:rFonts w:hint="eastAsia" w:ascii="宋体" w:hAnsi="宋体" w:cs="宋体"/>
                <w:sz w:val="21"/>
              </w:rPr>
              <w:t>1#</w:t>
            </w:r>
          </w:p>
        </w:tc>
        <w:tc>
          <w:tcPr>
            <w:tcW w:w="1125" w:type="dxa"/>
            <w:tcBorders>
              <w:top w:val="single" w:color="auto" w:sz="12" w:space="0"/>
              <w:left w:val="dotted" w:color="auto" w:sz="4" w:space="0"/>
              <w:bottom w:val="single" w:color="auto" w:sz="4" w:space="0"/>
              <w:right w:val="dotted" w:color="auto" w:sz="4" w:space="0"/>
            </w:tcBorders>
            <w:vAlign w:val="center"/>
          </w:tcPr>
          <w:p>
            <w:pPr>
              <w:spacing w:line="240" w:lineRule="auto"/>
              <w:ind w:firstLine="0" w:firstLineChars="0"/>
              <w:jc w:val="center"/>
              <w:rPr>
                <w:rFonts w:ascii="宋体" w:hAnsi="宋体" w:cs="宋体"/>
                <w:sz w:val="21"/>
              </w:rPr>
            </w:pPr>
            <w:r>
              <w:rPr>
                <w:rFonts w:hint="eastAsia" w:ascii="宋体" w:hAnsi="宋体" w:cs="宋体"/>
                <w:sz w:val="21"/>
              </w:rPr>
              <w:t>处置场内西北侧口1#</w:t>
            </w:r>
          </w:p>
        </w:tc>
        <w:tc>
          <w:tcPr>
            <w:tcW w:w="4063" w:type="dxa"/>
            <w:tcBorders>
              <w:top w:val="single" w:color="auto" w:sz="12" w:space="0"/>
              <w:left w:val="dotted" w:color="auto" w:sz="4" w:space="0"/>
              <w:bottom w:val="single" w:color="auto" w:sz="4" w:space="0"/>
              <w:right w:val="dotted" w:color="auto" w:sz="4" w:space="0"/>
            </w:tcBorders>
            <w:vAlign w:val="center"/>
          </w:tcPr>
          <w:p>
            <w:pPr>
              <w:pStyle w:val="180"/>
              <w:adjustRightInd/>
              <w:spacing w:line="240" w:lineRule="auto"/>
              <w:ind w:firstLine="0"/>
              <w:rPr>
                <w:rFonts w:cs="宋体"/>
                <w:kern w:val="0"/>
                <w:sz w:val="21"/>
              </w:rPr>
            </w:pPr>
            <w:r>
              <w:rPr>
                <w:rFonts w:hint="eastAsia" w:cs="宋体"/>
                <w:sz w:val="21"/>
              </w:rPr>
              <w:t>镉、铜、四氯化碳、氯仿、氯甲烷、1,1-二氯乙烷、1,2-二氯乙烷、1,1-二氯乙烯、顺-1,2-二氯乙烯、反-1,2-二氯乙烯、二氯甲烷、1,2-二氯丙烯、1,1,1,2-四氯乙烷、1,1,2,2-四氯乙烷、四氯乙烯、1,1,1-四氯乙烷、1,1,2-四氯乙烷、三氯乙烯、1,2,3-三氯丙烷、氯乙烯、苯、氯苯、1,2-二氯苯、1,4-二氯苯、乙苯、苯乙烯、甲苯、间二甲苯+对二甲苯、邻二甲苯、硝基苯、苯胺、2-氯酚、苯并[a]蒽、苯并[a]芘、苯并[b]荧蒽、苯并[k]荧蒽、䓛、二苯并[a，h]蒽、茚并[1,2,3-cd]芘、萘、</w:t>
            </w:r>
          </w:p>
        </w:tc>
        <w:tc>
          <w:tcPr>
            <w:tcW w:w="912" w:type="dxa"/>
            <w:tcBorders>
              <w:top w:val="single" w:color="auto" w:sz="12" w:space="0"/>
              <w:left w:val="dotted" w:color="auto" w:sz="4" w:space="0"/>
              <w:bottom w:val="dotted" w:color="auto" w:sz="4" w:space="0"/>
              <w:right w:val="dotted" w:color="auto" w:sz="4" w:space="0"/>
            </w:tcBorders>
            <w:vAlign w:val="center"/>
          </w:tcPr>
          <w:p>
            <w:pPr>
              <w:spacing w:line="240" w:lineRule="auto"/>
              <w:ind w:firstLine="0" w:firstLineChars="0"/>
              <w:jc w:val="center"/>
              <w:rPr>
                <w:rFonts w:ascii="宋体" w:hAnsi="宋体" w:cs="宋体"/>
                <w:sz w:val="21"/>
              </w:rPr>
            </w:pPr>
            <w:r>
              <w:rPr>
                <w:sz w:val="21"/>
              </w:rPr>
              <w:t>WN</w:t>
            </w:r>
          </w:p>
        </w:tc>
        <w:tc>
          <w:tcPr>
            <w:tcW w:w="2556" w:type="dxa"/>
            <w:tcBorders>
              <w:top w:val="single" w:color="auto" w:sz="12" w:space="0"/>
              <w:left w:val="dotted" w:color="auto" w:sz="4" w:space="0"/>
              <w:bottom w:val="dotted" w:color="auto" w:sz="4" w:space="0"/>
              <w:right w:val="nil"/>
            </w:tcBorders>
            <w:vAlign w:val="center"/>
          </w:tcPr>
          <w:p>
            <w:pPr>
              <w:spacing w:line="240" w:lineRule="auto"/>
              <w:ind w:firstLine="0" w:firstLineChars="0"/>
              <w:jc w:val="left"/>
              <w:rPr>
                <w:sz w:val="21"/>
              </w:rPr>
            </w:pPr>
            <w:r>
              <w:rPr>
                <w:sz w:val="21"/>
              </w:rPr>
              <w:t>E:105</w:t>
            </w:r>
            <w:r>
              <w:rPr>
                <w:rFonts w:hint="eastAsia"/>
                <w:sz w:val="21"/>
              </w:rPr>
              <w:t>°</w:t>
            </w:r>
            <w:r>
              <w:rPr>
                <w:sz w:val="21"/>
              </w:rPr>
              <w:t>07</w:t>
            </w:r>
            <w:r>
              <w:rPr>
                <w:rFonts w:hint="eastAsia"/>
                <w:sz w:val="21"/>
              </w:rPr>
              <w:t>′</w:t>
            </w:r>
            <w:r>
              <w:rPr>
                <w:sz w:val="21"/>
              </w:rPr>
              <w:t>04.29</w:t>
            </w:r>
            <w:r>
              <w:rPr>
                <w:rFonts w:hint="eastAsia"/>
                <w:sz w:val="21"/>
              </w:rPr>
              <w:t>″</w:t>
            </w:r>
          </w:p>
          <w:p>
            <w:pPr>
              <w:pStyle w:val="87"/>
              <w:ind w:left="0" w:leftChars="0" w:firstLine="0" w:firstLineChars="0"/>
              <w:rPr>
                <w:color w:val="auto"/>
                <w:sz w:val="21"/>
                <w:szCs w:val="21"/>
              </w:rPr>
            </w:pPr>
            <w:r>
              <w:rPr>
                <w:color w:val="auto"/>
                <w:sz w:val="21"/>
                <w:szCs w:val="21"/>
              </w:rPr>
              <w:t>N</w:t>
            </w:r>
            <w:r>
              <w:rPr>
                <w:rFonts w:hint="eastAsia"/>
                <w:color w:val="auto"/>
                <w:sz w:val="21"/>
                <w:szCs w:val="21"/>
              </w:rPr>
              <w:t>：</w:t>
            </w:r>
            <w:r>
              <w:rPr>
                <w:color w:val="auto"/>
                <w:sz w:val="21"/>
                <w:szCs w:val="21"/>
              </w:rPr>
              <w:t>37</w:t>
            </w:r>
            <w:r>
              <w:rPr>
                <w:rFonts w:hint="eastAsia"/>
                <w:color w:val="auto"/>
                <w:sz w:val="21"/>
                <w:szCs w:val="21"/>
              </w:rPr>
              <w:t>°</w:t>
            </w:r>
            <w:r>
              <w:rPr>
                <w:color w:val="auto"/>
                <w:sz w:val="21"/>
                <w:szCs w:val="21"/>
              </w:rPr>
              <w:t>41</w:t>
            </w:r>
            <w:r>
              <w:rPr>
                <w:rFonts w:hint="eastAsia"/>
                <w:color w:val="auto"/>
                <w:sz w:val="21"/>
                <w:szCs w:val="21"/>
              </w:rPr>
              <w:t>′</w:t>
            </w:r>
            <w:r>
              <w:rPr>
                <w:color w:val="auto"/>
                <w:sz w:val="21"/>
                <w:szCs w:val="21"/>
              </w:rPr>
              <w:t>17.97</w:t>
            </w: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2" w:hRule="atLeast"/>
        </w:trPr>
        <w:tc>
          <w:tcPr>
            <w:tcW w:w="630" w:type="dxa"/>
            <w:tcBorders>
              <w:top w:val="dotted" w:color="auto" w:sz="4" w:space="0"/>
              <w:left w:val="nil"/>
              <w:bottom w:val="dotted" w:color="auto" w:sz="4" w:space="0"/>
              <w:right w:val="dotted" w:color="auto" w:sz="4" w:space="0"/>
            </w:tcBorders>
            <w:vAlign w:val="center"/>
          </w:tcPr>
          <w:p>
            <w:pPr>
              <w:spacing w:line="240" w:lineRule="auto"/>
              <w:ind w:firstLine="0" w:firstLineChars="0"/>
              <w:jc w:val="center"/>
              <w:rPr>
                <w:rFonts w:ascii="宋体" w:hAnsi="宋体" w:cs="宋体"/>
                <w:sz w:val="21"/>
              </w:rPr>
            </w:pPr>
            <w:r>
              <w:rPr>
                <w:rFonts w:hint="eastAsia" w:ascii="宋体" w:hAnsi="宋体" w:cs="宋体"/>
                <w:sz w:val="21"/>
              </w:rPr>
              <w:t>2#</w:t>
            </w:r>
          </w:p>
        </w:tc>
        <w:tc>
          <w:tcPr>
            <w:tcW w:w="1125" w:type="dxa"/>
            <w:tcBorders>
              <w:top w:val="single" w:color="auto" w:sz="4" w:space="0"/>
              <w:left w:val="dotted" w:color="auto" w:sz="4" w:space="0"/>
              <w:bottom w:val="dotted" w:color="auto" w:sz="4" w:space="0"/>
              <w:right w:val="dotted" w:color="auto" w:sz="4" w:space="0"/>
            </w:tcBorders>
            <w:vAlign w:val="center"/>
          </w:tcPr>
          <w:p>
            <w:pPr>
              <w:spacing w:line="240" w:lineRule="auto"/>
              <w:ind w:firstLine="0" w:firstLineChars="0"/>
              <w:jc w:val="center"/>
              <w:rPr>
                <w:rFonts w:ascii="宋体" w:hAnsi="宋体" w:cs="宋体"/>
                <w:sz w:val="21"/>
              </w:rPr>
            </w:pPr>
            <w:r>
              <w:rPr>
                <w:rFonts w:hint="eastAsia" w:ascii="宋体" w:hAnsi="宋体" w:cs="宋体"/>
                <w:sz w:val="21"/>
              </w:rPr>
              <w:t>处置场内东南侧口2#</w:t>
            </w:r>
          </w:p>
        </w:tc>
        <w:tc>
          <w:tcPr>
            <w:tcW w:w="4063" w:type="dxa"/>
            <w:vMerge w:val="restart"/>
            <w:tcBorders>
              <w:top w:val="single" w:color="auto" w:sz="4" w:space="0"/>
              <w:left w:val="dotted" w:color="auto" w:sz="4" w:space="0"/>
              <w:bottom w:val="single" w:color="auto" w:sz="12" w:space="0"/>
              <w:right w:val="dotted" w:color="auto" w:sz="4" w:space="0"/>
            </w:tcBorders>
            <w:vAlign w:val="center"/>
          </w:tcPr>
          <w:p>
            <w:pPr>
              <w:spacing w:line="240" w:lineRule="auto"/>
              <w:ind w:firstLine="0" w:firstLineChars="0"/>
              <w:jc w:val="center"/>
              <w:rPr>
                <w:rFonts w:ascii="宋体" w:hAnsi="宋体" w:cs="宋体"/>
                <w:sz w:val="21"/>
              </w:rPr>
            </w:pPr>
            <w:r>
              <w:rPr>
                <w:rFonts w:hint="eastAsia" w:ascii="宋体" w:hAnsi="宋体" w:cs="宋体"/>
                <w:sz w:val="21"/>
              </w:rPr>
              <w:t>氰化物、汞、砷、铅、铬（六价）、镍</w:t>
            </w:r>
          </w:p>
        </w:tc>
        <w:tc>
          <w:tcPr>
            <w:tcW w:w="912" w:type="dxa"/>
            <w:tcBorders>
              <w:top w:val="dotted" w:color="auto" w:sz="4" w:space="0"/>
              <w:left w:val="dotted" w:color="auto" w:sz="4" w:space="0"/>
              <w:bottom w:val="dotted" w:color="auto" w:sz="4" w:space="0"/>
              <w:right w:val="dotted" w:color="auto" w:sz="4" w:space="0"/>
            </w:tcBorders>
            <w:vAlign w:val="center"/>
          </w:tcPr>
          <w:p>
            <w:pPr>
              <w:spacing w:line="240" w:lineRule="auto"/>
              <w:ind w:firstLine="0" w:firstLineChars="0"/>
              <w:jc w:val="center"/>
              <w:rPr>
                <w:rFonts w:ascii="宋体" w:hAnsi="宋体" w:cs="宋体"/>
                <w:sz w:val="21"/>
              </w:rPr>
            </w:pPr>
            <w:r>
              <w:rPr>
                <w:sz w:val="21"/>
              </w:rPr>
              <w:t>ES</w:t>
            </w:r>
          </w:p>
        </w:tc>
        <w:tc>
          <w:tcPr>
            <w:tcW w:w="2556" w:type="dxa"/>
            <w:tcBorders>
              <w:top w:val="dotted" w:color="auto" w:sz="4" w:space="0"/>
              <w:left w:val="dotted" w:color="auto" w:sz="4" w:space="0"/>
              <w:bottom w:val="dotted" w:color="auto" w:sz="4" w:space="0"/>
              <w:right w:val="nil"/>
            </w:tcBorders>
            <w:vAlign w:val="center"/>
          </w:tcPr>
          <w:p>
            <w:pPr>
              <w:spacing w:line="240" w:lineRule="auto"/>
              <w:ind w:firstLine="0" w:firstLineChars="0"/>
              <w:jc w:val="left"/>
              <w:rPr>
                <w:sz w:val="21"/>
              </w:rPr>
            </w:pPr>
            <w:r>
              <w:rPr>
                <w:sz w:val="21"/>
              </w:rPr>
              <w:t>E:105</w:t>
            </w:r>
            <w:r>
              <w:rPr>
                <w:rFonts w:hint="eastAsia"/>
                <w:sz w:val="21"/>
              </w:rPr>
              <w:t>°</w:t>
            </w:r>
            <w:r>
              <w:rPr>
                <w:sz w:val="21"/>
              </w:rPr>
              <w:t>07</w:t>
            </w:r>
            <w:r>
              <w:rPr>
                <w:rFonts w:hint="eastAsia"/>
                <w:sz w:val="21"/>
              </w:rPr>
              <w:t>′</w:t>
            </w:r>
            <w:r>
              <w:rPr>
                <w:sz w:val="21"/>
              </w:rPr>
              <w:t>14.24</w:t>
            </w:r>
            <w:r>
              <w:rPr>
                <w:rFonts w:hint="eastAsia"/>
                <w:sz w:val="21"/>
              </w:rPr>
              <w:t>″</w:t>
            </w:r>
          </w:p>
          <w:p>
            <w:pPr>
              <w:spacing w:line="240" w:lineRule="auto"/>
              <w:ind w:firstLine="0" w:firstLineChars="0"/>
              <w:jc w:val="left"/>
              <w:rPr>
                <w:sz w:val="21"/>
              </w:rPr>
            </w:pPr>
            <w:r>
              <w:rPr>
                <w:sz w:val="21"/>
              </w:rPr>
              <w:t>N</w:t>
            </w:r>
            <w:r>
              <w:rPr>
                <w:rFonts w:hint="eastAsia"/>
                <w:sz w:val="21"/>
              </w:rPr>
              <w:t>：</w:t>
            </w:r>
            <w:r>
              <w:rPr>
                <w:sz w:val="21"/>
              </w:rPr>
              <w:t>37</w:t>
            </w:r>
            <w:r>
              <w:rPr>
                <w:rFonts w:hint="eastAsia"/>
                <w:sz w:val="21"/>
              </w:rPr>
              <w:t>°</w:t>
            </w:r>
            <w:r>
              <w:rPr>
                <w:sz w:val="21"/>
              </w:rPr>
              <w:t>41</w:t>
            </w:r>
            <w:r>
              <w:rPr>
                <w:rFonts w:hint="eastAsia"/>
                <w:sz w:val="21"/>
              </w:rPr>
              <w:t>′</w:t>
            </w:r>
            <w:r>
              <w:rPr>
                <w:sz w:val="21"/>
              </w:rPr>
              <w:t>11.83</w:t>
            </w:r>
            <w:r>
              <w:rPr>
                <w:rFonts w:hint="eastAsia"/>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9" w:hRule="atLeast"/>
        </w:trPr>
        <w:tc>
          <w:tcPr>
            <w:tcW w:w="630" w:type="dxa"/>
            <w:tcBorders>
              <w:top w:val="dotted" w:color="auto" w:sz="4" w:space="0"/>
              <w:left w:val="nil"/>
              <w:bottom w:val="single" w:color="auto" w:sz="12" w:space="0"/>
              <w:right w:val="dotted" w:color="auto" w:sz="4" w:space="0"/>
            </w:tcBorders>
            <w:vAlign w:val="center"/>
          </w:tcPr>
          <w:p>
            <w:pPr>
              <w:spacing w:line="240" w:lineRule="auto"/>
              <w:ind w:firstLine="0" w:firstLineChars="0"/>
              <w:jc w:val="center"/>
              <w:rPr>
                <w:rFonts w:ascii="宋体" w:hAnsi="宋体" w:cs="宋体"/>
                <w:sz w:val="21"/>
              </w:rPr>
            </w:pPr>
            <w:r>
              <w:rPr>
                <w:rFonts w:hint="eastAsia" w:ascii="宋体" w:hAnsi="宋体" w:cs="宋体"/>
                <w:sz w:val="21"/>
              </w:rPr>
              <w:t>3#</w:t>
            </w:r>
          </w:p>
        </w:tc>
        <w:tc>
          <w:tcPr>
            <w:tcW w:w="1125" w:type="dxa"/>
            <w:tcBorders>
              <w:top w:val="dotted" w:color="auto" w:sz="4" w:space="0"/>
              <w:left w:val="dotted" w:color="auto" w:sz="4" w:space="0"/>
              <w:bottom w:val="single" w:color="auto" w:sz="12" w:space="0"/>
              <w:right w:val="dotted" w:color="auto" w:sz="4" w:space="0"/>
            </w:tcBorders>
            <w:vAlign w:val="center"/>
          </w:tcPr>
          <w:p>
            <w:pPr>
              <w:spacing w:line="240" w:lineRule="auto"/>
              <w:ind w:firstLine="0" w:firstLineChars="0"/>
              <w:jc w:val="center"/>
              <w:rPr>
                <w:rFonts w:ascii="宋体" w:hAnsi="宋体" w:cs="宋体"/>
                <w:sz w:val="21"/>
              </w:rPr>
            </w:pPr>
            <w:r>
              <w:rPr>
                <w:rFonts w:hint="eastAsia" w:ascii="宋体" w:hAnsi="宋体" w:cs="宋体"/>
                <w:sz w:val="21"/>
              </w:rPr>
              <w:t>处置场内侧3#</w:t>
            </w:r>
          </w:p>
        </w:tc>
        <w:tc>
          <w:tcPr>
            <w:tcW w:w="4063" w:type="dxa"/>
            <w:vMerge w:val="continue"/>
            <w:tcBorders>
              <w:top w:val="single"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ascii="宋体" w:hAnsi="宋体" w:cs="宋体"/>
                <w:sz w:val="21"/>
              </w:rPr>
            </w:pPr>
          </w:p>
        </w:tc>
        <w:tc>
          <w:tcPr>
            <w:tcW w:w="912" w:type="dxa"/>
            <w:tcBorders>
              <w:top w:val="dotted" w:color="auto" w:sz="4" w:space="0"/>
              <w:left w:val="dotted" w:color="auto" w:sz="4" w:space="0"/>
              <w:bottom w:val="single" w:color="auto" w:sz="12" w:space="0"/>
              <w:right w:val="dotted" w:color="auto" w:sz="4" w:space="0"/>
            </w:tcBorders>
            <w:vAlign w:val="center"/>
          </w:tcPr>
          <w:p>
            <w:pPr>
              <w:spacing w:line="240" w:lineRule="auto"/>
              <w:ind w:firstLine="0" w:firstLineChars="0"/>
              <w:jc w:val="center"/>
              <w:rPr>
                <w:rFonts w:ascii="宋体" w:hAnsi="宋体" w:cs="宋体"/>
                <w:sz w:val="21"/>
              </w:rPr>
            </w:pPr>
            <w:r>
              <w:rPr>
                <w:sz w:val="21"/>
              </w:rPr>
              <w:t>E</w:t>
            </w:r>
          </w:p>
        </w:tc>
        <w:tc>
          <w:tcPr>
            <w:tcW w:w="2556" w:type="dxa"/>
            <w:tcBorders>
              <w:top w:val="dotted" w:color="auto" w:sz="4" w:space="0"/>
              <w:left w:val="dotted" w:color="auto" w:sz="4" w:space="0"/>
              <w:bottom w:val="single" w:color="auto" w:sz="12" w:space="0"/>
              <w:right w:val="nil"/>
            </w:tcBorders>
            <w:vAlign w:val="center"/>
          </w:tcPr>
          <w:p>
            <w:pPr>
              <w:spacing w:line="240" w:lineRule="auto"/>
              <w:ind w:firstLine="0" w:firstLineChars="0"/>
              <w:rPr>
                <w:sz w:val="21"/>
              </w:rPr>
            </w:pPr>
            <w:r>
              <w:rPr>
                <w:sz w:val="21"/>
              </w:rPr>
              <w:t>E:105</w:t>
            </w:r>
            <w:r>
              <w:rPr>
                <w:rFonts w:hint="eastAsia"/>
                <w:sz w:val="21"/>
              </w:rPr>
              <w:t>°</w:t>
            </w:r>
            <w:r>
              <w:rPr>
                <w:sz w:val="21"/>
              </w:rPr>
              <w:t>07</w:t>
            </w:r>
            <w:r>
              <w:rPr>
                <w:rFonts w:hint="eastAsia"/>
                <w:sz w:val="21"/>
              </w:rPr>
              <w:t>′</w:t>
            </w:r>
            <w:r>
              <w:rPr>
                <w:sz w:val="21"/>
              </w:rPr>
              <w:t>09.02</w:t>
            </w:r>
            <w:r>
              <w:rPr>
                <w:rFonts w:hint="eastAsia"/>
                <w:sz w:val="21"/>
              </w:rPr>
              <w:t>″</w:t>
            </w:r>
          </w:p>
          <w:p>
            <w:pPr>
              <w:pStyle w:val="87"/>
              <w:ind w:left="0" w:leftChars="0" w:firstLine="0" w:firstLineChars="0"/>
              <w:rPr>
                <w:color w:val="auto"/>
                <w:sz w:val="21"/>
                <w:szCs w:val="21"/>
              </w:rPr>
            </w:pPr>
            <w:r>
              <w:rPr>
                <w:color w:val="auto"/>
                <w:sz w:val="21"/>
                <w:szCs w:val="21"/>
              </w:rPr>
              <w:t>N</w:t>
            </w:r>
            <w:r>
              <w:rPr>
                <w:rFonts w:hint="eastAsia"/>
                <w:color w:val="auto"/>
                <w:sz w:val="21"/>
                <w:szCs w:val="21"/>
              </w:rPr>
              <w:t>：</w:t>
            </w:r>
            <w:r>
              <w:rPr>
                <w:color w:val="auto"/>
                <w:sz w:val="21"/>
                <w:szCs w:val="21"/>
              </w:rPr>
              <w:t>37</w:t>
            </w:r>
            <w:r>
              <w:rPr>
                <w:rFonts w:hint="eastAsia"/>
                <w:color w:val="auto"/>
                <w:sz w:val="21"/>
                <w:szCs w:val="21"/>
              </w:rPr>
              <w:t>°</w:t>
            </w:r>
            <w:r>
              <w:rPr>
                <w:color w:val="auto"/>
                <w:sz w:val="21"/>
                <w:szCs w:val="21"/>
              </w:rPr>
              <w:t>41</w:t>
            </w:r>
            <w:r>
              <w:rPr>
                <w:rFonts w:hint="eastAsia"/>
                <w:color w:val="auto"/>
                <w:sz w:val="21"/>
                <w:szCs w:val="21"/>
              </w:rPr>
              <w:t>′</w:t>
            </w:r>
            <w:r>
              <w:rPr>
                <w:color w:val="auto"/>
                <w:sz w:val="21"/>
                <w:szCs w:val="21"/>
              </w:rPr>
              <w:t>15.51</w:t>
            </w:r>
            <w:r>
              <w:rPr>
                <w:rFonts w:hint="eastAsia"/>
                <w:color w:val="auto"/>
                <w:sz w:val="21"/>
                <w:szCs w:val="21"/>
              </w:rPr>
              <w:t>″</w:t>
            </w:r>
          </w:p>
        </w:tc>
      </w:tr>
    </w:tbl>
    <w:p>
      <w:pPr>
        <w:adjustRightInd w:val="0"/>
        <w:snapToGrid w:val="0"/>
        <w:ind w:firstLine="480"/>
      </w:pPr>
    </w:p>
    <w:p>
      <w:pPr>
        <w:pStyle w:val="161"/>
        <w:ind w:firstLine="480"/>
        <w:outlineLvl w:val="0"/>
      </w:pPr>
      <w:r>
        <w:rPr>
          <w:rFonts w:hint="eastAsia"/>
        </w:rPr>
        <w:fldChar w:fldCharType="begin"/>
      </w:r>
      <w:r>
        <w:instrText xml:space="preserve">= 2 \* GB2</w:instrText>
      </w:r>
      <w:r>
        <w:rPr>
          <w:rFonts w:hint="eastAsia"/>
        </w:rPr>
        <w:fldChar w:fldCharType="separate"/>
      </w:r>
      <w:bookmarkStart w:id="379" w:name="_Toc13760199"/>
      <w:bookmarkStart w:id="380" w:name="_Toc13582160"/>
      <w:r>
        <w:rPr>
          <w:rFonts w:hint="eastAsia"/>
        </w:rPr>
        <w:t>⑵</w:t>
      </w:r>
      <w:r>
        <w:rPr>
          <w:rFonts w:hint="eastAsia"/>
        </w:rPr>
        <w:fldChar w:fldCharType="end"/>
      </w:r>
      <w:r>
        <w:rPr>
          <w:rFonts w:hint="eastAsia"/>
        </w:rPr>
        <w:t>监测结果</w:t>
      </w:r>
      <w:bookmarkEnd w:id="379"/>
      <w:bookmarkEnd w:id="380"/>
    </w:p>
    <w:p>
      <w:pPr>
        <w:adjustRightInd w:val="0"/>
        <w:snapToGrid w:val="0"/>
        <w:ind w:firstLine="480"/>
      </w:pPr>
      <w:r>
        <w:rPr>
          <w:rFonts w:hint="eastAsia"/>
        </w:rPr>
        <w:t>土壤环境质量现状监测结果见表</w:t>
      </w:r>
      <w:r>
        <w:t>5.4</w:t>
      </w:r>
      <w:r>
        <w:rPr>
          <w:rFonts w:hint="eastAsia"/>
        </w:rPr>
        <w:t>—</w:t>
      </w:r>
      <w:r>
        <w:t>2~5.4</w:t>
      </w:r>
      <w:r>
        <w:rPr>
          <w:rFonts w:hint="eastAsia"/>
        </w:rPr>
        <w:t>—</w:t>
      </w:r>
      <w:r>
        <w:t>3</w:t>
      </w:r>
      <w:r>
        <w:rPr>
          <w:rFonts w:hint="eastAsia"/>
        </w:rPr>
        <w:t>。</w:t>
      </w:r>
    </w:p>
    <w:p>
      <w:pPr>
        <w:spacing w:line="500" w:lineRule="exact"/>
        <w:ind w:firstLine="480"/>
        <w:rPr>
          <w:rFonts w:cs="Times New Roman"/>
          <w:color w:val="000000"/>
          <w:kern w:val="0"/>
          <w:szCs w:val="24"/>
        </w:rPr>
      </w:pPr>
      <w:r>
        <w:rPr>
          <w:rFonts w:hint="eastAsia" w:cs="Times New Roman"/>
          <w:color w:val="000000"/>
          <w:kern w:val="0"/>
          <w:szCs w:val="24"/>
        </w:rPr>
        <w:t>表</w:t>
      </w:r>
      <w:r>
        <w:rPr>
          <w:rFonts w:cs="Times New Roman"/>
          <w:color w:val="000000"/>
          <w:kern w:val="0"/>
          <w:szCs w:val="24"/>
        </w:rPr>
        <w:t>5.4</w:t>
      </w:r>
      <w:r>
        <w:rPr>
          <w:rFonts w:hint="eastAsia"/>
        </w:rPr>
        <w:t>—</w:t>
      </w:r>
      <w:r>
        <w:rPr>
          <w:rFonts w:cs="Times New Roman"/>
          <w:color w:val="000000"/>
          <w:kern w:val="0"/>
          <w:szCs w:val="24"/>
        </w:rPr>
        <w:t xml:space="preserve">2     </w:t>
      </w:r>
      <w:r>
        <w:rPr>
          <w:rFonts w:hint="eastAsia" w:cs="Times New Roman"/>
          <w:color w:val="000000"/>
          <w:kern w:val="0"/>
          <w:szCs w:val="24"/>
        </w:rPr>
        <w:t>土壤环境质量监测结果一览表（常规项目）</w:t>
      </w:r>
    </w:p>
    <w:tbl>
      <w:tblPr>
        <w:tblStyle w:val="88"/>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16"/>
        <w:gridCol w:w="1360"/>
        <w:gridCol w:w="1294"/>
        <w:gridCol w:w="1240"/>
        <w:gridCol w:w="1403"/>
        <w:gridCol w:w="1425"/>
        <w:gridCol w:w="1077"/>
        <w:gridCol w:w="77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716" w:type="dxa"/>
            <w:vMerge w:val="restart"/>
            <w:tcBorders>
              <w:top w:val="single" w:color="auto" w:sz="12" w:space="0"/>
              <w:left w:val="nil"/>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接样</w:t>
            </w:r>
          </w:p>
          <w:p>
            <w:pPr>
              <w:adjustRightInd w:val="0"/>
              <w:snapToGrid w:val="0"/>
              <w:spacing w:line="240" w:lineRule="auto"/>
              <w:ind w:firstLine="0" w:firstLineChars="0"/>
              <w:jc w:val="center"/>
              <w:rPr>
                <w:rFonts w:cs="Times New Roman"/>
                <w:b/>
                <w:sz w:val="21"/>
              </w:rPr>
            </w:pPr>
            <w:r>
              <w:rPr>
                <w:rFonts w:hint="eastAsia" w:cs="Times New Roman"/>
                <w:b/>
                <w:sz w:val="21"/>
              </w:rPr>
              <w:t>日期</w:t>
            </w:r>
          </w:p>
        </w:tc>
        <w:tc>
          <w:tcPr>
            <w:tcW w:w="1360" w:type="dxa"/>
            <w:vMerge w:val="restart"/>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检测项目</w:t>
            </w:r>
          </w:p>
        </w:tc>
        <w:tc>
          <w:tcPr>
            <w:tcW w:w="5362" w:type="dxa"/>
            <w:gridSpan w:val="4"/>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检测结果</w:t>
            </w:r>
          </w:p>
        </w:tc>
        <w:tc>
          <w:tcPr>
            <w:tcW w:w="1077" w:type="dxa"/>
            <w:vMerge w:val="restart"/>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筛选值</w:t>
            </w:r>
          </w:p>
        </w:tc>
        <w:tc>
          <w:tcPr>
            <w:tcW w:w="771" w:type="dxa"/>
            <w:vMerge w:val="restart"/>
            <w:tcBorders>
              <w:top w:val="single" w:color="auto" w:sz="12" w:space="0"/>
              <w:left w:val="dotted" w:color="auto" w:sz="4" w:space="0"/>
              <w:bottom w:val="single" w:color="auto" w:sz="12" w:space="0"/>
              <w:right w:val="nil"/>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达标情况</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5" w:hRule="atLeast"/>
          <w:jc w:val="center"/>
        </w:trPr>
        <w:tc>
          <w:tcPr>
            <w:tcW w:w="716" w:type="dxa"/>
            <w:vMerge w:val="continue"/>
            <w:tcBorders>
              <w:top w:val="single" w:color="auto" w:sz="12" w:space="0"/>
              <w:left w:val="nil"/>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1360"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5362" w:type="dxa"/>
            <w:gridSpan w:val="4"/>
            <w:tcBorders>
              <w:top w:val="dotted" w:color="auto" w:sz="4" w:space="0"/>
              <w:left w:val="dotted" w:color="auto" w:sz="4" w:space="0"/>
              <w:bottom w:val="single" w:color="auto" w:sz="4"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处置场内西北侧口</w:t>
            </w:r>
            <w:r>
              <w:rPr>
                <w:rFonts w:cs="Times New Roman"/>
                <w:b/>
                <w:sz w:val="21"/>
              </w:rPr>
              <w:t>1#</w:t>
            </w:r>
          </w:p>
        </w:tc>
        <w:tc>
          <w:tcPr>
            <w:tcW w:w="1077"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771" w:type="dxa"/>
            <w:vMerge w:val="continue"/>
            <w:tcBorders>
              <w:top w:val="single" w:color="auto" w:sz="12" w:space="0"/>
              <w:left w:val="dotted" w:color="auto" w:sz="4" w:space="0"/>
              <w:bottom w:val="single" w:color="auto" w:sz="12" w:space="0"/>
              <w:right w:val="nil"/>
            </w:tcBorders>
            <w:vAlign w:val="center"/>
          </w:tcPr>
          <w:p>
            <w:pPr>
              <w:widowControl/>
              <w:spacing w:line="240" w:lineRule="auto"/>
              <w:ind w:firstLine="0" w:firstLineChars="0"/>
              <w:jc w:val="left"/>
              <w:rPr>
                <w:rFonts w:cs="Times New Roman"/>
                <w:b/>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5" w:hRule="atLeast"/>
          <w:jc w:val="center"/>
        </w:trPr>
        <w:tc>
          <w:tcPr>
            <w:tcW w:w="716" w:type="dxa"/>
            <w:vMerge w:val="continue"/>
            <w:tcBorders>
              <w:top w:val="single" w:color="auto" w:sz="12" w:space="0"/>
              <w:left w:val="nil"/>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1360"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1294" w:type="dxa"/>
            <w:tcBorders>
              <w:top w:val="single"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0~20cm</w:t>
            </w:r>
          </w:p>
        </w:tc>
        <w:tc>
          <w:tcPr>
            <w:tcW w:w="1240" w:type="dxa"/>
            <w:tcBorders>
              <w:top w:val="single"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20~50cm</w:t>
            </w:r>
          </w:p>
        </w:tc>
        <w:tc>
          <w:tcPr>
            <w:tcW w:w="1403" w:type="dxa"/>
            <w:tcBorders>
              <w:top w:val="single"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50~150cm</w:t>
            </w:r>
          </w:p>
        </w:tc>
        <w:tc>
          <w:tcPr>
            <w:tcW w:w="1425" w:type="dxa"/>
            <w:tcBorders>
              <w:top w:val="single"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150~300cm</w:t>
            </w:r>
          </w:p>
        </w:tc>
        <w:tc>
          <w:tcPr>
            <w:tcW w:w="1077"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771" w:type="dxa"/>
            <w:vMerge w:val="continue"/>
            <w:tcBorders>
              <w:top w:val="single" w:color="auto" w:sz="12" w:space="0"/>
              <w:left w:val="dotted" w:color="auto" w:sz="4" w:space="0"/>
              <w:bottom w:val="single" w:color="auto" w:sz="12" w:space="0"/>
              <w:right w:val="nil"/>
            </w:tcBorders>
            <w:vAlign w:val="center"/>
          </w:tcPr>
          <w:p>
            <w:pPr>
              <w:widowControl/>
              <w:spacing w:line="240" w:lineRule="auto"/>
              <w:ind w:firstLine="0" w:firstLineChars="0"/>
              <w:jc w:val="left"/>
              <w:rPr>
                <w:rFonts w:cs="Times New Roman"/>
                <w:b/>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restart"/>
            <w:tcBorders>
              <w:top w:val="single" w:color="auto" w:sz="12" w:space="0"/>
              <w:left w:val="nil"/>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r>
              <w:rPr>
                <w:rFonts w:cs="Times New Roman"/>
                <w:sz w:val="21"/>
              </w:rPr>
              <w:t>2019</w:t>
            </w:r>
            <w:r>
              <w:rPr>
                <w:rFonts w:hint="eastAsia" w:cs="Times New Roman"/>
                <w:sz w:val="21"/>
              </w:rPr>
              <w:t>年</w:t>
            </w:r>
          </w:p>
          <w:p>
            <w:pPr>
              <w:adjustRightInd w:val="0"/>
              <w:snapToGrid w:val="0"/>
              <w:spacing w:line="240" w:lineRule="auto"/>
              <w:ind w:firstLine="0" w:firstLineChars="0"/>
              <w:jc w:val="center"/>
              <w:rPr>
                <w:rFonts w:cs="Times New Roman"/>
                <w:bCs/>
                <w:sz w:val="21"/>
              </w:rPr>
            </w:pPr>
            <w:r>
              <w:rPr>
                <w:rFonts w:cs="Times New Roman"/>
                <w:sz w:val="21"/>
              </w:rPr>
              <w:t>6</w:t>
            </w:r>
            <w:r>
              <w:rPr>
                <w:rFonts w:hint="eastAsia" w:cs="Times New Roman"/>
                <w:sz w:val="21"/>
              </w:rPr>
              <w:t>月</w:t>
            </w:r>
            <w:r>
              <w:rPr>
                <w:rFonts w:cs="Times New Roman"/>
                <w:sz w:val="21"/>
              </w:rPr>
              <w:t>11</w:t>
            </w:r>
            <w:r>
              <w:rPr>
                <w:rFonts w:hint="eastAsia" w:cs="Times New Roman"/>
                <w:sz w:val="21"/>
              </w:rPr>
              <w:t>日</w:t>
            </w:r>
          </w:p>
        </w:tc>
        <w:tc>
          <w:tcPr>
            <w:tcW w:w="1360"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氯甲烷</w:t>
            </w:r>
          </w:p>
        </w:tc>
        <w:tc>
          <w:tcPr>
            <w:tcW w:w="1294"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0.012</w:t>
            </w:r>
          </w:p>
        </w:tc>
        <w:tc>
          <w:tcPr>
            <w:tcW w:w="1240"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0.0119</w:t>
            </w:r>
          </w:p>
        </w:tc>
        <w:tc>
          <w:tcPr>
            <w:tcW w:w="1403"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0.0111</w:t>
            </w:r>
          </w:p>
        </w:tc>
        <w:tc>
          <w:tcPr>
            <w:tcW w:w="1425"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0.0113</w:t>
            </w:r>
          </w:p>
        </w:tc>
        <w:tc>
          <w:tcPr>
            <w:tcW w:w="1077"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37</w:t>
            </w:r>
          </w:p>
        </w:tc>
        <w:tc>
          <w:tcPr>
            <w:tcW w:w="771" w:type="dxa"/>
            <w:tcBorders>
              <w:top w:val="single" w:color="auto" w:sz="12"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氯乙烯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0.43</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1,1-</w:t>
            </w:r>
            <w:r>
              <w:rPr>
                <w:rFonts w:hint="eastAsia" w:cs="Times New Roman"/>
                <w:sz w:val="21"/>
              </w:rPr>
              <w:t>二氯乙烯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66</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二氯甲烷</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616</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顺</w:t>
            </w:r>
            <w:r>
              <w:rPr>
                <w:rFonts w:cs="Times New Roman"/>
                <w:sz w:val="21"/>
                <w:shd w:val="clear" w:color="auto" w:fill="FFFFFF"/>
              </w:rPr>
              <w:t>-1,2-</w:t>
            </w:r>
            <w:r>
              <w:rPr>
                <w:rFonts w:hint="eastAsia" w:cs="Times New Roman"/>
                <w:sz w:val="21"/>
                <w:shd w:val="clear" w:color="auto" w:fill="FFFFFF"/>
              </w:rPr>
              <w:t>二氯乙烯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596</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1,1-</w:t>
            </w:r>
            <w:r>
              <w:rPr>
                <w:rFonts w:hint="eastAsia" w:cs="Times New Roman"/>
                <w:sz w:val="21"/>
                <w:shd w:val="clear" w:color="auto" w:fill="FFFFFF"/>
              </w:rPr>
              <w:t>二氯乙烷</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9</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反</w:t>
            </w:r>
            <w:r>
              <w:rPr>
                <w:rFonts w:cs="Times New Roman"/>
                <w:sz w:val="21"/>
                <w:shd w:val="clear" w:color="auto" w:fill="FFFFFF"/>
              </w:rPr>
              <w:t>-1,2-</w:t>
            </w:r>
            <w:r>
              <w:rPr>
                <w:rFonts w:hint="eastAsia" w:cs="Times New Roman"/>
                <w:sz w:val="21"/>
                <w:shd w:val="clear" w:color="auto" w:fill="FFFFFF"/>
              </w:rPr>
              <w:t>二氯乙烯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54</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氯仿</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0.0059</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0.0058</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0.0066</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0.0067</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0.9</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1,1,1-</w:t>
            </w:r>
            <w:r>
              <w:rPr>
                <w:rFonts w:hint="eastAsia" w:cs="Times New Roman"/>
                <w:sz w:val="21"/>
                <w:shd w:val="clear" w:color="auto" w:fill="FFFFFF"/>
              </w:rPr>
              <w:t>三氯乙烷</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840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1,2-</w:t>
            </w:r>
            <w:r>
              <w:rPr>
                <w:rFonts w:hint="eastAsia" w:cs="Times New Roman"/>
                <w:sz w:val="21"/>
                <w:shd w:val="clear" w:color="auto" w:fill="FFFFFF"/>
              </w:rPr>
              <w:t>二氯乙烷</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4</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四氯化碳</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2.8</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1,2-</w:t>
            </w:r>
            <w:r>
              <w:rPr>
                <w:rFonts w:hint="eastAsia" w:cs="Times New Roman"/>
                <w:sz w:val="21"/>
                <w:shd w:val="clear" w:color="auto" w:fill="FFFFFF"/>
              </w:rPr>
              <w:t>二氯丙烷</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三氯乙烯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2.8</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甲苯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1200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1,1,2-</w:t>
            </w:r>
            <w:r>
              <w:rPr>
                <w:rFonts w:hint="eastAsia" w:cs="Times New Roman"/>
                <w:sz w:val="21"/>
                <w:shd w:val="clear" w:color="auto" w:fill="FFFFFF"/>
              </w:rPr>
              <w:t>三氯乙烷</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2.8</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四氯乙烯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53</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氯苯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270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1,1,1,2-</w:t>
            </w:r>
            <w:r>
              <w:rPr>
                <w:rFonts w:hint="eastAsia" w:cs="Times New Roman"/>
                <w:sz w:val="21"/>
                <w:shd w:val="clear" w:color="auto" w:fill="FFFFFF"/>
              </w:rPr>
              <w:t>四氯乙烷</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10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乙苯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28</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shd w:val="clear" w:color="auto" w:fill="FFFFFF"/>
              </w:rPr>
              <w:t>邻二甲苯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640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苯乙烯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1290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对二甲苯</w:t>
            </w:r>
            <w:r>
              <w:rPr>
                <w:rFonts w:cs="Times New Roman"/>
                <w:sz w:val="21"/>
                <w:shd w:val="clear" w:color="auto" w:fill="FFFFFF"/>
              </w:rPr>
              <w:t>+</w:t>
            </w:r>
            <w:r>
              <w:rPr>
                <w:rFonts w:hint="eastAsia" w:cs="Times New Roman"/>
                <w:sz w:val="21"/>
                <w:shd w:val="clear" w:color="auto" w:fill="FFFFFF"/>
              </w:rPr>
              <w:t>间二甲苯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570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1,1,2,2-</w:t>
            </w:r>
            <w:r>
              <w:rPr>
                <w:rFonts w:hint="eastAsia" w:cs="Times New Roman"/>
                <w:sz w:val="21"/>
                <w:shd w:val="clear" w:color="auto" w:fill="FFFFFF"/>
              </w:rPr>
              <w:t>四氯乙烷</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6.8</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1,2,3-</w:t>
            </w:r>
            <w:r>
              <w:rPr>
                <w:rFonts w:hint="eastAsia" w:cs="Times New Roman"/>
                <w:sz w:val="21"/>
                <w:shd w:val="clear" w:color="auto" w:fill="FFFFFF"/>
              </w:rPr>
              <w:t>三氯丙烷</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0.5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1,4-</w:t>
            </w:r>
            <w:r>
              <w:rPr>
                <w:rFonts w:hint="eastAsia" w:cs="Times New Roman"/>
                <w:sz w:val="21"/>
                <w:shd w:val="clear" w:color="auto" w:fill="FFFFFF"/>
              </w:rPr>
              <w:t>二氯苯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20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shd w:val="clear" w:color="auto" w:fill="FFFFFF"/>
              </w:rPr>
              <w:t>1,2-</w:t>
            </w:r>
            <w:r>
              <w:rPr>
                <w:rFonts w:hint="eastAsia" w:cs="Times New Roman"/>
                <w:sz w:val="21"/>
                <w:shd w:val="clear" w:color="auto" w:fill="FFFFFF"/>
              </w:rPr>
              <w:t>二氯苯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560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2-</w:t>
            </w:r>
            <w:r>
              <w:rPr>
                <w:rFonts w:hint="eastAsia" w:cs="Times New Roman"/>
                <w:bCs/>
                <w:sz w:val="21"/>
              </w:rPr>
              <w:t>氯酚</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2256</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硝基苯</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76</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苯胺</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260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萘</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70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苯并</w:t>
            </w:r>
            <w:r>
              <w:rPr>
                <w:rFonts w:cs="Times New Roman"/>
                <w:sz w:val="21"/>
              </w:rPr>
              <w:t>[a]</w:t>
            </w:r>
            <w:r>
              <w:rPr>
                <w:rFonts w:hint="eastAsia" w:cs="Times New Roman"/>
                <w:sz w:val="21"/>
              </w:rPr>
              <w:t>蒽</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15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shd w:val="clear" w:color="auto" w:fill="FFFFFF"/>
              </w:rPr>
              <w:t>䓛</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1293</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苯并</w:t>
            </w:r>
            <w:r>
              <w:rPr>
                <w:rFonts w:cs="Times New Roman"/>
                <w:sz w:val="21"/>
              </w:rPr>
              <w:t>[b]</w:t>
            </w:r>
            <w:r>
              <w:rPr>
                <w:rFonts w:hint="eastAsia" w:cs="Times New Roman"/>
                <w:sz w:val="21"/>
              </w:rPr>
              <w:t>荧蒽</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15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苯并</w:t>
            </w:r>
            <w:r>
              <w:rPr>
                <w:rFonts w:cs="Times New Roman"/>
                <w:sz w:val="21"/>
              </w:rPr>
              <w:t>[k]</w:t>
            </w:r>
            <w:r>
              <w:rPr>
                <w:rFonts w:hint="eastAsia" w:cs="Times New Roman"/>
                <w:sz w:val="21"/>
              </w:rPr>
              <w:t>荧蒽</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151</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苯并</w:t>
            </w:r>
            <w:r>
              <w:rPr>
                <w:rFonts w:cs="Times New Roman"/>
                <w:sz w:val="21"/>
              </w:rPr>
              <w:t>[a]</w:t>
            </w:r>
            <w:r>
              <w:rPr>
                <w:rFonts w:hint="eastAsia" w:cs="Times New Roman"/>
                <w:sz w:val="21"/>
              </w:rPr>
              <w:t>芘</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1.5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茚并</w:t>
            </w:r>
            <w:r>
              <w:rPr>
                <w:rFonts w:cs="Times New Roman"/>
                <w:sz w:val="21"/>
              </w:rPr>
              <w:t>[1,2,3-c,d]</w:t>
            </w:r>
            <w:r>
              <w:rPr>
                <w:rFonts w:hint="eastAsia" w:cs="Times New Roman"/>
                <w:sz w:val="21"/>
              </w:rPr>
              <w:t>芘</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15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二苯并</w:t>
            </w:r>
            <w:r>
              <w:rPr>
                <w:rFonts w:cs="Times New Roman"/>
                <w:sz w:val="21"/>
              </w:rPr>
              <w:t>[a,h]</w:t>
            </w:r>
            <w:r>
              <w:rPr>
                <w:rFonts w:hint="eastAsia" w:cs="Times New Roman"/>
                <w:sz w:val="21"/>
              </w:rPr>
              <w:t>蒽</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1.5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镉</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0.17</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0.23</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0.18</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0.31</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65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铜</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14</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15</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14</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14</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cs="Times New Roman"/>
                <w:bCs/>
                <w:sz w:val="21"/>
              </w:rPr>
              <w:t>18000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bCs/>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restart"/>
            <w:tcBorders>
              <w:top w:val="dotted" w:color="auto" w:sz="4" w:space="0"/>
              <w:left w:val="nil"/>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砷</w:t>
            </w:r>
          </w:p>
        </w:tc>
        <w:tc>
          <w:tcPr>
            <w:tcW w:w="129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7.37</w:t>
            </w:r>
          </w:p>
        </w:tc>
        <w:tc>
          <w:tcPr>
            <w:tcW w:w="12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7.29</w:t>
            </w:r>
          </w:p>
        </w:tc>
        <w:tc>
          <w:tcPr>
            <w:tcW w:w="14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7.28</w:t>
            </w:r>
          </w:p>
        </w:tc>
        <w:tc>
          <w:tcPr>
            <w:tcW w:w="14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6.21</w:t>
            </w:r>
          </w:p>
        </w:tc>
        <w:tc>
          <w:tcPr>
            <w:tcW w:w="107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60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镍</w:t>
            </w:r>
          </w:p>
        </w:tc>
        <w:tc>
          <w:tcPr>
            <w:tcW w:w="129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46</w:t>
            </w:r>
          </w:p>
        </w:tc>
        <w:tc>
          <w:tcPr>
            <w:tcW w:w="12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49</w:t>
            </w:r>
          </w:p>
        </w:tc>
        <w:tc>
          <w:tcPr>
            <w:tcW w:w="14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46</w:t>
            </w:r>
          </w:p>
        </w:tc>
        <w:tc>
          <w:tcPr>
            <w:tcW w:w="14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43</w:t>
            </w:r>
          </w:p>
        </w:tc>
        <w:tc>
          <w:tcPr>
            <w:tcW w:w="107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900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汞</w:t>
            </w:r>
          </w:p>
        </w:tc>
        <w:tc>
          <w:tcPr>
            <w:tcW w:w="129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0.018</w:t>
            </w:r>
          </w:p>
        </w:tc>
        <w:tc>
          <w:tcPr>
            <w:tcW w:w="12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0.014</w:t>
            </w:r>
          </w:p>
        </w:tc>
        <w:tc>
          <w:tcPr>
            <w:tcW w:w="14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0.014</w:t>
            </w:r>
          </w:p>
        </w:tc>
        <w:tc>
          <w:tcPr>
            <w:tcW w:w="14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0.013</w:t>
            </w:r>
          </w:p>
        </w:tc>
        <w:tc>
          <w:tcPr>
            <w:tcW w:w="107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38</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铅</w:t>
            </w:r>
          </w:p>
        </w:tc>
        <w:tc>
          <w:tcPr>
            <w:tcW w:w="129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48.1</w:t>
            </w:r>
          </w:p>
        </w:tc>
        <w:tc>
          <w:tcPr>
            <w:tcW w:w="12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44.5</w:t>
            </w:r>
          </w:p>
        </w:tc>
        <w:tc>
          <w:tcPr>
            <w:tcW w:w="14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46.7</w:t>
            </w:r>
          </w:p>
        </w:tc>
        <w:tc>
          <w:tcPr>
            <w:tcW w:w="14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37.9</w:t>
            </w:r>
          </w:p>
        </w:tc>
        <w:tc>
          <w:tcPr>
            <w:tcW w:w="107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800</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铬（六价）</w:t>
            </w:r>
          </w:p>
        </w:tc>
        <w:tc>
          <w:tcPr>
            <w:tcW w:w="129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3</w:t>
            </w:r>
          </w:p>
        </w:tc>
        <w:tc>
          <w:tcPr>
            <w:tcW w:w="124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3</w:t>
            </w:r>
          </w:p>
        </w:tc>
        <w:tc>
          <w:tcPr>
            <w:tcW w:w="14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3</w:t>
            </w:r>
          </w:p>
        </w:tc>
        <w:tc>
          <w:tcPr>
            <w:tcW w:w="142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3</w:t>
            </w:r>
          </w:p>
        </w:tc>
        <w:tc>
          <w:tcPr>
            <w:tcW w:w="107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t>5.7</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16"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36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氰化物</w:t>
            </w:r>
          </w:p>
        </w:tc>
        <w:tc>
          <w:tcPr>
            <w:tcW w:w="129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sz w:val="21"/>
              </w:rPr>
              <w:t>ND</w:t>
            </w:r>
          </w:p>
        </w:tc>
        <w:tc>
          <w:tcPr>
            <w:tcW w:w="124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sz w:val="21"/>
              </w:rPr>
              <w:t>ND</w:t>
            </w:r>
          </w:p>
        </w:tc>
        <w:tc>
          <w:tcPr>
            <w:tcW w:w="14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sz w:val="21"/>
              </w:rPr>
              <w:t>ND</w:t>
            </w:r>
          </w:p>
        </w:tc>
        <w:tc>
          <w:tcPr>
            <w:tcW w:w="14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sz w:val="21"/>
              </w:rPr>
              <w:t>ND</w:t>
            </w:r>
          </w:p>
        </w:tc>
        <w:tc>
          <w:tcPr>
            <w:tcW w:w="107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sz w:val="21"/>
              </w:rPr>
              <w:t>135</w:t>
            </w:r>
          </w:p>
        </w:tc>
        <w:tc>
          <w:tcPr>
            <w:tcW w:w="771"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hint="eastAsia" w:cs="Times New Roman"/>
                <w:sz w:val="21"/>
              </w:rPr>
              <w:t>达标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86" w:type="dxa"/>
            <w:gridSpan w:val="8"/>
            <w:tcBorders>
              <w:top w:val="dotted" w:color="auto" w:sz="4" w:space="0"/>
              <w:left w:val="nil"/>
              <w:bottom w:val="single" w:color="auto" w:sz="12" w:space="0"/>
              <w:right w:val="nil"/>
            </w:tcBorders>
            <w:vAlign w:val="center"/>
          </w:tcPr>
          <w:p>
            <w:pPr>
              <w:adjustRightInd w:val="0"/>
              <w:snapToGrid w:val="0"/>
              <w:spacing w:line="240" w:lineRule="auto"/>
              <w:ind w:firstLine="0" w:firstLineChars="0"/>
              <w:jc w:val="left"/>
              <w:rPr>
                <w:rFonts w:cs="Times New Roman"/>
                <w:sz w:val="21"/>
              </w:rPr>
            </w:pPr>
            <w:r>
              <w:rPr>
                <w:rFonts w:hint="eastAsia" w:cs="Times New Roman"/>
                <w:sz w:val="21"/>
              </w:rPr>
              <w:t>备注</w:t>
            </w:r>
            <w:r>
              <w:t>ND</w:t>
            </w:r>
            <w:r>
              <w:rPr>
                <w:rFonts w:hint="eastAsia"/>
              </w:rPr>
              <w:t>表示检测结果低于分析方法检出限。</w:t>
            </w:r>
          </w:p>
        </w:tc>
      </w:tr>
    </w:tbl>
    <w:p>
      <w:pPr>
        <w:spacing w:line="500" w:lineRule="exact"/>
        <w:ind w:firstLine="480"/>
      </w:pPr>
    </w:p>
    <w:p>
      <w:pPr>
        <w:spacing w:line="500" w:lineRule="exact"/>
        <w:ind w:firstLine="480"/>
        <w:rPr>
          <w:rFonts w:cs="Times New Roman"/>
          <w:color w:val="000000"/>
          <w:kern w:val="0"/>
          <w:szCs w:val="24"/>
        </w:rPr>
      </w:pPr>
      <w:r>
        <w:t>5.4</w:t>
      </w:r>
      <w:r>
        <w:rPr>
          <w:rFonts w:hint="eastAsia"/>
        </w:rPr>
        <w:t>—</w:t>
      </w:r>
      <w:r>
        <w:t xml:space="preserve">3              </w:t>
      </w:r>
      <w:r>
        <w:rPr>
          <w:rFonts w:hint="eastAsia" w:cs="Times New Roman"/>
          <w:color w:val="000000"/>
          <w:kern w:val="0"/>
          <w:szCs w:val="24"/>
        </w:rPr>
        <w:t>土壤环境质量监测结果一览表（特征污染物）</w:t>
      </w:r>
    </w:p>
    <w:tbl>
      <w:tblPr>
        <w:tblStyle w:val="88"/>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98"/>
        <w:gridCol w:w="1123"/>
        <w:gridCol w:w="975"/>
        <w:gridCol w:w="1006"/>
        <w:gridCol w:w="1144"/>
        <w:gridCol w:w="879"/>
        <w:gridCol w:w="1133"/>
        <w:gridCol w:w="1232"/>
        <w:gridCol w:w="99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798" w:type="dxa"/>
            <w:vMerge w:val="restart"/>
            <w:tcBorders>
              <w:top w:val="single" w:color="auto" w:sz="12" w:space="0"/>
              <w:left w:val="nil"/>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接样</w:t>
            </w:r>
          </w:p>
          <w:p>
            <w:pPr>
              <w:adjustRightInd w:val="0"/>
              <w:snapToGrid w:val="0"/>
              <w:spacing w:line="240" w:lineRule="auto"/>
              <w:ind w:firstLine="0" w:firstLineChars="0"/>
              <w:jc w:val="center"/>
              <w:rPr>
                <w:rFonts w:cs="Times New Roman"/>
                <w:b/>
                <w:sz w:val="21"/>
              </w:rPr>
            </w:pPr>
            <w:r>
              <w:rPr>
                <w:rFonts w:hint="eastAsia" w:cs="Times New Roman"/>
                <w:b/>
                <w:sz w:val="21"/>
              </w:rPr>
              <w:t>日期</w:t>
            </w:r>
          </w:p>
        </w:tc>
        <w:tc>
          <w:tcPr>
            <w:tcW w:w="1123" w:type="dxa"/>
            <w:vMerge w:val="restart"/>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检测</w:t>
            </w:r>
          </w:p>
          <w:p>
            <w:pPr>
              <w:adjustRightInd w:val="0"/>
              <w:snapToGrid w:val="0"/>
              <w:spacing w:line="240" w:lineRule="auto"/>
              <w:ind w:firstLine="0" w:firstLineChars="0"/>
              <w:jc w:val="center"/>
              <w:rPr>
                <w:rFonts w:cs="Times New Roman"/>
                <w:b/>
                <w:sz w:val="21"/>
              </w:rPr>
            </w:pPr>
            <w:r>
              <w:rPr>
                <w:rFonts w:hint="eastAsia" w:cs="Times New Roman"/>
                <w:b/>
                <w:sz w:val="21"/>
              </w:rPr>
              <w:t>项目</w:t>
            </w:r>
          </w:p>
        </w:tc>
        <w:tc>
          <w:tcPr>
            <w:tcW w:w="6369" w:type="dxa"/>
            <w:gridSpan w:val="6"/>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检测结果</w:t>
            </w:r>
          </w:p>
        </w:tc>
        <w:tc>
          <w:tcPr>
            <w:tcW w:w="996" w:type="dxa"/>
            <w:vMerge w:val="restart"/>
            <w:tcBorders>
              <w:top w:val="single" w:color="auto" w:sz="12" w:space="0"/>
              <w:left w:val="dotted" w:color="auto" w:sz="4" w:space="0"/>
              <w:bottom w:val="single" w:color="auto" w:sz="12" w:space="0"/>
              <w:right w:val="nil"/>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筛选值</w:t>
            </w:r>
          </w:p>
          <w:p>
            <w:pPr>
              <w:adjustRightInd w:val="0"/>
              <w:snapToGrid w:val="0"/>
              <w:spacing w:line="240" w:lineRule="auto"/>
              <w:ind w:firstLine="0" w:firstLineChars="0"/>
              <w:jc w:val="center"/>
              <w:rPr>
                <w:rFonts w:cs="Times New Roman"/>
                <w:b/>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5" w:hRule="atLeast"/>
          <w:jc w:val="center"/>
        </w:trPr>
        <w:tc>
          <w:tcPr>
            <w:tcW w:w="798" w:type="dxa"/>
            <w:vMerge w:val="continue"/>
            <w:tcBorders>
              <w:top w:val="single" w:color="auto" w:sz="12" w:space="0"/>
              <w:left w:val="nil"/>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1123"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3125" w:type="dxa"/>
            <w:gridSpan w:val="3"/>
            <w:tcBorders>
              <w:top w:val="dotted" w:color="auto" w:sz="4" w:space="0"/>
              <w:left w:val="dotted"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处置场内西北侧口</w:t>
            </w:r>
            <w:r>
              <w:rPr>
                <w:rFonts w:cs="Times New Roman"/>
                <w:b/>
                <w:sz w:val="21"/>
              </w:rPr>
              <w:t>2#</w:t>
            </w:r>
          </w:p>
        </w:tc>
        <w:tc>
          <w:tcPr>
            <w:tcW w:w="3244" w:type="dxa"/>
            <w:gridSpan w:val="3"/>
            <w:tcBorders>
              <w:top w:val="dotted" w:color="auto" w:sz="4" w:space="0"/>
              <w:left w:val="single" w:color="auto" w:sz="4" w:space="0"/>
              <w:bottom w:val="single" w:color="auto" w:sz="4"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hint="eastAsia" w:cs="Times New Roman"/>
                <w:b/>
                <w:sz w:val="21"/>
              </w:rPr>
              <w:t>处置场内西北侧口</w:t>
            </w:r>
            <w:r>
              <w:rPr>
                <w:rFonts w:cs="Times New Roman"/>
                <w:b/>
                <w:sz w:val="21"/>
              </w:rPr>
              <w:t>3#</w:t>
            </w:r>
          </w:p>
        </w:tc>
        <w:tc>
          <w:tcPr>
            <w:tcW w:w="996" w:type="dxa"/>
            <w:vMerge w:val="continue"/>
            <w:tcBorders>
              <w:top w:val="single" w:color="auto" w:sz="12" w:space="0"/>
              <w:left w:val="dotted" w:color="auto" w:sz="4" w:space="0"/>
              <w:bottom w:val="single" w:color="auto" w:sz="12" w:space="0"/>
              <w:right w:val="nil"/>
            </w:tcBorders>
            <w:vAlign w:val="center"/>
          </w:tcPr>
          <w:p>
            <w:pPr>
              <w:widowControl/>
              <w:spacing w:line="240" w:lineRule="auto"/>
              <w:ind w:firstLine="0" w:firstLineChars="0"/>
              <w:jc w:val="left"/>
              <w:rPr>
                <w:rFonts w:cs="Times New Roman"/>
                <w:b/>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82" w:hRule="atLeast"/>
          <w:jc w:val="center"/>
        </w:trPr>
        <w:tc>
          <w:tcPr>
            <w:tcW w:w="798" w:type="dxa"/>
            <w:vMerge w:val="continue"/>
            <w:tcBorders>
              <w:top w:val="single" w:color="auto" w:sz="12" w:space="0"/>
              <w:left w:val="nil"/>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1123"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b/>
                <w:sz w:val="21"/>
              </w:rPr>
            </w:pPr>
          </w:p>
        </w:tc>
        <w:tc>
          <w:tcPr>
            <w:tcW w:w="975" w:type="dxa"/>
            <w:tcBorders>
              <w:top w:val="single"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0~50</w:t>
            </w:r>
          </w:p>
          <w:p>
            <w:pPr>
              <w:adjustRightInd w:val="0"/>
              <w:snapToGrid w:val="0"/>
              <w:spacing w:line="240" w:lineRule="auto"/>
              <w:ind w:firstLine="0" w:firstLineChars="0"/>
              <w:jc w:val="center"/>
              <w:rPr>
                <w:rFonts w:cs="Times New Roman"/>
                <w:b/>
                <w:sz w:val="21"/>
              </w:rPr>
            </w:pPr>
            <w:r>
              <w:rPr>
                <w:rFonts w:cs="Times New Roman"/>
                <w:b/>
                <w:sz w:val="21"/>
              </w:rPr>
              <w:t>cm</w:t>
            </w:r>
          </w:p>
        </w:tc>
        <w:tc>
          <w:tcPr>
            <w:tcW w:w="1006" w:type="dxa"/>
            <w:tcBorders>
              <w:top w:val="single"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50~150</w:t>
            </w:r>
          </w:p>
          <w:p>
            <w:pPr>
              <w:adjustRightInd w:val="0"/>
              <w:snapToGrid w:val="0"/>
              <w:spacing w:line="240" w:lineRule="auto"/>
              <w:ind w:firstLine="0" w:firstLineChars="0"/>
              <w:jc w:val="center"/>
              <w:rPr>
                <w:rFonts w:cs="Times New Roman"/>
                <w:b/>
                <w:sz w:val="21"/>
              </w:rPr>
            </w:pPr>
            <w:r>
              <w:rPr>
                <w:rFonts w:cs="Times New Roman"/>
                <w:b/>
                <w:sz w:val="21"/>
              </w:rPr>
              <w:t>cm</w:t>
            </w:r>
          </w:p>
        </w:tc>
        <w:tc>
          <w:tcPr>
            <w:tcW w:w="1144" w:type="dxa"/>
            <w:tcBorders>
              <w:top w:val="single" w:color="auto" w:sz="4" w:space="0"/>
              <w:left w:val="dotted" w:color="auto" w:sz="4" w:space="0"/>
              <w:bottom w:val="single" w:color="auto" w:sz="12" w:space="0"/>
              <w:right w:val="single"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150~300</w:t>
            </w:r>
          </w:p>
          <w:p>
            <w:pPr>
              <w:adjustRightInd w:val="0"/>
              <w:snapToGrid w:val="0"/>
              <w:spacing w:line="240" w:lineRule="auto"/>
              <w:ind w:firstLine="0" w:firstLineChars="0"/>
              <w:jc w:val="center"/>
              <w:rPr>
                <w:rFonts w:cs="Times New Roman"/>
                <w:b/>
                <w:sz w:val="21"/>
              </w:rPr>
            </w:pPr>
            <w:r>
              <w:rPr>
                <w:rFonts w:cs="Times New Roman"/>
                <w:b/>
                <w:sz w:val="21"/>
              </w:rPr>
              <w:t>cm</w:t>
            </w:r>
          </w:p>
        </w:tc>
        <w:tc>
          <w:tcPr>
            <w:tcW w:w="879" w:type="dxa"/>
            <w:tcBorders>
              <w:top w:val="single" w:color="auto" w:sz="4" w:space="0"/>
              <w:left w:val="single"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0~50</w:t>
            </w:r>
          </w:p>
          <w:p>
            <w:pPr>
              <w:adjustRightInd w:val="0"/>
              <w:snapToGrid w:val="0"/>
              <w:spacing w:line="240" w:lineRule="auto"/>
              <w:ind w:firstLine="0" w:firstLineChars="0"/>
              <w:jc w:val="center"/>
              <w:rPr>
                <w:rFonts w:cs="Times New Roman"/>
                <w:b/>
                <w:sz w:val="21"/>
              </w:rPr>
            </w:pPr>
            <w:r>
              <w:rPr>
                <w:rFonts w:cs="Times New Roman"/>
                <w:b/>
                <w:sz w:val="21"/>
              </w:rPr>
              <w:t>cm</w:t>
            </w:r>
          </w:p>
        </w:tc>
        <w:tc>
          <w:tcPr>
            <w:tcW w:w="1133"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50~150</w:t>
            </w:r>
          </w:p>
          <w:p>
            <w:pPr>
              <w:adjustRightInd w:val="0"/>
              <w:snapToGrid w:val="0"/>
              <w:spacing w:line="240" w:lineRule="auto"/>
              <w:ind w:firstLine="0" w:firstLineChars="0"/>
              <w:jc w:val="center"/>
              <w:rPr>
                <w:rFonts w:cs="Times New Roman"/>
                <w:b/>
                <w:sz w:val="21"/>
              </w:rPr>
            </w:pPr>
            <w:r>
              <w:rPr>
                <w:rFonts w:cs="Times New Roman"/>
                <w:b/>
                <w:sz w:val="21"/>
              </w:rPr>
              <w:t>cm</w:t>
            </w:r>
          </w:p>
        </w:tc>
        <w:tc>
          <w:tcPr>
            <w:tcW w:w="1232"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uto"/>
              <w:ind w:firstLine="0" w:firstLineChars="0"/>
              <w:jc w:val="center"/>
              <w:rPr>
                <w:rFonts w:cs="Times New Roman"/>
                <w:b/>
                <w:sz w:val="21"/>
              </w:rPr>
            </w:pPr>
            <w:r>
              <w:rPr>
                <w:rFonts w:cs="Times New Roman"/>
                <w:b/>
                <w:sz w:val="21"/>
              </w:rPr>
              <w:t>150~300</w:t>
            </w:r>
          </w:p>
          <w:p>
            <w:pPr>
              <w:adjustRightInd w:val="0"/>
              <w:snapToGrid w:val="0"/>
              <w:spacing w:line="240" w:lineRule="auto"/>
              <w:ind w:firstLine="0" w:firstLineChars="0"/>
              <w:jc w:val="center"/>
              <w:rPr>
                <w:rFonts w:cs="Times New Roman"/>
                <w:b/>
                <w:sz w:val="21"/>
              </w:rPr>
            </w:pPr>
            <w:r>
              <w:rPr>
                <w:rFonts w:cs="Times New Roman"/>
                <w:b/>
                <w:sz w:val="21"/>
              </w:rPr>
              <w:t>cm</w:t>
            </w:r>
          </w:p>
        </w:tc>
        <w:tc>
          <w:tcPr>
            <w:tcW w:w="996" w:type="dxa"/>
            <w:vMerge w:val="continue"/>
            <w:tcBorders>
              <w:top w:val="single" w:color="auto" w:sz="12" w:space="0"/>
              <w:left w:val="dotted" w:color="auto" w:sz="4" w:space="0"/>
              <w:bottom w:val="single" w:color="auto" w:sz="12" w:space="0"/>
              <w:right w:val="nil"/>
            </w:tcBorders>
            <w:vAlign w:val="center"/>
          </w:tcPr>
          <w:p>
            <w:pPr>
              <w:widowControl/>
              <w:spacing w:line="240" w:lineRule="auto"/>
              <w:ind w:firstLine="0" w:firstLineChars="0"/>
              <w:jc w:val="left"/>
              <w:rPr>
                <w:rFonts w:cs="Times New Roman"/>
                <w:b/>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98" w:type="dxa"/>
            <w:vMerge w:val="restart"/>
            <w:tcBorders>
              <w:top w:val="single" w:color="auto" w:sz="12" w:space="0"/>
              <w:left w:val="nil"/>
              <w:bottom w:val="dotted" w:color="auto" w:sz="4" w:space="0"/>
              <w:right w:val="dotted" w:color="auto" w:sz="4" w:space="0"/>
            </w:tcBorders>
            <w:vAlign w:val="center"/>
          </w:tcPr>
          <w:p>
            <w:pPr>
              <w:adjustRightInd w:val="0"/>
              <w:snapToGrid w:val="0"/>
              <w:spacing w:line="240" w:lineRule="auto"/>
              <w:ind w:firstLine="0" w:firstLineChars="0"/>
              <w:rPr>
                <w:rFonts w:cs="Times New Roman"/>
                <w:sz w:val="21"/>
              </w:rPr>
            </w:pPr>
          </w:p>
          <w:p>
            <w:pPr>
              <w:adjustRightInd w:val="0"/>
              <w:snapToGrid w:val="0"/>
              <w:spacing w:line="240" w:lineRule="auto"/>
              <w:ind w:firstLine="0" w:firstLineChars="0"/>
              <w:jc w:val="center"/>
              <w:rPr>
                <w:rFonts w:cs="Times New Roman"/>
                <w:sz w:val="21"/>
              </w:rPr>
            </w:pPr>
          </w:p>
          <w:p>
            <w:pPr>
              <w:adjustRightInd w:val="0"/>
              <w:snapToGrid w:val="0"/>
              <w:spacing w:line="240" w:lineRule="auto"/>
              <w:ind w:firstLine="0" w:firstLineChars="0"/>
              <w:jc w:val="center"/>
              <w:rPr>
                <w:rFonts w:cs="Times New Roman"/>
                <w:sz w:val="21"/>
              </w:rPr>
            </w:pPr>
            <w:r>
              <w:rPr>
                <w:rFonts w:cs="Times New Roman"/>
                <w:sz w:val="21"/>
              </w:rPr>
              <w:t>2019</w:t>
            </w:r>
            <w:r>
              <w:rPr>
                <w:rFonts w:hint="eastAsia" w:cs="Times New Roman"/>
                <w:sz w:val="21"/>
              </w:rPr>
              <w:t>年</w:t>
            </w:r>
          </w:p>
          <w:p>
            <w:pPr>
              <w:adjustRightInd w:val="0"/>
              <w:snapToGrid w:val="0"/>
              <w:spacing w:line="240" w:lineRule="auto"/>
              <w:ind w:firstLine="0" w:firstLineChars="0"/>
              <w:jc w:val="center"/>
              <w:rPr>
                <w:rFonts w:cs="Times New Roman"/>
                <w:bCs/>
                <w:sz w:val="21"/>
              </w:rPr>
            </w:pPr>
            <w:r>
              <w:rPr>
                <w:rFonts w:cs="Times New Roman"/>
                <w:sz w:val="21"/>
              </w:rPr>
              <w:t>6</w:t>
            </w:r>
            <w:r>
              <w:rPr>
                <w:rFonts w:hint="eastAsia" w:cs="Times New Roman"/>
                <w:sz w:val="21"/>
              </w:rPr>
              <w:t>月</w:t>
            </w:r>
            <w:r>
              <w:rPr>
                <w:rFonts w:cs="Times New Roman"/>
                <w:sz w:val="21"/>
              </w:rPr>
              <w:t>11</w:t>
            </w:r>
            <w:r>
              <w:rPr>
                <w:rFonts w:hint="eastAsia" w:cs="Times New Roman"/>
                <w:sz w:val="21"/>
              </w:rPr>
              <w:t>日</w:t>
            </w:r>
          </w:p>
        </w:tc>
        <w:tc>
          <w:tcPr>
            <w:tcW w:w="1123"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砷</w:t>
            </w:r>
          </w:p>
        </w:tc>
        <w:tc>
          <w:tcPr>
            <w:tcW w:w="975"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7.35</w:t>
            </w:r>
          </w:p>
        </w:tc>
        <w:tc>
          <w:tcPr>
            <w:tcW w:w="1006"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7.51</w:t>
            </w:r>
          </w:p>
        </w:tc>
        <w:tc>
          <w:tcPr>
            <w:tcW w:w="1144"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7.18</w:t>
            </w:r>
          </w:p>
        </w:tc>
        <w:tc>
          <w:tcPr>
            <w:tcW w:w="87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6.34</w:t>
            </w:r>
          </w:p>
        </w:tc>
        <w:tc>
          <w:tcPr>
            <w:tcW w:w="1133"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6.27</w:t>
            </w:r>
          </w:p>
        </w:tc>
        <w:tc>
          <w:tcPr>
            <w:tcW w:w="1232"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6.62</w:t>
            </w:r>
          </w:p>
        </w:tc>
        <w:tc>
          <w:tcPr>
            <w:tcW w:w="996" w:type="dxa"/>
            <w:tcBorders>
              <w:top w:val="single" w:color="auto" w:sz="12"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98"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12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镍</w:t>
            </w:r>
          </w:p>
        </w:tc>
        <w:tc>
          <w:tcPr>
            <w:tcW w:w="97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46</w:t>
            </w:r>
          </w:p>
        </w:tc>
        <w:tc>
          <w:tcPr>
            <w:tcW w:w="100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45</w:t>
            </w:r>
          </w:p>
        </w:tc>
        <w:tc>
          <w:tcPr>
            <w:tcW w:w="114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42</w:t>
            </w:r>
          </w:p>
        </w:tc>
        <w:tc>
          <w:tcPr>
            <w:tcW w:w="87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45</w:t>
            </w:r>
          </w:p>
        </w:tc>
        <w:tc>
          <w:tcPr>
            <w:tcW w:w="11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46</w:t>
            </w:r>
          </w:p>
        </w:tc>
        <w:tc>
          <w:tcPr>
            <w:tcW w:w="123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47</w:t>
            </w:r>
          </w:p>
        </w:tc>
        <w:tc>
          <w:tcPr>
            <w:tcW w:w="99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900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98"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12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汞</w:t>
            </w:r>
          </w:p>
        </w:tc>
        <w:tc>
          <w:tcPr>
            <w:tcW w:w="97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0.014</w:t>
            </w:r>
          </w:p>
        </w:tc>
        <w:tc>
          <w:tcPr>
            <w:tcW w:w="100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0.013</w:t>
            </w:r>
          </w:p>
        </w:tc>
        <w:tc>
          <w:tcPr>
            <w:tcW w:w="114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0.011</w:t>
            </w:r>
          </w:p>
        </w:tc>
        <w:tc>
          <w:tcPr>
            <w:tcW w:w="87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0.011</w:t>
            </w:r>
          </w:p>
        </w:tc>
        <w:tc>
          <w:tcPr>
            <w:tcW w:w="11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0.013</w:t>
            </w:r>
          </w:p>
        </w:tc>
        <w:tc>
          <w:tcPr>
            <w:tcW w:w="123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0.017</w:t>
            </w:r>
          </w:p>
        </w:tc>
        <w:tc>
          <w:tcPr>
            <w:tcW w:w="99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38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98"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12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铅</w:t>
            </w:r>
          </w:p>
        </w:tc>
        <w:tc>
          <w:tcPr>
            <w:tcW w:w="97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45.4</w:t>
            </w:r>
          </w:p>
        </w:tc>
        <w:tc>
          <w:tcPr>
            <w:tcW w:w="100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48.5</w:t>
            </w:r>
          </w:p>
        </w:tc>
        <w:tc>
          <w:tcPr>
            <w:tcW w:w="114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45.4</w:t>
            </w:r>
          </w:p>
        </w:tc>
        <w:tc>
          <w:tcPr>
            <w:tcW w:w="87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45.6</w:t>
            </w:r>
          </w:p>
        </w:tc>
        <w:tc>
          <w:tcPr>
            <w:tcW w:w="11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43.8</w:t>
            </w:r>
          </w:p>
        </w:tc>
        <w:tc>
          <w:tcPr>
            <w:tcW w:w="123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rPr>
            </w:pPr>
            <w:r>
              <w:rPr>
                <w:rFonts w:cs="Times New Roman"/>
                <w:sz w:val="21"/>
              </w:rPr>
              <w:t>41.8</w:t>
            </w:r>
          </w:p>
        </w:tc>
        <w:tc>
          <w:tcPr>
            <w:tcW w:w="99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rPr>
            </w:pPr>
            <w:r>
              <w:rPr>
                <w:rFonts w:cs="Times New Roman"/>
                <w:sz w:val="21"/>
              </w:rPr>
              <w:t>800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98"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12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铬（六价）</w:t>
            </w:r>
          </w:p>
        </w:tc>
        <w:tc>
          <w:tcPr>
            <w:tcW w:w="97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3</w:t>
            </w:r>
          </w:p>
        </w:tc>
        <w:tc>
          <w:tcPr>
            <w:tcW w:w="100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3</w:t>
            </w:r>
          </w:p>
        </w:tc>
        <w:tc>
          <w:tcPr>
            <w:tcW w:w="114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3</w:t>
            </w:r>
          </w:p>
        </w:tc>
        <w:tc>
          <w:tcPr>
            <w:tcW w:w="87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3</w:t>
            </w:r>
          </w:p>
        </w:tc>
        <w:tc>
          <w:tcPr>
            <w:tcW w:w="11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3</w:t>
            </w:r>
          </w:p>
        </w:tc>
        <w:tc>
          <w:tcPr>
            <w:tcW w:w="123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3</w:t>
            </w:r>
          </w:p>
        </w:tc>
        <w:tc>
          <w:tcPr>
            <w:tcW w:w="99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5.7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98" w:type="dxa"/>
            <w:vMerge w:val="continue"/>
            <w:tcBorders>
              <w:top w:val="single" w:color="auto" w:sz="12" w:space="0"/>
              <w:left w:val="nil"/>
              <w:bottom w:val="dotted" w:color="auto" w:sz="4" w:space="0"/>
              <w:right w:val="dotted" w:color="auto" w:sz="4" w:space="0"/>
            </w:tcBorders>
            <w:vAlign w:val="center"/>
          </w:tcPr>
          <w:p>
            <w:pPr>
              <w:widowControl/>
              <w:spacing w:line="240" w:lineRule="auto"/>
              <w:ind w:firstLine="0" w:firstLineChars="0"/>
              <w:jc w:val="left"/>
              <w:rPr>
                <w:rFonts w:cs="Times New Roman"/>
                <w:bCs/>
                <w:sz w:val="21"/>
              </w:rPr>
            </w:pPr>
          </w:p>
        </w:tc>
        <w:tc>
          <w:tcPr>
            <w:tcW w:w="112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bCs/>
                <w:sz w:val="21"/>
              </w:rPr>
            </w:pPr>
            <w:r>
              <w:rPr>
                <w:rFonts w:hint="eastAsia" w:cs="Times New Roman"/>
                <w:bCs/>
                <w:sz w:val="21"/>
              </w:rPr>
              <w:t>氰化物</w:t>
            </w:r>
          </w:p>
        </w:tc>
        <w:tc>
          <w:tcPr>
            <w:tcW w:w="97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sz w:val="21"/>
              </w:rPr>
              <w:t>ND</w:t>
            </w:r>
          </w:p>
        </w:tc>
        <w:tc>
          <w:tcPr>
            <w:tcW w:w="100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sz w:val="21"/>
              </w:rPr>
              <w:t>ND</w:t>
            </w:r>
          </w:p>
        </w:tc>
        <w:tc>
          <w:tcPr>
            <w:tcW w:w="114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sz w:val="21"/>
              </w:rPr>
              <w:t>ND</w:t>
            </w:r>
          </w:p>
        </w:tc>
        <w:tc>
          <w:tcPr>
            <w:tcW w:w="87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sz w:val="21"/>
              </w:rPr>
              <w:t>ND</w:t>
            </w:r>
          </w:p>
        </w:tc>
        <w:tc>
          <w:tcPr>
            <w:tcW w:w="11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sz w:val="21"/>
              </w:rPr>
              <w:t>ND</w:t>
            </w:r>
          </w:p>
        </w:tc>
        <w:tc>
          <w:tcPr>
            <w:tcW w:w="123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ind w:firstLine="0" w:firstLineChars="0"/>
              <w:jc w:val="center"/>
              <w:rPr>
                <w:rFonts w:cs="Times New Roman"/>
                <w:sz w:val="21"/>
                <w:shd w:val="clear" w:color="auto" w:fill="FFFFFF"/>
              </w:rPr>
            </w:pPr>
            <w:r>
              <w:rPr>
                <w:sz w:val="21"/>
              </w:rPr>
              <w:t>ND</w:t>
            </w:r>
          </w:p>
        </w:tc>
        <w:tc>
          <w:tcPr>
            <w:tcW w:w="996" w:type="dxa"/>
            <w:tcBorders>
              <w:top w:val="dotted" w:color="auto" w:sz="4" w:space="0"/>
              <w:left w:val="dotted" w:color="auto" w:sz="4" w:space="0"/>
              <w:bottom w:val="dotted" w:color="auto" w:sz="4" w:space="0"/>
              <w:right w:val="nil"/>
            </w:tcBorders>
            <w:vAlign w:val="center"/>
          </w:tcPr>
          <w:p>
            <w:pPr>
              <w:adjustRightInd w:val="0"/>
              <w:snapToGrid w:val="0"/>
              <w:spacing w:line="240" w:lineRule="auto"/>
              <w:ind w:firstLine="0" w:firstLineChars="0"/>
              <w:jc w:val="center"/>
              <w:rPr>
                <w:rFonts w:cs="Times New Roman"/>
                <w:sz w:val="21"/>
                <w:shd w:val="clear" w:color="auto" w:fill="FFFFFF"/>
              </w:rPr>
            </w:pPr>
            <w:r>
              <w:rPr>
                <w:rFonts w:cs="Times New Roman"/>
                <w:sz w:val="21"/>
                <w:shd w:val="clear" w:color="auto" w:fill="FFFFFF"/>
              </w:rPr>
              <w:t>135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86" w:type="dxa"/>
            <w:gridSpan w:val="9"/>
            <w:tcBorders>
              <w:top w:val="dotted" w:color="auto" w:sz="4" w:space="0"/>
              <w:left w:val="nil"/>
              <w:bottom w:val="single" w:color="auto" w:sz="12" w:space="0"/>
              <w:right w:val="nil"/>
            </w:tcBorders>
            <w:vAlign w:val="center"/>
          </w:tcPr>
          <w:p>
            <w:pPr>
              <w:adjustRightInd w:val="0"/>
              <w:snapToGrid w:val="0"/>
              <w:spacing w:line="240" w:lineRule="auto"/>
              <w:ind w:firstLine="0" w:firstLineChars="0"/>
              <w:jc w:val="left"/>
              <w:rPr>
                <w:rFonts w:cs="Times New Roman"/>
                <w:sz w:val="21"/>
                <w:shd w:val="clear" w:color="auto" w:fill="FFFFFF"/>
              </w:rPr>
            </w:pPr>
            <w:r>
              <w:rPr>
                <w:rFonts w:hint="eastAsia" w:cs="Times New Roman"/>
                <w:sz w:val="21"/>
              </w:rPr>
              <w:t>备注</w:t>
            </w:r>
            <w:r>
              <w:rPr>
                <w:rFonts w:hint="eastAsia"/>
              </w:rPr>
              <w:t>：</w:t>
            </w:r>
            <w:r>
              <w:t>ND</w:t>
            </w:r>
            <w:r>
              <w:rPr>
                <w:rFonts w:hint="eastAsia"/>
              </w:rPr>
              <w:t>表示检测结果低于分析方法检出限。</w:t>
            </w:r>
          </w:p>
        </w:tc>
      </w:tr>
    </w:tbl>
    <w:p>
      <w:pPr>
        <w:pStyle w:val="178"/>
        <w:ind w:firstLine="0" w:firstLineChars="0"/>
        <w:rPr>
          <w:rFonts w:ascii="Times New Roman" w:hAnsi="Times New Roman" w:cs="Times New Roman"/>
          <w:kern w:val="0"/>
          <w:szCs w:val="20"/>
        </w:rPr>
      </w:pPr>
    </w:p>
    <w:p>
      <w:pPr>
        <w:pStyle w:val="178"/>
        <w:ind w:firstLine="480"/>
        <w:rPr>
          <w:rFonts w:ascii="Times New Roman" w:hAnsi="Times New Roman"/>
        </w:rPr>
      </w:pPr>
      <w:r>
        <w:rPr>
          <w:rFonts w:ascii="Times New Roman" w:hAnsi="Times New Roman"/>
        </w:rPr>
        <w:fldChar w:fldCharType="begin"/>
      </w:r>
      <w:r>
        <w:rPr>
          <w:rFonts w:ascii="Times New Roman" w:hAnsi="Times New Roman"/>
        </w:rPr>
        <w:instrText xml:space="preserve">= 3 \* GB2</w:instrText>
      </w:r>
      <w:r>
        <w:rPr>
          <w:rFonts w:ascii="Times New Roman" w:hAnsi="Times New Roman"/>
        </w:rPr>
        <w:fldChar w:fldCharType="separate"/>
      </w:r>
      <w:r>
        <w:rPr>
          <w:rFonts w:hint="eastAsia" w:ascii="Times New Roman" w:hAnsi="Times New Roman"/>
        </w:rPr>
        <w:t>⑶</w:t>
      </w:r>
      <w:r>
        <w:rPr>
          <w:rFonts w:ascii="Times New Roman" w:hAnsi="Times New Roman"/>
        </w:rPr>
        <w:fldChar w:fldCharType="end"/>
      </w:r>
      <w:r>
        <w:rPr>
          <w:rFonts w:hint="eastAsia" w:ascii="Times New Roman" w:hAnsi="Times New Roman"/>
        </w:rPr>
        <w:t>监测结果评价</w:t>
      </w:r>
    </w:p>
    <w:p>
      <w:pPr>
        <w:adjustRightInd w:val="0"/>
        <w:snapToGrid w:val="0"/>
        <w:ind w:firstLine="464"/>
        <w:rPr>
          <w:rFonts w:cs="Times New Roman"/>
          <w:szCs w:val="24"/>
        </w:rPr>
      </w:pPr>
      <w:r>
        <w:rPr>
          <w:rFonts w:hint="eastAsia" w:cs="Times New Roman"/>
          <w:spacing w:val="-4"/>
          <w:szCs w:val="24"/>
        </w:rPr>
        <w:t>由表</w:t>
      </w:r>
      <w:r>
        <w:rPr>
          <w:rFonts w:cs="Times New Roman"/>
          <w:spacing w:val="-4"/>
          <w:szCs w:val="24"/>
        </w:rPr>
        <w:t>5.4</w:t>
      </w:r>
      <w:r>
        <w:rPr>
          <w:rFonts w:hint="eastAsia" w:cs="Times New Roman"/>
          <w:spacing w:val="-4"/>
          <w:szCs w:val="24"/>
        </w:rPr>
        <w:t>—</w:t>
      </w:r>
      <w:r>
        <w:rPr>
          <w:rFonts w:cs="Times New Roman"/>
          <w:spacing w:val="-4"/>
          <w:szCs w:val="24"/>
        </w:rPr>
        <w:t>2</w:t>
      </w:r>
      <w:r>
        <w:rPr>
          <w:rFonts w:hint="eastAsia" w:cs="Times New Roman"/>
          <w:spacing w:val="-4"/>
          <w:szCs w:val="24"/>
        </w:rPr>
        <w:t>和表</w:t>
      </w:r>
      <w:r>
        <w:rPr>
          <w:rFonts w:cs="Times New Roman"/>
          <w:spacing w:val="-4"/>
          <w:szCs w:val="24"/>
        </w:rPr>
        <w:t>5.4</w:t>
      </w:r>
      <w:r>
        <w:rPr>
          <w:rFonts w:hint="eastAsia" w:cs="Times New Roman"/>
          <w:spacing w:val="-4"/>
          <w:szCs w:val="24"/>
        </w:rPr>
        <w:t>—</w:t>
      </w:r>
      <w:r>
        <w:rPr>
          <w:rFonts w:cs="Times New Roman"/>
          <w:spacing w:val="-4"/>
          <w:szCs w:val="24"/>
        </w:rPr>
        <w:t>3</w:t>
      </w:r>
      <w:r>
        <w:rPr>
          <w:rFonts w:hint="eastAsia" w:cs="Times New Roman"/>
          <w:spacing w:val="-4"/>
          <w:szCs w:val="24"/>
        </w:rPr>
        <w:t>可知，各监测点位的各项</w:t>
      </w:r>
      <w:r>
        <w:rPr>
          <w:rFonts w:hint="eastAsia" w:cs="Times New Roman"/>
          <w:spacing w:val="-8"/>
          <w:szCs w:val="24"/>
        </w:rPr>
        <w:t>监测指标均符合《土壤环境质量建设用地土壤污染风险管控标准》</w:t>
      </w:r>
      <w:r>
        <w:rPr>
          <w:rFonts w:cs="Times New Roman"/>
          <w:szCs w:val="24"/>
        </w:rPr>
        <w:t>(GB36600-2018)</w:t>
      </w:r>
      <w:r>
        <w:rPr>
          <w:rFonts w:hint="eastAsia" w:cs="Times New Roman"/>
          <w:szCs w:val="24"/>
        </w:rPr>
        <w:t>中第二类用地筛选值标准，区域土壤质量现状较好。</w:t>
      </w:r>
    </w:p>
    <w:p>
      <w:pPr>
        <w:adjustRightInd w:val="0"/>
        <w:snapToGrid w:val="0"/>
        <w:ind w:firstLine="480"/>
        <w:rPr>
          <w:rFonts w:hAnsi="宋体" w:cs="Times New Roman"/>
        </w:rPr>
      </w:pPr>
      <w:bookmarkStart w:id="381" w:name="_Toc465696615"/>
      <w:bookmarkStart w:id="382" w:name="_Toc495918945"/>
      <w:bookmarkStart w:id="383" w:name="_Toc503368945"/>
    </w:p>
    <w:p>
      <w:pPr>
        <w:adjustRightInd w:val="0"/>
        <w:snapToGrid w:val="0"/>
        <w:ind w:firstLine="480"/>
        <w:rPr>
          <w:rFonts w:hAnsi="宋体" w:cs="Times New Roman"/>
        </w:rPr>
      </w:pPr>
    </w:p>
    <w:p>
      <w:pPr>
        <w:adjustRightInd w:val="0"/>
        <w:snapToGrid w:val="0"/>
        <w:ind w:firstLine="480"/>
        <w:rPr>
          <w:rFonts w:hAnsi="宋体" w:cs="Times New Roman"/>
        </w:rPr>
      </w:pPr>
    </w:p>
    <w:p>
      <w:pPr>
        <w:adjustRightInd w:val="0"/>
        <w:snapToGrid w:val="0"/>
        <w:ind w:firstLine="480"/>
        <w:rPr>
          <w:rFonts w:hAnsi="宋体" w:cs="Times New Roman"/>
        </w:rPr>
      </w:pPr>
    </w:p>
    <w:p>
      <w:pPr>
        <w:adjustRightInd w:val="0"/>
        <w:snapToGrid w:val="0"/>
        <w:ind w:firstLine="480"/>
        <w:rPr>
          <w:rFonts w:hAnsi="宋体" w:cs="Times New Roman"/>
        </w:rPr>
      </w:pPr>
    </w:p>
    <w:p>
      <w:pPr>
        <w:widowControl/>
        <w:ind w:firstLine="0" w:firstLineChars="0"/>
        <w:jc w:val="left"/>
        <w:rPr>
          <w:rFonts w:hAnsi="宋体"/>
        </w:rPr>
        <w:sectPr>
          <w:pgSz w:w="11906" w:h="16838"/>
          <w:pgMar w:top="1134" w:right="1418" w:bottom="1134" w:left="1418" w:header="851" w:footer="850" w:gutter="0"/>
          <w:cols w:space="720" w:num="1"/>
          <w:docGrid w:type="lines" w:linePitch="326" w:charSpace="0"/>
        </w:sectPr>
      </w:pPr>
    </w:p>
    <w:p>
      <w:pPr>
        <w:adjustRightInd w:val="0"/>
        <w:snapToGrid w:val="0"/>
        <w:ind w:firstLine="480"/>
        <w:rPr>
          <w:rFonts w:hAnsi="宋体"/>
        </w:rPr>
      </w:pPr>
    </w:p>
    <w:bookmarkEnd w:id="381"/>
    <w:bookmarkEnd w:id="382"/>
    <w:bookmarkEnd w:id="383"/>
    <w:p>
      <w:pPr>
        <w:pStyle w:val="3"/>
        <w:spacing w:before="163" w:after="163" w:line="360" w:lineRule="auto"/>
      </w:pPr>
      <w:bookmarkStart w:id="384" w:name="_Toc3282183"/>
      <w:bookmarkStart w:id="385" w:name="_Toc13760200"/>
      <w:r>
        <w:rPr>
          <w:rFonts w:hint="eastAsia"/>
        </w:rPr>
        <w:t>6.改扩建工程环境影响分析</w:t>
      </w:r>
      <w:bookmarkEnd w:id="384"/>
      <w:bookmarkEnd w:id="385"/>
    </w:p>
    <w:p>
      <w:pPr>
        <w:pStyle w:val="4"/>
        <w:spacing w:line="360" w:lineRule="auto"/>
      </w:pPr>
      <w:bookmarkStart w:id="386" w:name="_Toc3282184"/>
      <w:bookmarkStart w:id="387" w:name="_Toc13760201"/>
      <w:r>
        <w:rPr>
          <w:rFonts w:hint="eastAsia"/>
        </w:rPr>
        <w:t>6.1环境空气</w:t>
      </w:r>
      <w:bookmarkEnd w:id="386"/>
      <w:r>
        <w:rPr>
          <w:rFonts w:hint="eastAsia"/>
        </w:rPr>
        <w:t>影响分析</w:t>
      </w:r>
      <w:bookmarkEnd w:id="387"/>
    </w:p>
    <w:p>
      <w:pPr>
        <w:pStyle w:val="5"/>
        <w:spacing w:line="360" w:lineRule="auto"/>
      </w:pPr>
      <w:bookmarkStart w:id="388" w:name="_Toc13760202"/>
      <w:r>
        <w:rPr>
          <w:rFonts w:hint="eastAsia"/>
        </w:rPr>
        <w:t>6.1.1环境空气影响预测</w:t>
      </w:r>
      <w:bookmarkEnd w:id="388"/>
    </w:p>
    <w:p>
      <w:pPr>
        <w:pStyle w:val="161"/>
        <w:ind w:firstLine="480"/>
        <w:outlineLvl w:val="0"/>
      </w:pPr>
      <w:r>
        <w:fldChar w:fldCharType="begin"/>
      </w:r>
      <w:r>
        <w:rPr>
          <w:rFonts w:hint="eastAsia"/>
        </w:rPr>
        <w:instrText xml:space="preserve">= 1 \* GB2</w:instrText>
      </w:r>
      <w:r>
        <w:fldChar w:fldCharType="separate"/>
      </w:r>
      <w:bookmarkStart w:id="389" w:name="_Toc13582172"/>
      <w:bookmarkStart w:id="390" w:name="_Toc13760203"/>
      <w:r>
        <w:rPr>
          <w:rFonts w:hint="eastAsia"/>
        </w:rPr>
        <w:t>⑴</w:t>
      </w:r>
      <w:r>
        <w:fldChar w:fldCharType="end"/>
      </w:r>
      <w:r>
        <w:rPr>
          <w:rFonts w:hint="eastAsia"/>
        </w:rPr>
        <w:t>预测因子</w:t>
      </w:r>
      <w:bookmarkEnd w:id="389"/>
      <w:bookmarkEnd w:id="390"/>
    </w:p>
    <w:p>
      <w:pPr>
        <w:pStyle w:val="34"/>
        <w:snapToGrid w:val="0"/>
        <w:spacing w:after="0"/>
        <w:ind w:firstLine="480"/>
        <w:rPr>
          <w:szCs w:val="24"/>
        </w:rPr>
      </w:pPr>
      <w:bookmarkStart w:id="391" w:name="_Hlk522788351"/>
      <w:r>
        <w:rPr>
          <w:rFonts w:hint="eastAsia"/>
        </w:rPr>
        <w:t>由工程分析章节可知，改扩建后危废综合处置厂大气污染因子</w:t>
      </w:r>
      <w:r>
        <w:t>SO</w:t>
      </w:r>
      <w:r>
        <w:rPr>
          <w:vertAlign w:val="subscript"/>
        </w:rPr>
        <w:t>2</w:t>
      </w:r>
      <w:r>
        <w:rPr>
          <w:rFonts w:hint="eastAsia"/>
        </w:rPr>
        <w:t>、</w:t>
      </w:r>
      <w:r>
        <w:t>NO</w:t>
      </w:r>
      <w:r>
        <w:rPr>
          <w:vertAlign w:val="subscript"/>
        </w:rPr>
        <w:t>X</w:t>
      </w:r>
      <w:r>
        <w:rPr>
          <w:rFonts w:hint="eastAsia"/>
        </w:rPr>
        <w:t>、</w:t>
      </w:r>
      <w:r>
        <w:t>HCl</w:t>
      </w:r>
      <w:r>
        <w:rPr>
          <w:rFonts w:hint="eastAsia"/>
        </w:rPr>
        <w:t>、</w:t>
      </w:r>
      <w:r>
        <w:t>HF</w:t>
      </w:r>
      <w:r>
        <w:rPr>
          <w:rFonts w:hint="eastAsia"/>
        </w:rPr>
        <w:t>、</w:t>
      </w:r>
      <w:r>
        <w:t>PM</w:t>
      </w:r>
      <w:r>
        <w:rPr>
          <w:vertAlign w:val="subscript"/>
        </w:rPr>
        <w:t>10</w:t>
      </w:r>
      <w:r>
        <w:rPr>
          <w:rFonts w:hint="eastAsia"/>
        </w:rPr>
        <w:t>、</w:t>
      </w:r>
      <w:r>
        <w:t>TSP</w:t>
      </w:r>
      <w:r>
        <w:rPr>
          <w:rFonts w:hint="eastAsia"/>
        </w:rPr>
        <w:t>、</w:t>
      </w:r>
      <w:r>
        <w:t>CO</w:t>
      </w:r>
      <w:r>
        <w:rPr>
          <w:rFonts w:hint="eastAsia"/>
        </w:rPr>
        <w:t>、</w:t>
      </w:r>
      <w:r>
        <w:t>VOC</w:t>
      </w:r>
      <w:r>
        <w:rPr>
          <w:rFonts w:hint="eastAsia"/>
        </w:rPr>
        <w:t>、硫酸雾、</w:t>
      </w:r>
      <w:r>
        <w:t>H</w:t>
      </w:r>
      <w:r>
        <w:rPr>
          <w:vertAlign w:val="subscript"/>
        </w:rPr>
        <w:t>2</w:t>
      </w:r>
      <w:r>
        <w:t>S</w:t>
      </w:r>
      <w:r>
        <w:rPr>
          <w:rFonts w:hint="eastAsia"/>
        </w:rPr>
        <w:t>、</w:t>
      </w:r>
      <w:r>
        <w:t>NH</w:t>
      </w:r>
      <w:r>
        <w:rPr>
          <w:vertAlign w:val="subscript"/>
        </w:rPr>
        <w:t>3</w:t>
      </w:r>
      <w:r>
        <w:rPr>
          <w:rFonts w:hint="eastAsia"/>
        </w:rPr>
        <w:t>、重金属</w:t>
      </w:r>
      <w:r>
        <w:t>(Hg</w:t>
      </w:r>
      <w:r>
        <w:rPr>
          <w:rFonts w:hint="eastAsia"/>
        </w:rPr>
        <w:t>、</w:t>
      </w:r>
      <w:r>
        <w:t>Cd</w:t>
      </w:r>
      <w:r>
        <w:rPr>
          <w:rFonts w:hint="eastAsia"/>
        </w:rPr>
        <w:t>、</w:t>
      </w:r>
      <w:r>
        <w:t>Pb</w:t>
      </w:r>
      <w:r>
        <w:rPr>
          <w:rFonts w:hint="eastAsia"/>
        </w:rPr>
        <w:t>等</w:t>
      </w:r>
      <w:r>
        <w:t>)</w:t>
      </w:r>
      <w:r>
        <w:rPr>
          <w:rFonts w:hint="eastAsia"/>
        </w:rPr>
        <w:t>等</w:t>
      </w:r>
      <w:r>
        <w:rPr>
          <w:rFonts w:hint="eastAsia"/>
          <w:szCs w:val="24"/>
        </w:rPr>
        <w:t>排放量都有所增加</w:t>
      </w:r>
      <w:r>
        <w:rPr>
          <w:rFonts w:hint="eastAsia"/>
        </w:rPr>
        <w:t>，本评价危废综合处置厂考虑选取</w:t>
      </w:r>
      <w:r>
        <w:t>SO</w:t>
      </w:r>
      <w:r>
        <w:rPr>
          <w:vertAlign w:val="subscript"/>
        </w:rPr>
        <w:t>2</w:t>
      </w:r>
      <w:r>
        <w:rPr>
          <w:rFonts w:hint="eastAsia"/>
        </w:rPr>
        <w:t>、</w:t>
      </w:r>
      <w:r>
        <w:t>NO</w:t>
      </w:r>
      <w:r>
        <w:rPr>
          <w:vertAlign w:val="subscript"/>
        </w:rPr>
        <w:t>X</w:t>
      </w:r>
      <w:r>
        <w:rPr>
          <w:rFonts w:hint="eastAsia"/>
        </w:rPr>
        <w:t>、</w:t>
      </w:r>
      <w:r>
        <w:t>HCl</w:t>
      </w:r>
      <w:r>
        <w:rPr>
          <w:rFonts w:hint="eastAsia"/>
        </w:rPr>
        <w:t>、</w:t>
      </w:r>
      <w:r>
        <w:t>HF</w:t>
      </w:r>
      <w:r>
        <w:rPr>
          <w:rFonts w:hint="eastAsia"/>
        </w:rPr>
        <w:t>、</w:t>
      </w:r>
      <w:r>
        <w:t>PM</w:t>
      </w:r>
      <w:r>
        <w:rPr>
          <w:vertAlign w:val="subscript"/>
        </w:rPr>
        <w:t>10</w:t>
      </w:r>
      <w:r>
        <w:rPr>
          <w:rFonts w:hint="eastAsia"/>
        </w:rPr>
        <w:t>、</w:t>
      </w:r>
      <w:r>
        <w:t>TSP</w:t>
      </w:r>
      <w:r>
        <w:rPr>
          <w:rFonts w:hint="eastAsia"/>
        </w:rPr>
        <w:t>、</w:t>
      </w:r>
      <w:r>
        <w:t>CO</w:t>
      </w:r>
      <w:r>
        <w:rPr>
          <w:rFonts w:hint="eastAsia"/>
        </w:rPr>
        <w:t>、</w:t>
      </w:r>
      <w:r>
        <w:t>VOC</w:t>
      </w:r>
      <w:r>
        <w:rPr>
          <w:rFonts w:hint="eastAsia"/>
        </w:rPr>
        <w:t>、硫酸雾、</w:t>
      </w:r>
      <w:r>
        <w:t>H</w:t>
      </w:r>
      <w:r>
        <w:rPr>
          <w:vertAlign w:val="subscript"/>
        </w:rPr>
        <w:t>2</w:t>
      </w:r>
      <w:r>
        <w:t>S</w:t>
      </w:r>
      <w:r>
        <w:rPr>
          <w:rFonts w:hint="eastAsia"/>
        </w:rPr>
        <w:t>、</w:t>
      </w:r>
      <w:r>
        <w:t>NH</w:t>
      </w:r>
      <w:r>
        <w:rPr>
          <w:vertAlign w:val="subscript"/>
        </w:rPr>
        <w:t>3</w:t>
      </w:r>
      <w:r>
        <w:rPr>
          <w:rFonts w:hint="eastAsia"/>
        </w:rPr>
        <w:t>、重金属</w:t>
      </w:r>
      <w:r>
        <w:t>(Hg</w:t>
      </w:r>
      <w:r>
        <w:rPr>
          <w:rFonts w:hint="eastAsia"/>
        </w:rPr>
        <w:t>、</w:t>
      </w:r>
      <w:r>
        <w:t>Cd</w:t>
      </w:r>
      <w:r>
        <w:rPr>
          <w:rFonts w:hint="eastAsia"/>
        </w:rPr>
        <w:t>、</w:t>
      </w:r>
      <w:r>
        <w:t>Pb</w:t>
      </w:r>
      <w:r>
        <w:rPr>
          <w:rFonts w:hint="eastAsia"/>
        </w:rPr>
        <w:t>等</w:t>
      </w:r>
      <w:r>
        <w:t>)</w:t>
      </w:r>
      <w:r>
        <w:rPr>
          <w:rFonts w:hint="eastAsia"/>
        </w:rPr>
        <w:t>作为预测计算因子，</w:t>
      </w:r>
      <w:r>
        <w:rPr>
          <w:rFonts w:hint="eastAsia"/>
          <w:szCs w:val="24"/>
        </w:rPr>
        <w:t>进行预测评价。</w:t>
      </w:r>
      <w:bookmarkEnd w:id="391"/>
    </w:p>
    <w:p>
      <w:pPr>
        <w:pStyle w:val="161"/>
        <w:ind w:firstLine="480"/>
        <w:outlineLvl w:val="0"/>
      </w:pPr>
      <w:r>
        <w:fldChar w:fldCharType="begin"/>
      </w:r>
      <w:r>
        <w:rPr>
          <w:rFonts w:hint="eastAsia"/>
        </w:rPr>
        <w:instrText xml:space="preserve">= 2 \* GB2</w:instrText>
      </w:r>
      <w:r>
        <w:fldChar w:fldCharType="separate"/>
      </w:r>
      <w:bookmarkStart w:id="392" w:name="_Toc13760204"/>
      <w:bookmarkStart w:id="393" w:name="_Toc13582173"/>
      <w:r>
        <w:rPr>
          <w:rFonts w:hint="eastAsia"/>
        </w:rPr>
        <w:t>⑵</w:t>
      </w:r>
      <w:r>
        <w:fldChar w:fldCharType="end"/>
      </w:r>
      <w:r>
        <w:rPr>
          <w:rFonts w:hint="eastAsia"/>
        </w:rPr>
        <w:t>预测内容</w:t>
      </w:r>
      <w:bookmarkEnd w:id="392"/>
      <w:bookmarkEnd w:id="393"/>
    </w:p>
    <w:p>
      <w:pPr>
        <w:adjustRightInd w:val="0"/>
        <w:snapToGrid w:val="0"/>
        <w:ind w:firstLine="480"/>
      </w:pPr>
      <w:r>
        <w:rPr>
          <w:rFonts w:hint="eastAsia"/>
        </w:rPr>
        <w:t>本评价预测内容为：</w:t>
      </w:r>
    </w:p>
    <w:p>
      <w:pPr>
        <w:adjustRightInd w:val="0"/>
        <w:snapToGrid w:val="0"/>
        <w:ind w:firstLine="480"/>
        <w:rPr>
          <w:rFonts w:cs="Times New Roman"/>
        </w:rPr>
      </w:pPr>
      <w:r>
        <w:rPr>
          <w:rFonts w:cs="Times New Roman"/>
        </w:rPr>
        <w:fldChar w:fldCharType="begin"/>
      </w:r>
      <w:r>
        <w:rPr>
          <w:rFonts w:hint="eastAsia" w:cs="Times New Roman"/>
        </w:rPr>
        <w:instrText xml:space="preserve">= 1 \* GB3</w:instrText>
      </w:r>
      <w:r>
        <w:rPr>
          <w:rFonts w:cs="Times New Roman"/>
        </w:rPr>
        <w:fldChar w:fldCharType="separate"/>
      </w:r>
      <w:r>
        <w:rPr>
          <w:rFonts w:hint="eastAsia" w:cs="Times New Roman"/>
        </w:rPr>
        <w:t>①</w:t>
      </w:r>
      <w:r>
        <w:rPr>
          <w:rFonts w:cs="Times New Roman"/>
        </w:rPr>
        <w:fldChar w:fldCharType="end"/>
      </w:r>
      <w:r>
        <w:rPr>
          <w:rFonts w:hint="eastAsia" w:cs="Times New Roman"/>
        </w:rPr>
        <w:t>项目正常排放条件下，叠加现状监测浓度后</w:t>
      </w:r>
      <w:r>
        <w:rPr>
          <w:rFonts w:cs="Times New Roman"/>
        </w:rPr>
        <w:t>SO</w:t>
      </w:r>
      <w:r>
        <w:rPr>
          <w:rFonts w:cs="Times New Roman"/>
          <w:vertAlign w:val="subscript"/>
        </w:rPr>
        <w:t>2</w:t>
      </w:r>
      <w:r>
        <w:rPr>
          <w:rFonts w:hint="eastAsia" w:cs="Times New Roman"/>
        </w:rPr>
        <w:t>、</w:t>
      </w:r>
      <w:r>
        <w:rPr>
          <w:rFonts w:cs="Times New Roman"/>
        </w:rPr>
        <w:t>NO</w:t>
      </w:r>
      <w:r>
        <w:rPr>
          <w:rFonts w:cs="Times New Roman"/>
          <w:vertAlign w:val="subscript"/>
        </w:rPr>
        <w:t>x</w:t>
      </w:r>
      <w:r>
        <w:rPr>
          <w:rFonts w:hint="eastAsia" w:cs="Times New Roman"/>
        </w:rPr>
        <w:t>、</w:t>
      </w:r>
      <w:r>
        <w:rPr>
          <w:rFonts w:cs="Times New Roman"/>
        </w:rPr>
        <w:t>PM</w:t>
      </w:r>
      <w:r>
        <w:rPr>
          <w:rFonts w:cs="Times New Roman"/>
          <w:vertAlign w:val="subscript"/>
        </w:rPr>
        <w:t>10</w:t>
      </w:r>
      <w:r>
        <w:rPr>
          <w:rFonts w:hint="eastAsia"/>
        </w:rPr>
        <w:t>、</w:t>
      </w:r>
      <w:r>
        <w:t>CO</w:t>
      </w:r>
      <w:r>
        <w:rPr>
          <w:rFonts w:hint="eastAsia"/>
        </w:rPr>
        <w:t>、</w:t>
      </w:r>
      <w:r>
        <w:rPr>
          <w:rFonts w:hint="eastAsia" w:cs="Times New Roman"/>
        </w:rPr>
        <w:t>的保证率日平均质量浓度和年平均质量浓度。</w:t>
      </w:r>
    </w:p>
    <w:p>
      <w:pPr>
        <w:adjustRightInd w:val="0"/>
        <w:snapToGrid w:val="0"/>
        <w:ind w:firstLine="480"/>
        <w:rPr>
          <w:rFonts w:cs="Times New Roman"/>
        </w:rPr>
      </w:pPr>
      <w:r>
        <w:rPr>
          <w:rFonts w:cs="Times New Roman"/>
        </w:rPr>
        <w:fldChar w:fldCharType="begin"/>
      </w:r>
      <w:r>
        <w:rPr>
          <w:rFonts w:hint="eastAsia" w:cs="Times New Roman"/>
        </w:rPr>
        <w:instrText xml:space="preserve">= 2 \* GB3</w:instrText>
      </w:r>
      <w:r>
        <w:rPr>
          <w:rFonts w:cs="Times New Roman"/>
        </w:rPr>
        <w:fldChar w:fldCharType="separate"/>
      </w:r>
      <w:r>
        <w:rPr>
          <w:rFonts w:hint="eastAsia" w:cs="Times New Roman"/>
        </w:rPr>
        <w:t>②</w:t>
      </w:r>
      <w:r>
        <w:rPr>
          <w:rFonts w:cs="Times New Roman"/>
        </w:rPr>
        <w:fldChar w:fldCharType="end"/>
      </w:r>
      <w:r>
        <w:rPr>
          <w:rFonts w:hint="eastAsia" w:cs="Times New Roman"/>
        </w:rPr>
        <w:t>项目正常排放条件下，叠加现状监测浓度后</w:t>
      </w:r>
      <w:r>
        <w:rPr>
          <w:rFonts w:hint="eastAsia"/>
        </w:rPr>
        <w:t>TVOC8小时</w:t>
      </w:r>
      <w:r>
        <w:rPr>
          <w:rFonts w:hint="eastAsia" w:cs="Times New Roman"/>
        </w:rPr>
        <w:t>质量浓度。</w:t>
      </w:r>
    </w:p>
    <w:p>
      <w:pPr>
        <w:adjustRightInd w:val="0"/>
        <w:snapToGrid w:val="0"/>
        <w:ind w:firstLine="480"/>
        <w:rPr>
          <w:rFonts w:cs="Times New Roman"/>
        </w:rPr>
      </w:pPr>
      <w:r>
        <w:rPr>
          <w:rFonts w:cs="Times New Roman"/>
        </w:rPr>
        <w:fldChar w:fldCharType="begin"/>
      </w:r>
      <w:r>
        <w:rPr>
          <w:rFonts w:hint="eastAsia" w:cs="Times New Roman"/>
        </w:rPr>
        <w:instrText xml:space="preserve">= 3 \* GB3</w:instrText>
      </w:r>
      <w:r>
        <w:rPr>
          <w:rFonts w:cs="Times New Roman"/>
        </w:rPr>
        <w:fldChar w:fldCharType="separate"/>
      </w:r>
      <w:r>
        <w:rPr>
          <w:rFonts w:hint="eastAsia" w:cs="Times New Roman"/>
        </w:rPr>
        <w:t>③</w:t>
      </w:r>
      <w:r>
        <w:rPr>
          <w:rFonts w:cs="Times New Roman"/>
        </w:rPr>
        <w:fldChar w:fldCharType="end"/>
      </w:r>
      <w:r>
        <w:rPr>
          <w:rFonts w:hint="eastAsia" w:cs="Times New Roman"/>
        </w:rPr>
        <w:t>项目正常排放条件下，叠加现状监测浓度后</w:t>
      </w:r>
      <w:r>
        <w:t>Hg</w:t>
      </w:r>
      <w:r>
        <w:rPr>
          <w:rFonts w:hint="eastAsia"/>
        </w:rPr>
        <w:t>、</w:t>
      </w:r>
      <w:r>
        <w:t>Cd</w:t>
      </w:r>
      <w:r>
        <w:rPr>
          <w:rFonts w:hint="eastAsia"/>
        </w:rPr>
        <w:t>、</w:t>
      </w:r>
      <w:r>
        <w:t>Pb</w:t>
      </w:r>
      <w:r>
        <w:rPr>
          <w:rFonts w:hint="eastAsia"/>
        </w:rPr>
        <w:t>、As</w:t>
      </w:r>
      <w:r>
        <w:rPr>
          <w:rFonts w:hint="eastAsia" w:cs="Times New Roman"/>
        </w:rPr>
        <w:t>的年均质量浓度。</w:t>
      </w:r>
    </w:p>
    <w:p>
      <w:pPr>
        <w:adjustRightInd w:val="0"/>
        <w:snapToGrid w:val="0"/>
        <w:ind w:firstLine="480"/>
        <w:rPr>
          <w:rFonts w:cs="Times New Roman"/>
        </w:rPr>
      </w:pPr>
      <w:r>
        <w:rPr>
          <w:rFonts w:cs="Times New Roman"/>
        </w:rPr>
        <w:fldChar w:fldCharType="begin"/>
      </w:r>
      <w:r>
        <w:rPr>
          <w:rFonts w:hint="eastAsia" w:cs="Times New Roman"/>
        </w:rPr>
        <w:instrText xml:space="preserve">= 4 \* GB3</w:instrText>
      </w:r>
      <w:r>
        <w:rPr>
          <w:rFonts w:cs="Times New Roman"/>
        </w:rPr>
        <w:fldChar w:fldCharType="separate"/>
      </w:r>
      <w:r>
        <w:rPr>
          <w:rFonts w:hint="eastAsia" w:cs="Times New Roman"/>
        </w:rPr>
        <w:t>④</w:t>
      </w:r>
      <w:r>
        <w:rPr>
          <w:rFonts w:cs="Times New Roman"/>
        </w:rPr>
        <w:fldChar w:fldCharType="end"/>
      </w:r>
      <w:r>
        <w:rPr>
          <w:rFonts w:hint="eastAsia" w:cs="Times New Roman"/>
        </w:rPr>
        <w:t>项目正常排放条件下，叠加现状监测浓度后</w:t>
      </w:r>
      <w:r>
        <w:t>H</w:t>
      </w:r>
      <w:r>
        <w:rPr>
          <w:vertAlign w:val="subscript"/>
        </w:rPr>
        <w:t>2</w:t>
      </w:r>
      <w:r>
        <w:t>S</w:t>
      </w:r>
      <w:r>
        <w:rPr>
          <w:rFonts w:hint="eastAsia"/>
        </w:rPr>
        <w:t>、</w:t>
      </w:r>
      <w:r>
        <w:t>NH</w:t>
      </w:r>
      <w:r>
        <w:rPr>
          <w:vertAlign w:val="subscript"/>
        </w:rPr>
        <w:t>3</w:t>
      </w:r>
      <w:r>
        <w:rPr>
          <w:rFonts w:hint="eastAsia"/>
        </w:rPr>
        <w:t>、氟化物</w:t>
      </w:r>
      <w:r>
        <w:rPr>
          <w:rFonts w:hint="eastAsia" w:cs="Times New Roman"/>
        </w:rPr>
        <w:t>的小时浓度贡献值。</w:t>
      </w:r>
    </w:p>
    <w:p>
      <w:pPr>
        <w:adjustRightInd w:val="0"/>
        <w:snapToGrid w:val="0"/>
        <w:ind w:firstLine="480"/>
        <w:rPr>
          <w:rFonts w:cs="Times New Roman"/>
        </w:rPr>
      </w:pPr>
      <w:r>
        <w:rPr>
          <w:rFonts w:cs="Times New Roman"/>
        </w:rPr>
        <w:fldChar w:fldCharType="begin"/>
      </w:r>
      <w:r>
        <w:rPr>
          <w:rFonts w:hint="eastAsia" w:cs="Times New Roman"/>
        </w:rPr>
        <w:instrText xml:space="preserve">= 5 \* GB3</w:instrText>
      </w:r>
      <w:r>
        <w:rPr>
          <w:rFonts w:cs="Times New Roman"/>
        </w:rPr>
        <w:fldChar w:fldCharType="separate"/>
      </w:r>
      <w:r>
        <w:rPr>
          <w:rFonts w:hint="eastAsia" w:cs="Times New Roman"/>
        </w:rPr>
        <w:t>⑤</w:t>
      </w:r>
      <w:r>
        <w:rPr>
          <w:rFonts w:cs="Times New Roman"/>
        </w:rPr>
        <w:fldChar w:fldCharType="end"/>
      </w:r>
      <w:r>
        <w:rPr>
          <w:rFonts w:hint="eastAsia" w:cs="Times New Roman"/>
        </w:rPr>
        <w:t>项目正常排放条件下，叠加现状监测浓度后</w:t>
      </w:r>
      <w:r>
        <w:t>HCl</w:t>
      </w:r>
      <w:r>
        <w:rPr>
          <w:rFonts w:hint="eastAsia"/>
        </w:rPr>
        <w:t>、硫酸雾、</w:t>
      </w:r>
      <w:r>
        <w:rPr>
          <w:rFonts w:hint="eastAsia" w:cs="Times New Roman"/>
        </w:rPr>
        <w:t>的小时和日均质量浓度。</w:t>
      </w:r>
    </w:p>
    <w:p>
      <w:pPr>
        <w:pStyle w:val="739"/>
        <w:ind w:firstLine="480"/>
        <w:outlineLvl w:val="0"/>
        <w:rPr>
          <w:bCs/>
        </w:rPr>
      </w:pPr>
      <w:r>
        <w:rPr>
          <w:rFonts w:hint="eastAsia"/>
        </w:rPr>
        <w:fldChar w:fldCharType="begin"/>
      </w:r>
      <w:r>
        <w:instrText xml:space="preserve"> = 3 \* GB2 </w:instrText>
      </w:r>
      <w:r>
        <w:rPr>
          <w:rFonts w:hint="eastAsia"/>
        </w:rPr>
        <w:fldChar w:fldCharType="separate"/>
      </w:r>
      <w:bookmarkStart w:id="394" w:name="_Toc13582174"/>
      <w:bookmarkStart w:id="395" w:name="_Toc13760205"/>
      <w:r>
        <w:rPr>
          <w:rFonts w:hint="eastAsia"/>
        </w:rPr>
        <w:t>⑶</w:t>
      </w:r>
      <w:r>
        <w:rPr>
          <w:rFonts w:hint="eastAsia"/>
        </w:rPr>
        <w:fldChar w:fldCharType="end"/>
      </w:r>
      <w:r>
        <w:rPr>
          <w:rFonts w:hint="eastAsia"/>
        </w:rPr>
        <w:t>预测</w:t>
      </w:r>
      <w:r>
        <w:rPr>
          <w:rFonts w:hint="eastAsia"/>
          <w:bCs/>
        </w:rPr>
        <w:t>模式</w:t>
      </w:r>
      <w:bookmarkEnd w:id="394"/>
      <w:bookmarkEnd w:id="395"/>
    </w:p>
    <w:p>
      <w:pPr>
        <w:adjustRightInd w:val="0"/>
        <w:snapToGrid w:val="0"/>
        <w:ind w:firstLine="480"/>
      </w:pPr>
      <w:r>
        <w:rPr>
          <w:rFonts w:hint="eastAsia" w:hAnsi="宋体"/>
        </w:rPr>
        <w:t>根据建设项目所在地区的地貌特征及气象条件，按国家环境保护行业标准《环境影响评价技术导则大气环境》</w:t>
      </w:r>
      <w:r>
        <w:t>(HJ2.2-2018)</w:t>
      </w:r>
      <w:r>
        <w:rPr>
          <w:rFonts w:hint="eastAsia" w:hAnsi="宋体"/>
        </w:rPr>
        <w:t>中规定的空气质量模式中的气态模式，对大气污染物进行预侧进行预测。</w:t>
      </w:r>
    </w:p>
    <w:p>
      <w:pPr>
        <w:adjustRightInd w:val="0"/>
        <w:snapToGrid w:val="0"/>
        <w:ind w:firstLine="480"/>
      </w:pPr>
      <w:r>
        <w:rPr>
          <w:rFonts w:hint="eastAsia" w:hAnsi="宋体"/>
        </w:rPr>
        <w:t>本次评价选用</w:t>
      </w:r>
      <w:r>
        <w:t>EIAPROA</w:t>
      </w:r>
      <w:r>
        <w:rPr>
          <w:rFonts w:hint="eastAsia" w:hAnsi="宋体"/>
        </w:rPr>
        <w:t>软件，预测模式为</w:t>
      </w:r>
      <w:r>
        <w:t>AERMOD</w:t>
      </w:r>
      <w:r>
        <w:rPr>
          <w:rFonts w:hint="eastAsia" w:hAnsi="宋体"/>
        </w:rPr>
        <w:t>。</w:t>
      </w:r>
    </w:p>
    <w:p>
      <w:pPr>
        <w:snapToGrid w:val="0"/>
        <w:ind w:firstLine="480"/>
      </w:pPr>
      <w:r>
        <w:t>(4)</w:t>
      </w:r>
      <w:r>
        <w:rPr>
          <w:rFonts w:hint="eastAsia"/>
        </w:rPr>
        <w:t>模式中参数选取</w:t>
      </w:r>
    </w:p>
    <w:p>
      <w:pPr>
        <w:adjustRightInd w:val="0"/>
        <w:snapToGrid w:val="0"/>
        <w:ind w:firstLine="480"/>
      </w:pPr>
      <w:r>
        <w:rPr>
          <w:rFonts w:hint="eastAsia"/>
        </w:rPr>
        <w:t>生产装置具体废气排放情况见表6.1—1和6.1—2。</w:t>
      </w:r>
    </w:p>
    <w:p>
      <w:pPr>
        <w:pStyle w:val="178"/>
        <w:ind w:firstLine="480"/>
        <w:rPr>
          <w:rFonts w:ascii="Times New Roman" w:hAnsi="Times New Roman"/>
          <w:szCs w:val="24"/>
        </w:rPr>
      </w:pPr>
      <w:r>
        <w:rPr>
          <w:rFonts w:hint="eastAsia" w:ascii="Times New Roman" w:hAnsi="Times New Roman"/>
          <w:szCs w:val="24"/>
        </w:rPr>
        <w:t>表</w:t>
      </w:r>
      <w:r>
        <w:rPr>
          <w:rFonts w:hint="eastAsia"/>
        </w:rPr>
        <w:t>6.1—1危废综合处置厂</w:t>
      </w:r>
      <w:r>
        <w:rPr>
          <w:rFonts w:hint="eastAsia" w:ascii="Times New Roman" w:hAnsi="Times New Roman"/>
          <w:szCs w:val="24"/>
        </w:rPr>
        <w:t>各污染源中各预测污染物排放参数</w:t>
      </w:r>
    </w:p>
    <w:tbl>
      <w:tblPr>
        <w:tblStyle w:val="181"/>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282"/>
        <w:gridCol w:w="930"/>
        <w:gridCol w:w="1197"/>
        <w:gridCol w:w="1240"/>
        <w:gridCol w:w="1054"/>
        <w:gridCol w:w="1084"/>
        <w:gridCol w:w="526"/>
        <w:gridCol w:w="726"/>
        <w:gridCol w:w="599"/>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restart"/>
            <w:tcBorders>
              <w:top w:val="single" w:color="auto" w:sz="12" w:space="0"/>
              <w:left w:val="nil"/>
              <w:bottom w:val="single" w:color="auto" w:sz="12" w:space="0"/>
              <w:right w:val="dotted" w:color="auto" w:sz="4" w:space="0"/>
              <w:insideV w:val="dotted" w:sz="4" w:space="0"/>
              <w:tl2br w:val="nil"/>
              <w:tr2bl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排放源</w:t>
            </w:r>
          </w:p>
        </w:tc>
        <w:tc>
          <w:tcPr>
            <w:tcW w:w="930" w:type="dxa"/>
            <w:vMerge w:val="restart"/>
            <w:tcBorders>
              <w:top w:val="single" w:color="auto" w:sz="12" w:space="0"/>
              <w:left w:val="dotted" w:color="auto" w:sz="8" w:space="0"/>
              <w:bottom w:val="single" w:color="auto" w:sz="12" w:space="0"/>
              <w:right w:val="dotted" w:color="auto" w:sz="4" w:space="0"/>
              <w:insideV w:val="dotted" w:sz="4" w:space="0"/>
              <w:tl2br w:val="nil"/>
              <w:tr2bl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废气量</w:t>
            </w:r>
          </w:p>
          <w:p>
            <w:pPr>
              <w:spacing w:line="240" w:lineRule="atLeast"/>
              <w:ind w:firstLine="0" w:firstLineChars="0"/>
              <w:rPr>
                <w:rFonts w:cs="Times New Roman"/>
                <w:kern w:val="0"/>
                <w:sz w:val="21"/>
                <w:szCs w:val="20"/>
              </w:rPr>
            </w:pPr>
            <w:r>
              <w:rPr>
                <w:rFonts w:cs="Times New Roman"/>
                <w:kern w:val="0"/>
                <w:sz w:val="21"/>
                <w:szCs w:val="20"/>
              </w:rPr>
              <w:t>(m</w:t>
            </w:r>
            <w:r>
              <w:rPr>
                <w:rFonts w:cs="Times New Roman"/>
                <w:kern w:val="0"/>
                <w:sz w:val="21"/>
                <w:szCs w:val="20"/>
                <w:vertAlign w:val="superscript"/>
              </w:rPr>
              <w:t>3</w:t>
            </w:r>
            <w:r>
              <w:rPr>
                <w:rFonts w:cs="Times New Roman"/>
                <w:kern w:val="0"/>
                <w:sz w:val="21"/>
                <w:szCs w:val="20"/>
              </w:rPr>
              <w:t>/h)</w:t>
            </w:r>
          </w:p>
        </w:tc>
        <w:tc>
          <w:tcPr>
            <w:tcW w:w="1197" w:type="dxa"/>
            <w:vMerge w:val="restart"/>
            <w:tcBorders>
              <w:top w:val="single" w:color="auto" w:sz="12" w:space="0"/>
              <w:left w:val="dotted" w:color="auto" w:sz="8" w:space="0"/>
              <w:bottom w:val="single" w:color="auto" w:sz="12" w:space="0"/>
              <w:right w:val="dotted" w:color="auto" w:sz="4" w:space="0"/>
              <w:insideV w:val="dotted" w:sz="4" w:space="0"/>
              <w:tl2br w:val="nil"/>
              <w:tr2bl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污染物</w:t>
            </w:r>
          </w:p>
          <w:p>
            <w:pPr>
              <w:spacing w:line="240" w:lineRule="atLeast"/>
              <w:ind w:firstLine="0" w:firstLineChars="0"/>
              <w:rPr>
                <w:rFonts w:cs="Times New Roman"/>
                <w:kern w:val="0"/>
                <w:sz w:val="21"/>
                <w:szCs w:val="20"/>
              </w:rPr>
            </w:pPr>
            <w:r>
              <w:rPr>
                <w:rFonts w:cs="Times New Roman"/>
                <w:kern w:val="0"/>
                <w:sz w:val="21"/>
                <w:szCs w:val="20"/>
              </w:rPr>
              <w:t>名称</w:t>
            </w:r>
          </w:p>
        </w:tc>
        <w:tc>
          <w:tcPr>
            <w:tcW w:w="3378" w:type="dxa"/>
            <w:gridSpan w:val="3"/>
            <w:tcBorders>
              <w:top w:val="single" w:color="auto" w:sz="12" w:space="0"/>
              <w:left w:val="dotted" w:color="auto" w:sz="8" w:space="0"/>
              <w:bottom w:val="dotted" w:color="auto" w:sz="8"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cs="Times New Roman"/>
                <w:kern w:val="0"/>
                <w:sz w:val="21"/>
                <w:szCs w:val="20"/>
              </w:rPr>
              <w:t>排放状况</w:t>
            </w:r>
          </w:p>
        </w:tc>
        <w:tc>
          <w:tcPr>
            <w:tcW w:w="1851" w:type="dxa"/>
            <w:gridSpan w:val="3"/>
            <w:tcBorders>
              <w:top w:val="single" w:color="auto" w:sz="12" w:space="0"/>
              <w:left w:val="dotted" w:color="auto" w:sz="8" w:space="0"/>
              <w:bottom w:val="dotted" w:color="auto" w:sz="8" w:space="0"/>
              <w:right w:val="nil"/>
              <w:insideV w:val="dotted" w:sz="4" w:space="0"/>
              <w:tl2br w:val="nil"/>
              <w:tr2bl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排放方式</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single" w:color="auto" w:sz="12" w:space="0"/>
              <w:left w:val="nil"/>
              <w:bottom w:val="single" w:color="auto" w:sz="12"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single" w:color="auto" w:sz="12" w:space="0"/>
              <w:left w:val="dotted" w:color="auto" w:sz="8" w:space="0"/>
              <w:bottom w:val="single" w:color="auto" w:sz="12"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vMerge w:val="continue"/>
            <w:tcBorders>
              <w:top w:val="single" w:color="auto" w:sz="12" w:space="0"/>
              <w:left w:val="dotted" w:color="auto" w:sz="8" w:space="0"/>
              <w:bottom w:val="single" w:color="auto" w:sz="12"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240"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排放浓度(mg/m</w:t>
            </w:r>
            <w:r>
              <w:rPr>
                <w:rFonts w:cs="Times New Roman"/>
                <w:kern w:val="0"/>
                <w:sz w:val="21"/>
                <w:szCs w:val="20"/>
                <w:vertAlign w:val="superscript"/>
              </w:rPr>
              <w:t>3</w:t>
            </w:r>
            <w:r>
              <w:rPr>
                <w:rFonts w:cs="Times New Roman"/>
                <w:kern w:val="0"/>
                <w:sz w:val="21"/>
                <w:szCs w:val="20"/>
              </w:rPr>
              <w:t>)</w:t>
            </w:r>
          </w:p>
        </w:tc>
        <w:tc>
          <w:tcPr>
            <w:tcW w:w="1054"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排放速率(kg/h)</w:t>
            </w:r>
          </w:p>
        </w:tc>
        <w:tc>
          <w:tcPr>
            <w:tcW w:w="1084"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排放量</w:t>
            </w:r>
          </w:p>
          <w:p>
            <w:pPr>
              <w:spacing w:line="240" w:lineRule="atLeast"/>
              <w:ind w:firstLine="0" w:firstLineChars="0"/>
              <w:rPr>
                <w:rFonts w:cs="Times New Roman"/>
                <w:kern w:val="0"/>
                <w:sz w:val="21"/>
                <w:szCs w:val="20"/>
              </w:rPr>
            </w:pPr>
            <w:r>
              <w:rPr>
                <w:rFonts w:cs="Times New Roman"/>
                <w:kern w:val="0"/>
                <w:sz w:val="21"/>
                <w:szCs w:val="20"/>
              </w:rPr>
              <w:t>(t/a)</w:t>
            </w:r>
          </w:p>
        </w:tc>
        <w:tc>
          <w:tcPr>
            <w:tcW w:w="526"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高度</w:t>
            </w:r>
          </w:p>
          <w:p>
            <w:pPr>
              <w:spacing w:line="240" w:lineRule="atLeast"/>
              <w:ind w:firstLine="0" w:firstLineChars="0"/>
              <w:rPr>
                <w:rFonts w:cs="Times New Roman"/>
                <w:kern w:val="0"/>
                <w:sz w:val="21"/>
                <w:szCs w:val="20"/>
              </w:rPr>
            </w:pPr>
            <w:r>
              <w:rPr>
                <w:rFonts w:cs="Times New Roman"/>
                <w:kern w:val="0"/>
                <w:sz w:val="21"/>
                <w:szCs w:val="20"/>
              </w:rPr>
              <w:t>(m)</w:t>
            </w:r>
          </w:p>
        </w:tc>
        <w:tc>
          <w:tcPr>
            <w:tcW w:w="726"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内径</w:t>
            </w:r>
          </w:p>
          <w:p>
            <w:pPr>
              <w:spacing w:line="240" w:lineRule="atLeast"/>
              <w:ind w:firstLine="0" w:firstLineChars="0"/>
              <w:rPr>
                <w:rFonts w:cs="Times New Roman"/>
                <w:kern w:val="0"/>
                <w:sz w:val="21"/>
                <w:szCs w:val="20"/>
              </w:rPr>
            </w:pPr>
            <w:r>
              <w:rPr>
                <w:rFonts w:cs="Times New Roman"/>
                <w:kern w:val="0"/>
                <w:sz w:val="21"/>
                <w:szCs w:val="20"/>
              </w:rPr>
              <w:t>(mm)</w:t>
            </w:r>
          </w:p>
        </w:tc>
        <w:tc>
          <w:tcPr>
            <w:tcW w:w="599" w:type="dxa"/>
            <w:tcBorders>
              <w:top w:val="dotted" w:color="auto" w:sz="8" w:space="0"/>
              <w:left w:val="dotted" w:color="auto" w:sz="8" w:space="0"/>
              <w:bottom w:val="single" w:color="auto" w:sz="12" w:space="0"/>
              <w:right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温度</w:t>
            </w:r>
          </w:p>
          <w:p>
            <w:pPr>
              <w:spacing w:line="240" w:lineRule="atLeast"/>
              <w:ind w:firstLine="0" w:firstLineChars="0"/>
              <w:rPr>
                <w:rFonts w:cs="Times New Roman"/>
                <w:kern w:val="0"/>
                <w:sz w:val="21"/>
                <w:szCs w:val="20"/>
              </w:rPr>
            </w:pPr>
            <w:r>
              <w:rPr>
                <w:rFonts w:cs="Times New Roman"/>
                <w:kern w:val="0"/>
                <w:sz w:val="21"/>
                <w:szCs w:val="20"/>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restart"/>
            <w:tcBorders>
              <w:top w:val="dotted" w:color="auto" w:sz="8" w:space="0"/>
              <w:left w:val="nil"/>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危废暂存库有组织废气(G1)</w:t>
            </w:r>
          </w:p>
        </w:tc>
        <w:tc>
          <w:tcPr>
            <w:tcW w:w="930" w:type="dxa"/>
            <w:vMerge w:val="restart"/>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12000</w:t>
            </w:r>
          </w:p>
        </w:tc>
        <w:tc>
          <w:tcPr>
            <w:tcW w:w="1197"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VOC</w:t>
            </w:r>
          </w:p>
        </w:tc>
        <w:tc>
          <w:tcPr>
            <w:tcW w:w="1240"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1.52</w:t>
            </w:r>
          </w:p>
        </w:tc>
        <w:tc>
          <w:tcPr>
            <w:tcW w:w="1054"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0.0182 </w:t>
            </w:r>
          </w:p>
        </w:tc>
        <w:tc>
          <w:tcPr>
            <w:tcW w:w="1084"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0.1445 </w:t>
            </w:r>
          </w:p>
        </w:tc>
        <w:tc>
          <w:tcPr>
            <w:tcW w:w="526" w:type="dxa"/>
            <w:vMerge w:val="restart"/>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20</w:t>
            </w:r>
          </w:p>
        </w:tc>
        <w:tc>
          <w:tcPr>
            <w:tcW w:w="726" w:type="dxa"/>
            <w:vMerge w:val="restart"/>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800</w:t>
            </w:r>
          </w:p>
        </w:tc>
        <w:tc>
          <w:tcPr>
            <w:tcW w:w="599" w:type="dxa"/>
            <w:vMerge w:val="restart"/>
            <w:tcBorders>
              <w:top w:val="dotted" w:color="auto" w:sz="8" w:space="0"/>
              <w:left w:val="dotted" w:color="auto" w:sz="8" w:space="0"/>
              <w:bottom w:val="dotted" w:color="auto" w:sz="4" w:space="0"/>
              <w:right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20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8" w:space="0"/>
              <w:left w:val="nil"/>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H</w:t>
            </w:r>
            <w:r>
              <w:rPr>
                <w:rFonts w:cs="Times New Roman"/>
                <w:kern w:val="0"/>
                <w:sz w:val="21"/>
                <w:szCs w:val="20"/>
                <w:vertAlign w:val="subscript"/>
              </w:rPr>
              <w:t>2</w:t>
            </w:r>
            <w:r>
              <w:rPr>
                <w:rFonts w:cs="Times New Roman"/>
                <w:kern w:val="0"/>
                <w:sz w:val="21"/>
                <w:szCs w:val="20"/>
              </w:rPr>
              <w:t>S</w:t>
            </w:r>
          </w:p>
        </w:tc>
        <w:tc>
          <w:tcPr>
            <w:tcW w:w="1240" w:type="dxa"/>
            <w:tcBorders>
              <w:top w:val="dotted" w:color="auto" w:sz="8" w:space="0"/>
              <w:left w:val="dotted" w:color="auto" w:sz="8" w:space="0"/>
              <w:bottom w:val="dotted" w:color="auto" w:sz="4" w:space="0"/>
              <w:right w:val="dotted" w:color="auto" w:sz="8" w:space="0"/>
            </w:tcBorders>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0.08</w:t>
            </w:r>
          </w:p>
        </w:tc>
        <w:tc>
          <w:tcPr>
            <w:tcW w:w="1054"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0.0010 </w:t>
            </w:r>
          </w:p>
        </w:tc>
        <w:tc>
          <w:tcPr>
            <w:tcW w:w="1084" w:type="dxa"/>
            <w:tcBorders>
              <w:top w:val="dotted" w:color="auto" w:sz="8" w:space="0"/>
              <w:left w:val="dotted" w:color="auto" w:sz="8" w:space="0"/>
              <w:bottom w:val="dotted" w:color="auto" w:sz="4" w:space="0"/>
              <w:right w:val="dotted" w:color="auto" w:sz="8" w:space="0"/>
            </w:tcBorders>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0.0076 </w:t>
            </w:r>
          </w:p>
        </w:tc>
        <w:tc>
          <w:tcPr>
            <w:tcW w:w="526"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8" w:space="0"/>
              <w:left w:val="dotted" w:color="auto" w:sz="8" w:space="0"/>
              <w:bottom w:val="dotted" w:color="auto" w:sz="4"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8" w:space="0"/>
              <w:left w:val="nil"/>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NH</w:t>
            </w:r>
            <w:r>
              <w:rPr>
                <w:rFonts w:cs="Times New Roman"/>
                <w:kern w:val="0"/>
                <w:sz w:val="21"/>
                <w:szCs w:val="20"/>
                <w:vertAlign w:val="subscript"/>
              </w:rPr>
              <w:t>3</w:t>
            </w:r>
          </w:p>
        </w:tc>
        <w:tc>
          <w:tcPr>
            <w:tcW w:w="1240" w:type="dxa"/>
            <w:tcBorders>
              <w:top w:val="dotted" w:color="auto" w:sz="8" w:space="0"/>
              <w:left w:val="dotted" w:color="auto" w:sz="8" w:space="0"/>
              <w:bottom w:val="dotted" w:color="auto" w:sz="4" w:space="0"/>
              <w:right w:val="dotted" w:color="auto" w:sz="8" w:space="0"/>
            </w:tcBorders>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2.4</w:t>
            </w:r>
          </w:p>
        </w:tc>
        <w:tc>
          <w:tcPr>
            <w:tcW w:w="1054"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0.0288 </w:t>
            </w:r>
          </w:p>
        </w:tc>
        <w:tc>
          <w:tcPr>
            <w:tcW w:w="1084" w:type="dxa"/>
            <w:tcBorders>
              <w:top w:val="dotted" w:color="auto" w:sz="8" w:space="0"/>
              <w:left w:val="dotted" w:color="auto" w:sz="8" w:space="0"/>
              <w:bottom w:val="dotted" w:color="auto" w:sz="4" w:space="0"/>
              <w:right w:val="dotted" w:color="auto" w:sz="8" w:space="0"/>
            </w:tcBorders>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0.2281 </w:t>
            </w:r>
          </w:p>
        </w:tc>
        <w:tc>
          <w:tcPr>
            <w:tcW w:w="526"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8" w:space="0"/>
              <w:left w:val="dotted" w:color="auto" w:sz="8" w:space="0"/>
              <w:bottom w:val="dotted" w:color="auto" w:sz="4"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restart"/>
            <w:tcBorders>
              <w:top w:val="dotted" w:color="auto" w:sz="8" w:space="0"/>
              <w:left w:val="nil"/>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中和反应池排气(G2)</w:t>
            </w:r>
          </w:p>
        </w:tc>
        <w:tc>
          <w:tcPr>
            <w:tcW w:w="930" w:type="dxa"/>
            <w:vMerge w:val="restart"/>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13000</w:t>
            </w:r>
          </w:p>
        </w:tc>
        <w:tc>
          <w:tcPr>
            <w:tcW w:w="1197"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硫酸雾</w:t>
            </w:r>
          </w:p>
        </w:tc>
        <w:tc>
          <w:tcPr>
            <w:tcW w:w="1240"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42.5</w:t>
            </w:r>
          </w:p>
        </w:tc>
        <w:tc>
          <w:tcPr>
            <w:tcW w:w="1054"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0.5525 </w:t>
            </w:r>
          </w:p>
        </w:tc>
        <w:tc>
          <w:tcPr>
            <w:tcW w:w="1084"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4.3758 </w:t>
            </w:r>
          </w:p>
        </w:tc>
        <w:tc>
          <w:tcPr>
            <w:tcW w:w="526" w:type="dxa"/>
            <w:vMerge w:val="restart"/>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20</w:t>
            </w:r>
          </w:p>
        </w:tc>
        <w:tc>
          <w:tcPr>
            <w:tcW w:w="726" w:type="dxa"/>
            <w:vMerge w:val="restart"/>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800</w:t>
            </w:r>
          </w:p>
        </w:tc>
        <w:tc>
          <w:tcPr>
            <w:tcW w:w="599" w:type="dxa"/>
            <w:vMerge w:val="restart"/>
            <w:tcBorders>
              <w:top w:val="dotted" w:color="auto" w:sz="8" w:space="0"/>
              <w:left w:val="dotted" w:color="auto" w:sz="8" w:space="0"/>
              <w:bottom w:val="dotted" w:color="auto" w:sz="4" w:space="0"/>
              <w:right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20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8" w:space="0"/>
              <w:left w:val="nil"/>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HCl</w:t>
            </w:r>
          </w:p>
        </w:tc>
        <w:tc>
          <w:tcPr>
            <w:tcW w:w="1240" w:type="dxa"/>
            <w:tcBorders>
              <w:top w:val="dotted" w:color="auto" w:sz="8" w:space="0"/>
              <w:left w:val="dotted" w:color="auto" w:sz="8" w:space="0"/>
              <w:bottom w:val="dotted" w:color="auto" w:sz="4" w:space="0"/>
              <w:right w:val="dotted" w:color="auto" w:sz="8" w:space="0"/>
            </w:tcBorders>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5</w:t>
            </w:r>
          </w:p>
        </w:tc>
        <w:tc>
          <w:tcPr>
            <w:tcW w:w="1054"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0.0650 </w:t>
            </w:r>
          </w:p>
        </w:tc>
        <w:tc>
          <w:tcPr>
            <w:tcW w:w="1084" w:type="dxa"/>
            <w:tcBorders>
              <w:top w:val="dotted" w:color="auto" w:sz="8" w:space="0"/>
              <w:left w:val="dotted" w:color="auto" w:sz="8" w:space="0"/>
              <w:bottom w:val="dotted" w:color="auto" w:sz="4" w:space="0"/>
              <w:right w:val="dotted" w:color="auto" w:sz="8" w:space="0"/>
            </w:tcBorders>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0.5148 </w:t>
            </w:r>
          </w:p>
        </w:tc>
        <w:tc>
          <w:tcPr>
            <w:tcW w:w="526"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8" w:space="0"/>
              <w:left w:val="dotted" w:color="auto" w:sz="8" w:space="0"/>
              <w:bottom w:val="dotted" w:color="auto" w:sz="4"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8" w:space="0"/>
              <w:left w:val="nil"/>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HF</w:t>
            </w:r>
          </w:p>
        </w:tc>
        <w:tc>
          <w:tcPr>
            <w:tcW w:w="1240" w:type="dxa"/>
            <w:tcBorders>
              <w:top w:val="dotted" w:color="auto" w:sz="8" w:space="0"/>
              <w:left w:val="dotted" w:color="auto" w:sz="8" w:space="0"/>
              <w:bottom w:val="dotted" w:color="auto" w:sz="4" w:space="0"/>
              <w:right w:val="dotted" w:color="auto" w:sz="8" w:space="0"/>
            </w:tcBorders>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5</w:t>
            </w:r>
          </w:p>
        </w:tc>
        <w:tc>
          <w:tcPr>
            <w:tcW w:w="1054" w:type="dxa"/>
            <w:tcBorders>
              <w:top w:val="dotted" w:color="auto" w:sz="8" w:space="0"/>
              <w:left w:val="dotted" w:color="auto" w:sz="8" w:space="0"/>
              <w:bottom w:val="dotted" w:color="auto" w:sz="4"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0.0650 </w:t>
            </w:r>
          </w:p>
        </w:tc>
        <w:tc>
          <w:tcPr>
            <w:tcW w:w="1084" w:type="dxa"/>
            <w:tcBorders>
              <w:top w:val="dotted" w:color="auto" w:sz="8" w:space="0"/>
              <w:left w:val="dotted" w:color="auto" w:sz="8" w:space="0"/>
              <w:bottom w:val="dotted" w:color="auto" w:sz="4" w:space="0"/>
              <w:right w:val="dotted" w:color="auto" w:sz="8" w:space="0"/>
            </w:tcBorders>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0.5148 </w:t>
            </w:r>
          </w:p>
        </w:tc>
        <w:tc>
          <w:tcPr>
            <w:tcW w:w="526"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8" w:space="0"/>
              <w:left w:val="dotted" w:color="auto" w:sz="8" w:space="0"/>
              <w:bottom w:val="dotted" w:color="auto" w:sz="4"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8" w:space="0"/>
              <w:left w:val="dotted" w:color="auto" w:sz="8" w:space="0"/>
              <w:bottom w:val="dotted" w:color="auto" w:sz="4"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restart"/>
            <w:tcBorders>
              <w:top w:val="dotted" w:color="auto" w:sz="4" w:space="0"/>
              <w:left w:val="nil"/>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焚烧废气(G3)</w:t>
            </w:r>
          </w:p>
        </w:tc>
        <w:tc>
          <w:tcPr>
            <w:tcW w:w="930" w:type="dxa"/>
            <w:vMerge w:val="restart"/>
            <w:tcBorders>
              <w:top w:val="dotted" w:color="auto" w:sz="4"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14000</w:t>
            </w:r>
          </w:p>
        </w:tc>
        <w:tc>
          <w:tcPr>
            <w:tcW w:w="1197" w:type="dxa"/>
            <w:tcBorders>
              <w:top w:val="dotted" w:color="auto" w:sz="4"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PM</w:t>
            </w:r>
            <w:r>
              <w:rPr>
                <w:rFonts w:cs="Times New Roman"/>
                <w:kern w:val="0"/>
                <w:sz w:val="21"/>
                <w:szCs w:val="20"/>
                <w:vertAlign w:val="subscript"/>
              </w:rPr>
              <w:t>10</w:t>
            </w:r>
          </w:p>
        </w:tc>
        <w:tc>
          <w:tcPr>
            <w:tcW w:w="1240" w:type="dxa"/>
            <w:tcBorders>
              <w:top w:val="dotted" w:color="auto" w:sz="4"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30</w:t>
            </w:r>
          </w:p>
        </w:tc>
        <w:tc>
          <w:tcPr>
            <w:tcW w:w="1054" w:type="dxa"/>
            <w:tcBorders>
              <w:top w:val="dotted" w:color="auto" w:sz="4" w:space="0"/>
              <w:left w:val="dotted" w:color="auto" w:sz="8" w:space="0"/>
              <w:bottom w:val="dotted" w:color="auto" w:sz="8"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0.4200 </w:t>
            </w:r>
          </w:p>
        </w:tc>
        <w:tc>
          <w:tcPr>
            <w:tcW w:w="1084" w:type="dxa"/>
            <w:tcBorders>
              <w:top w:val="dotted" w:color="auto" w:sz="4" w:space="0"/>
              <w:left w:val="dotted" w:color="auto" w:sz="8" w:space="0"/>
              <w:bottom w:val="dotted" w:color="auto" w:sz="8"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3.3264 </w:t>
            </w:r>
          </w:p>
        </w:tc>
        <w:tc>
          <w:tcPr>
            <w:tcW w:w="526" w:type="dxa"/>
            <w:vMerge w:val="restart"/>
            <w:tcBorders>
              <w:top w:val="dotted" w:color="auto" w:sz="4"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50</w:t>
            </w:r>
          </w:p>
        </w:tc>
        <w:tc>
          <w:tcPr>
            <w:tcW w:w="726" w:type="dxa"/>
            <w:vMerge w:val="restart"/>
            <w:tcBorders>
              <w:top w:val="dotted" w:color="auto" w:sz="4"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800</w:t>
            </w:r>
          </w:p>
        </w:tc>
        <w:tc>
          <w:tcPr>
            <w:tcW w:w="599" w:type="dxa"/>
            <w:vMerge w:val="restart"/>
            <w:tcBorders>
              <w:top w:val="dotted" w:color="auto" w:sz="4" w:space="0"/>
              <w:left w:val="dotted" w:color="auto" w:sz="8" w:space="0"/>
              <w:bottom w:val="dotted" w:color="auto" w:sz="8" w:space="0"/>
              <w:right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120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4"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SO</w:t>
            </w:r>
            <w:r>
              <w:rPr>
                <w:rFonts w:cs="Times New Roman"/>
                <w:kern w:val="0"/>
                <w:sz w:val="21"/>
                <w:szCs w:val="20"/>
                <w:vertAlign w:val="subscript"/>
              </w:rPr>
              <w:t>2</w:t>
            </w:r>
          </w:p>
        </w:tc>
        <w:tc>
          <w:tcPr>
            <w:tcW w:w="1240"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100</w:t>
            </w:r>
          </w:p>
        </w:tc>
        <w:tc>
          <w:tcPr>
            <w:tcW w:w="105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1.4000 </w:t>
            </w:r>
          </w:p>
        </w:tc>
        <w:tc>
          <w:tcPr>
            <w:tcW w:w="1084" w:type="dxa"/>
            <w:tcBorders>
              <w:top w:val="dotted" w:color="auto" w:sz="8" w:space="0"/>
              <w:left w:val="dotted" w:color="auto" w:sz="8" w:space="0"/>
              <w:bottom w:val="dotted" w:color="auto" w:sz="8" w:space="0"/>
              <w:right w:val="dotted" w:color="auto" w:sz="8" w:space="0"/>
            </w:tcBorders>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11.0880 </w:t>
            </w:r>
          </w:p>
        </w:tc>
        <w:tc>
          <w:tcPr>
            <w:tcW w:w="5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4" w:space="0"/>
              <w:left w:val="dotted" w:color="auto" w:sz="8" w:space="0"/>
              <w:bottom w:val="dotted" w:color="auto" w:sz="8"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4"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NO</w:t>
            </w:r>
            <w:r>
              <w:rPr>
                <w:rFonts w:cs="Times New Roman"/>
                <w:kern w:val="0"/>
                <w:sz w:val="21"/>
                <w:szCs w:val="20"/>
                <w:vertAlign w:val="subscript"/>
              </w:rPr>
              <w:t>X</w:t>
            </w:r>
          </w:p>
        </w:tc>
        <w:tc>
          <w:tcPr>
            <w:tcW w:w="1240"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240</w:t>
            </w:r>
          </w:p>
        </w:tc>
        <w:tc>
          <w:tcPr>
            <w:tcW w:w="105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3.3600 </w:t>
            </w:r>
          </w:p>
        </w:tc>
        <w:tc>
          <w:tcPr>
            <w:tcW w:w="1084" w:type="dxa"/>
            <w:tcBorders>
              <w:top w:val="dotted" w:color="auto" w:sz="8" w:space="0"/>
              <w:left w:val="dotted" w:color="auto" w:sz="8" w:space="0"/>
              <w:bottom w:val="dotted" w:color="auto" w:sz="8" w:space="0"/>
              <w:right w:val="dotted" w:color="auto" w:sz="8" w:space="0"/>
            </w:tcBorders>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26.6112 </w:t>
            </w:r>
          </w:p>
        </w:tc>
        <w:tc>
          <w:tcPr>
            <w:tcW w:w="5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4" w:space="0"/>
              <w:left w:val="dotted" w:color="auto" w:sz="8" w:space="0"/>
              <w:bottom w:val="dotted" w:color="auto" w:sz="8"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4"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HCl</w:t>
            </w:r>
          </w:p>
        </w:tc>
        <w:tc>
          <w:tcPr>
            <w:tcW w:w="1240"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30</w:t>
            </w:r>
          </w:p>
        </w:tc>
        <w:tc>
          <w:tcPr>
            <w:tcW w:w="105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0.4200 </w:t>
            </w:r>
          </w:p>
        </w:tc>
        <w:tc>
          <w:tcPr>
            <w:tcW w:w="1084" w:type="dxa"/>
            <w:tcBorders>
              <w:top w:val="dotted" w:color="auto" w:sz="8" w:space="0"/>
              <w:left w:val="dotted" w:color="auto" w:sz="8" w:space="0"/>
              <w:bottom w:val="dotted" w:color="auto" w:sz="8" w:space="0"/>
              <w:right w:val="dotted" w:color="auto" w:sz="8" w:space="0"/>
            </w:tcBorders>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3.3264 </w:t>
            </w:r>
          </w:p>
        </w:tc>
        <w:tc>
          <w:tcPr>
            <w:tcW w:w="5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4" w:space="0"/>
              <w:left w:val="dotted" w:color="auto" w:sz="8" w:space="0"/>
              <w:bottom w:val="dotted" w:color="auto" w:sz="8"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4"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HF</w:t>
            </w:r>
          </w:p>
        </w:tc>
        <w:tc>
          <w:tcPr>
            <w:tcW w:w="1240"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6</w:t>
            </w:r>
          </w:p>
        </w:tc>
        <w:tc>
          <w:tcPr>
            <w:tcW w:w="105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0.0840 </w:t>
            </w:r>
          </w:p>
        </w:tc>
        <w:tc>
          <w:tcPr>
            <w:tcW w:w="1084" w:type="dxa"/>
            <w:tcBorders>
              <w:top w:val="dotted" w:color="auto" w:sz="8" w:space="0"/>
              <w:left w:val="dotted" w:color="auto" w:sz="8" w:space="0"/>
              <w:bottom w:val="dotted" w:color="auto" w:sz="8" w:space="0"/>
              <w:right w:val="dotted" w:color="auto" w:sz="8" w:space="0"/>
            </w:tcBorders>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0.6653 </w:t>
            </w:r>
          </w:p>
        </w:tc>
        <w:tc>
          <w:tcPr>
            <w:tcW w:w="5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4" w:space="0"/>
              <w:left w:val="dotted" w:color="auto" w:sz="8" w:space="0"/>
              <w:bottom w:val="dotted" w:color="auto" w:sz="8"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4"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CO</w:t>
            </w:r>
          </w:p>
        </w:tc>
        <w:tc>
          <w:tcPr>
            <w:tcW w:w="1240"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color w:val="000000"/>
                <w:kern w:val="0"/>
                <w:sz w:val="21"/>
                <w:szCs w:val="20"/>
              </w:rPr>
            </w:pPr>
            <w:r>
              <w:rPr>
                <w:rFonts w:cs="Times New Roman"/>
                <w:color w:val="000000"/>
                <w:kern w:val="0"/>
                <w:sz w:val="21"/>
                <w:szCs w:val="20"/>
              </w:rPr>
              <w:t>50</w:t>
            </w:r>
          </w:p>
        </w:tc>
        <w:tc>
          <w:tcPr>
            <w:tcW w:w="105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0.7000 </w:t>
            </w:r>
          </w:p>
        </w:tc>
        <w:tc>
          <w:tcPr>
            <w:tcW w:w="1084" w:type="dxa"/>
            <w:tcBorders>
              <w:top w:val="dotted" w:color="auto" w:sz="8" w:space="0"/>
              <w:left w:val="dotted" w:color="auto" w:sz="8" w:space="0"/>
              <w:bottom w:val="dotted" w:color="auto" w:sz="8" w:space="0"/>
              <w:right w:val="dotted" w:color="auto" w:sz="8" w:space="0"/>
            </w:tcBorders>
            <w:vAlign w:val="bottom"/>
          </w:tcPr>
          <w:p>
            <w:pPr>
              <w:spacing w:line="240" w:lineRule="atLeast"/>
              <w:ind w:firstLine="0" w:firstLineChars="0"/>
              <w:rPr>
                <w:rFonts w:cs="Times New Roman"/>
                <w:color w:val="000000"/>
                <w:kern w:val="0"/>
                <w:sz w:val="21"/>
                <w:szCs w:val="20"/>
              </w:rPr>
            </w:pPr>
            <w:r>
              <w:rPr>
                <w:rFonts w:cs="Times New Roman"/>
                <w:color w:val="000000"/>
                <w:kern w:val="0"/>
                <w:sz w:val="21"/>
                <w:szCs w:val="20"/>
              </w:rPr>
              <w:t xml:space="preserve">5.5440 </w:t>
            </w:r>
          </w:p>
        </w:tc>
        <w:tc>
          <w:tcPr>
            <w:tcW w:w="5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4" w:space="0"/>
              <w:left w:val="dotted" w:color="auto" w:sz="8" w:space="0"/>
              <w:bottom w:val="dotted" w:color="auto" w:sz="8"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4"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汞</w:t>
            </w:r>
          </w:p>
        </w:tc>
        <w:tc>
          <w:tcPr>
            <w:tcW w:w="1240"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0.05</w:t>
            </w:r>
          </w:p>
        </w:tc>
        <w:tc>
          <w:tcPr>
            <w:tcW w:w="105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0.0007</w:t>
            </w:r>
          </w:p>
        </w:tc>
        <w:tc>
          <w:tcPr>
            <w:tcW w:w="108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0.0055</w:t>
            </w:r>
          </w:p>
        </w:tc>
        <w:tc>
          <w:tcPr>
            <w:tcW w:w="5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4" w:space="0"/>
              <w:left w:val="dotted" w:color="auto" w:sz="8" w:space="0"/>
              <w:bottom w:val="dotted" w:color="auto" w:sz="8"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4"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镉</w:t>
            </w:r>
          </w:p>
        </w:tc>
        <w:tc>
          <w:tcPr>
            <w:tcW w:w="1240"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0.04</w:t>
            </w:r>
          </w:p>
        </w:tc>
        <w:tc>
          <w:tcPr>
            <w:tcW w:w="105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0.0006</w:t>
            </w:r>
          </w:p>
        </w:tc>
        <w:tc>
          <w:tcPr>
            <w:tcW w:w="108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0.0044</w:t>
            </w:r>
          </w:p>
        </w:tc>
        <w:tc>
          <w:tcPr>
            <w:tcW w:w="5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4" w:space="0"/>
              <w:left w:val="dotted" w:color="auto" w:sz="8" w:space="0"/>
              <w:bottom w:val="dotted" w:color="auto" w:sz="8"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4"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砷</w:t>
            </w:r>
          </w:p>
        </w:tc>
        <w:tc>
          <w:tcPr>
            <w:tcW w:w="1240"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0.4</w:t>
            </w:r>
          </w:p>
        </w:tc>
        <w:tc>
          <w:tcPr>
            <w:tcW w:w="105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0.0056</w:t>
            </w:r>
          </w:p>
        </w:tc>
        <w:tc>
          <w:tcPr>
            <w:tcW w:w="108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0.0444</w:t>
            </w:r>
          </w:p>
        </w:tc>
        <w:tc>
          <w:tcPr>
            <w:tcW w:w="5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4" w:space="0"/>
              <w:left w:val="dotted" w:color="auto" w:sz="8" w:space="0"/>
              <w:bottom w:val="dotted" w:color="auto" w:sz="8"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vMerge w:val="continue"/>
            <w:tcBorders>
              <w:top w:val="dotted" w:color="auto" w:sz="4"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930"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19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铅</w:t>
            </w:r>
          </w:p>
        </w:tc>
        <w:tc>
          <w:tcPr>
            <w:tcW w:w="1240"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0.5</w:t>
            </w:r>
          </w:p>
        </w:tc>
        <w:tc>
          <w:tcPr>
            <w:tcW w:w="105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0.0070</w:t>
            </w:r>
          </w:p>
        </w:tc>
        <w:tc>
          <w:tcPr>
            <w:tcW w:w="108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0.0554</w:t>
            </w:r>
          </w:p>
        </w:tc>
        <w:tc>
          <w:tcPr>
            <w:tcW w:w="5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726" w:type="dxa"/>
            <w:vMerge w:val="continue"/>
            <w:tcBorders>
              <w:top w:val="dotted" w:color="auto" w:sz="4" w:space="0"/>
              <w:left w:val="dotted" w:color="auto" w:sz="8" w:space="0"/>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599" w:type="dxa"/>
            <w:vMerge w:val="continue"/>
            <w:tcBorders>
              <w:top w:val="dotted" w:color="auto" w:sz="4" w:space="0"/>
              <w:left w:val="dotted" w:color="auto" w:sz="8" w:space="0"/>
              <w:bottom w:val="dotted" w:color="auto" w:sz="8"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Height w:val="198" w:hRule="atLeast"/>
        </w:trPr>
        <w:tc>
          <w:tcPr>
            <w:tcW w:w="2282" w:type="dxa"/>
            <w:tcBorders>
              <w:top w:val="dotted" w:color="auto" w:sz="8" w:space="0"/>
              <w:left w:val="nil"/>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转运及上料系统排气(G4)</w:t>
            </w:r>
          </w:p>
        </w:tc>
        <w:tc>
          <w:tcPr>
            <w:tcW w:w="930"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15000</w:t>
            </w:r>
          </w:p>
        </w:tc>
        <w:tc>
          <w:tcPr>
            <w:tcW w:w="1197"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PM</w:t>
            </w:r>
            <w:r>
              <w:rPr>
                <w:rFonts w:cs="Times New Roman"/>
                <w:kern w:val="0"/>
                <w:sz w:val="21"/>
                <w:szCs w:val="20"/>
                <w:vertAlign w:val="subscript"/>
              </w:rPr>
              <w:t>10</w:t>
            </w:r>
          </w:p>
        </w:tc>
        <w:tc>
          <w:tcPr>
            <w:tcW w:w="1240"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30</w:t>
            </w:r>
          </w:p>
        </w:tc>
        <w:tc>
          <w:tcPr>
            <w:tcW w:w="1054"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0.45</w:t>
            </w:r>
          </w:p>
        </w:tc>
        <w:tc>
          <w:tcPr>
            <w:tcW w:w="1084"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3.6072</w:t>
            </w:r>
          </w:p>
        </w:tc>
        <w:tc>
          <w:tcPr>
            <w:tcW w:w="526"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20</w:t>
            </w:r>
          </w:p>
        </w:tc>
        <w:tc>
          <w:tcPr>
            <w:tcW w:w="726"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800</w:t>
            </w:r>
          </w:p>
        </w:tc>
        <w:tc>
          <w:tcPr>
            <w:tcW w:w="599" w:type="dxa"/>
            <w:tcBorders>
              <w:top w:val="dotted" w:color="auto" w:sz="8" w:space="0"/>
              <w:left w:val="dotted" w:color="auto" w:sz="8" w:space="0"/>
              <w:bottom w:val="single" w:color="auto" w:sz="12" w:space="0"/>
              <w:right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kern w:val="0"/>
                <w:sz w:val="21"/>
                <w:szCs w:val="20"/>
              </w:rPr>
              <w:t>20</w:t>
            </w:r>
          </w:p>
        </w:tc>
      </w:tr>
    </w:tbl>
    <w:p>
      <w:pPr>
        <w:pStyle w:val="178"/>
        <w:ind w:firstLine="480"/>
        <w:rPr>
          <w:rFonts w:ascii="Times New Roman" w:hAnsi="Times New Roman"/>
          <w:szCs w:val="24"/>
        </w:rPr>
      </w:pPr>
    </w:p>
    <w:p>
      <w:pPr>
        <w:pStyle w:val="161"/>
        <w:ind w:firstLine="480"/>
        <w:outlineLvl w:val="0"/>
        <w:rPr>
          <w:rFonts w:cs="Times New Roman"/>
          <w:kern w:val="0"/>
        </w:rPr>
      </w:pPr>
      <w:r>
        <w:rPr>
          <w:rFonts w:hint="eastAsia"/>
        </w:rPr>
        <w:t>表6.1—2危废综合处置厂生产装置面源排放特征表</w:t>
      </w:r>
    </w:p>
    <w:tbl>
      <w:tblPr>
        <w:tblStyle w:val="88"/>
        <w:tblW w:w="9854" w:type="dxa"/>
        <w:tblInd w:w="0" w:type="dxa"/>
        <w:tblLayout w:type="fixed"/>
        <w:tblCellMar>
          <w:top w:w="0" w:type="dxa"/>
          <w:left w:w="108" w:type="dxa"/>
          <w:bottom w:w="0" w:type="dxa"/>
          <w:right w:w="108" w:type="dxa"/>
        </w:tblCellMar>
      </w:tblPr>
      <w:tblGrid>
        <w:gridCol w:w="2435"/>
        <w:gridCol w:w="1333"/>
        <w:gridCol w:w="869"/>
        <w:gridCol w:w="869"/>
        <w:gridCol w:w="869"/>
        <w:gridCol w:w="869"/>
        <w:gridCol w:w="869"/>
        <w:gridCol w:w="869"/>
        <w:gridCol w:w="872"/>
      </w:tblGrid>
      <w:tr>
        <w:tblPrEx>
          <w:tblCellMar>
            <w:top w:w="0" w:type="dxa"/>
            <w:left w:w="108" w:type="dxa"/>
            <w:bottom w:w="0" w:type="dxa"/>
            <w:right w:w="108" w:type="dxa"/>
          </w:tblCellMar>
        </w:tblPrEx>
        <w:trPr>
          <w:trHeight w:val="270" w:hRule="atLeast"/>
        </w:trPr>
        <w:tc>
          <w:tcPr>
            <w:tcW w:w="2435" w:type="dxa"/>
            <w:vMerge w:val="restart"/>
            <w:tcBorders>
              <w:top w:val="single" w:color="000000" w:sz="12"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污染源名称</w:t>
            </w:r>
          </w:p>
        </w:tc>
        <w:tc>
          <w:tcPr>
            <w:tcW w:w="1333" w:type="dxa"/>
            <w:vMerge w:val="restart"/>
            <w:tcBorders>
              <w:top w:val="single" w:color="000000"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面积</w:t>
            </w:r>
          </w:p>
          <w:p>
            <w:pPr>
              <w:adjustRightInd w:val="0"/>
              <w:snapToGrid w:val="0"/>
              <w:spacing w:line="240" w:lineRule="atLeast"/>
              <w:ind w:firstLine="0" w:firstLineChars="0"/>
              <w:jc w:val="center"/>
              <w:rPr>
                <w:sz w:val="21"/>
              </w:rPr>
            </w:pPr>
            <w:r>
              <w:rPr>
                <w:sz w:val="21"/>
              </w:rPr>
              <w:t>(m</w:t>
            </w:r>
            <w:r>
              <w:rPr>
                <w:sz w:val="21"/>
                <w:vertAlign w:val="superscript"/>
              </w:rPr>
              <w:t>2</w:t>
            </w:r>
            <w:r>
              <w:rPr>
                <w:sz w:val="21"/>
              </w:rPr>
              <w:t>)</w:t>
            </w:r>
          </w:p>
        </w:tc>
        <w:tc>
          <w:tcPr>
            <w:tcW w:w="6086" w:type="dxa"/>
            <w:gridSpan w:val="7"/>
            <w:tcBorders>
              <w:top w:val="single" w:color="000000" w:sz="12" w:space="0"/>
              <w:left w:val="dotted" w:color="auto" w:sz="4" w:space="0"/>
              <w:bottom w:val="dotted" w:color="auto" w:sz="4" w:space="0"/>
            </w:tcBorders>
            <w:vAlign w:val="center"/>
          </w:tcPr>
          <w:p>
            <w:pPr>
              <w:adjustRightInd w:val="0"/>
              <w:snapToGrid w:val="0"/>
              <w:spacing w:line="240" w:lineRule="atLeast"/>
              <w:ind w:firstLine="0" w:firstLineChars="0"/>
              <w:jc w:val="center"/>
              <w:rPr>
                <w:sz w:val="21"/>
              </w:rPr>
            </w:pPr>
            <w:r>
              <w:rPr>
                <w:rFonts w:hint="eastAsia" w:hAnsi="宋体"/>
                <w:sz w:val="21"/>
              </w:rPr>
              <w:t>无组织排放量</w:t>
            </w:r>
            <w:r>
              <w:rPr>
                <w:rFonts w:hAnsi="宋体"/>
                <w:sz w:val="21"/>
              </w:rPr>
              <w:t>(kg/h)</w:t>
            </w:r>
          </w:p>
        </w:tc>
      </w:tr>
      <w:tr>
        <w:tblPrEx>
          <w:tblCellMar>
            <w:top w:w="0" w:type="dxa"/>
            <w:left w:w="108" w:type="dxa"/>
            <w:bottom w:w="0" w:type="dxa"/>
            <w:right w:w="108" w:type="dxa"/>
          </w:tblCellMar>
        </w:tblPrEx>
        <w:trPr>
          <w:trHeight w:val="210" w:hRule="atLeast"/>
        </w:trPr>
        <w:tc>
          <w:tcPr>
            <w:tcW w:w="2435"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33"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sz w:val="21"/>
              </w:rPr>
            </w:pPr>
          </w:p>
        </w:tc>
        <w:tc>
          <w:tcPr>
            <w:tcW w:w="86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Ansi="宋体"/>
                <w:sz w:val="21"/>
              </w:rPr>
              <w:t>H</w:t>
            </w:r>
            <w:r>
              <w:rPr>
                <w:rFonts w:hAnsi="宋体"/>
                <w:sz w:val="21"/>
                <w:vertAlign w:val="subscript"/>
              </w:rPr>
              <w:t>2</w:t>
            </w:r>
            <w:r>
              <w:rPr>
                <w:rFonts w:hAnsi="宋体"/>
                <w:sz w:val="21"/>
              </w:rPr>
              <w:t>S</w:t>
            </w:r>
          </w:p>
        </w:tc>
        <w:tc>
          <w:tcPr>
            <w:tcW w:w="86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Ansi="宋体"/>
                <w:sz w:val="21"/>
              </w:rPr>
              <w:t>NH</w:t>
            </w:r>
            <w:r>
              <w:rPr>
                <w:rFonts w:hAnsi="宋体"/>
                <w:sz w:val="21"/>
                <w:vertAlign w:val="subscript"/>
              </w:rPr>
              <w:t>3</w:t>
            </w:r>
          </w:p>
        </w:tc>
        <w:tc>
          <w:tcPr>
            <w:tcW w:w="86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Ansi="宋体"/>
                <w:sz w:val="21"/>
              </w:rPr>
              <w:t>NO</w:t>
            </w:r>
            <w:r>
              <w:rPr>
                <w:rFonts w:hAnsi="宋体"/>
                <w:sz w:val="21"/>
                <w:vertAlign w:val="subscript"/>
              </w:rPr>
              <w:t>X</w:t>
            </w:r>
          </w:p>
        </w:tc>
        <w:tc>
          <w:tcPr>
            <w:tcW w:w="86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int="eastAsia" w:hAnsi="宋体"/>
                <w:sz w:val="21"/>
              </w:rPr>
              <w:t>粉尘</w:t>
            </w:r>
          </w:p>
        </w:tc>
        <w:tc>
          <w:tcPr>
            <w:tcW w:w="86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Ansi="宋体"/>
                <w:sz w:val="21"/>
              </w:rPr>
              <w:t>VOC</w:t>
            </w:r>
          </w:p>
        </w:tc>
        <w:tc>
          <w:tcPr>
            <w:tcW w:w="86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hAnsi="宋体"/>
                <w:sz w:val="21"/>
              </w:rPr>
            </w:pPr>
            <w:r>
              <w:rPr>
                <w:rFonts w:hAnsi="宋体"/>
                <w:sz w:val="21"/>
              </w:rPr>
              <w:t>CO</w:t>
            </w:r>
          </w:p>
        </w:tc>
        <w:tc>
          <w:tcPr>
            <w:tcW w:w="872"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hAnsi="宋体"/>
                <w:sz w:val="21"/>
              </w:rPr>
            </w:pPr>
            <w:r>
              <w:rPr>
                <w:rFonts w:hint="eastAsia" w:hAnsi="宋体"/>
                <w:sz w:val="21"/>
              </w:rPr>
              <w:t>酸雾</w:t>
            </w:r>
          </w:p>
        </w:tc>
      </w:tr>
      <w:tr>
        <w:tblPrEx>
          <w:tblCellMar>
            <w:top w:w="0" w:type="dxa"/>
            <w:left w:w="108" w:type="dxa"/>
            <w:bottom w:w="0" w:type="dxa"/>
            <w:right w:w="108" w:type="dxa"/>
          </w:tblCellMar>
        </w:tblPrEx>
        <w:trPr>
          <w:trHeight w:val="435" w:hRule="atLeast"/>
        </w:trPr>
        <w:tc>
          <w:tcPr>
            <w:tcW w:w="2435"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危废暂存库</w:t>
            </w:r>
          </w:p>
        </w:tc>
        <w:tc>
          <w:tcPr>
            <w:tcW w:w="1333"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4730.81</w:t>
            </w:r>
          </w:p>
        </w:tc>
        <w:tc>
          <w:tcPr>
            <w:tcW w:w="86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0.0135</w:t>
            </w:r>
          </w:p>
        </w:tc>
        <w:tc>
          <w:tcPr>
            <w:tcW w:w="86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0.0297</w:t>
            </w:r>
          </w:p>
        </w:tc>
        <w:tc>
          <w:tcPr>
            <w:tcW w:w="86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3.33</w:t>
            </w:r>
          </w:p>
        </w:tc>
        <w:tc>
          <w:tcPr>
            <w:tcW w:w="86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72"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r>
      <w:tr>
        <w:tblPrEx>
          <w:tblCellMar>
            <w:top w:w="0" w:type="dxa"/>
            <w:left w:w="108" w:type="dxa"/>
            <w:bottom w:w="0" w:type="dxa"/>
            <w:right w:w="108" w:type="dxa"/>
          </w:tblCellMar>
        </w:tblPrEx>
        <w:trPr>
          <w:trHeight w:val="435" w:hRule="atLeast"/>
        </w:trPr>
        <w:tc>
          <w:tcPr>
            <w:tcW w:w="243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危废暂存罐区</w:t>
            </w:r>
          </w:p>
        </w:tc>
        <w:tc>
          <w:tcPr>
            <w:tcW w:w="13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1689</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0.30</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72"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0.09</w:t>
            </w:r>
          </w:p>
        </w:tc>
      </w:tr>
      <w:tr>
        <w:tblPrEx>
          <w:tblCellMar>
            <w:top w:w="0" w:type="dxa"/>
            <w:left w:w="108" w:type="dxa"/>
            <w:bottom w:w="0" w:type="dxa"/>
            <w:right w:w="108" w:type="dxa"/>
          </w:tblCellMar>
        </w:tblPrEx>
        <w:trPr>
          <w:trHeight w:val="419" w:hRule="atLeast"/>
        </w:trPr>
        <w:tc>
          <w:tcPr>
            <w:tcW w:w="243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焚烧车间</w:t>
            </w:r>
          </w:p>
        </w:tc>
        <w:tc>
          <w:tcPr>
            <w:tcW w:w="13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5922</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0.018</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0.126</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0.22</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72"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r>
      <w:tr>
        <w:tblPrEx>
          <w:tblCellMar>
            <w:top w:w="0" w:type="dxa"/>
            <w:left w:w="108" w:type="dxa"/>
            <w:bottom w:w="0" w:type="dxa"/>
            <w:right w:w="108" w:type="dxa"/>
          </w:tblCellMar>
        </w:tblPrEx>
        <w:trPr>
          <w:trHeight w:val="419" w:hRule="atLeast"/>
        </w:trPr>
        <w:tc>
          <w:tcPr>
            <w:tcW w:w="243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固化车间</w:t>
            </w:r>
          </w:p>
        </w:tc>
        <w:tc>
          <w:tcPr>
            <w:tcW w:w="13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540</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0.23</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72"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r>
      <w:tr>
        <w:tblPrEx>
          <w:tblCellMar>
            <w:top w:w="0" w:type="dxa"/>
            <w:left w:w="108" w:type="dxa"/>
            <w:bottom w:w="0" w:type="dxa"/>
            <w:right w:w="108" w:type="dxa"/>
          </w:tblCellMar>
        </w:tblPrEx>
        <w:trPr>
          <w:trHeight w:val="419" w:hRule="atLeast"/>
        </w:trPr>
        <w:tc>
          <w:tcPr>
            <w:tcW w:w="2435" w:type="dxa"/>
            <w:tcBorders>
              <w:top w:val="dotted" w:color="auto" w:sz="4" w:space="0"/>
              <w:left w:val="nil"/>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厂区污水处理站</w:t>
            </w:r>
          </w:p>
        </w:tc>
        <w:tc>
          <w:tcPr>
            <w:tcW w:w="1333"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2280</w:t>
            </w:r>
          </w:p>
        </w:tc>
        <w:tc>
          <w:tcPr>
            <w:tcW w:w="869"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0.0011</w:t>
            </w:r>
          </w:p>
        </w:tc>
        <w:tc>
          <w:tcPr>
            <w:tcW w:w="869"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0.0083</w:t>
            </w:r>
          </w:p>
        </w:tc>
        <w:tc>
          <w:tcPr>
            <w:tcW w:w="869"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69" w:type="dxa"/>
            <w:tcBorders>
              <w:top w:val="dotted" w:color="auto" w:sz="4" w:space="0"/>
              <w:left w:val="dotted" w:color="auto" w:sz="4" w:space="0"/>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w:t>
            </w:r>
          </w:p>
        </w:tc>
        <w:tc>
          <w:tcPr>
            <w:tcW w:w="872" w:type="dxa"/>
            <w:tcBorders>
              <w:top w:val="dotted" w:color="auto" w:sz="4" w:space="0"/>
              <w:left w:val="dotted" w:color="auto" w:sz="4" w:space="0"/>
              <w:bottom w:val="single" w:color="000000" w:sz="12"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r>
    </w:tbl>
    <w:p>
      <w:pPr>
        <w:autoSpaceDE w:val="0"/>
        <w:autoSpaceDN w:val="0"/>
        <w:adjustRightInd w:val="0"/>
        <w:snapToGrid w:val="0"/>
        <w:ind w:firstLine="480"/>
      </w:pPr>
    </w:p>
    <w:p>
      <w:pPr>
        <w:pStyle w:val="5"/>
        <w:spacing w:line="360" w:lineRule="auto"/>
      </w:pPr>
      <w:bookmarkStart w:id="396" w:name="_Toc13760206"/>
      <w:r>
        <w:rPr>
          <w:rFonts w:hint="eastAsia"/>
        </w:rPr>
        <w:t>6.1.2环境空气影响预测结果</w:t>
      </w:r>
      <w:bookmarkEnd w:id="396"/>
    </w:p>
    <w:p>
      <w:pPr>
        <w:pStyle w:val="6"/>
      </w:pPr>
      <w:r>
        <w:t>6.1.4.1 SO</w:t>
      </w:r>
      <w:r>
        <w:rPr>
          <w:vertAlign w:val="subscript"/>
        </w:rPr>
        <w:t>2</w:t>
      </w:r>
      <w:r>
        <w:rPr>
          <w:rFonts w:hint="eastAsia"/>
        </w:rPr>
        <w:t>预测结果</w:t>
      </w:r>
    </w:p>
    <w:p>
      <w:pPr>
        <w:adjustRightInd w:val="0"/>
        <w:snapToGrid w:val="0"/>
        <w:ind w:firstLine="480"/>
        <w:rPr>
          <w:rFonts w:asciiTheme="minorHAnsi" w:hAnsiTheme="minorHAnsi" w:eastAsiaTheme="minorEastAsia"/>
        </w:rPr>
      </w:pPr>
      <w:r>
        <w:rPr>
          <w:rFonts w:hint="eastAsia"/>
        </w:rPr>
        <w:t>本次评价分别预测了项目运营后所排污染物</w:t>
      </w:r>
      <w:r>
        <w:t>SO</w:t>
      </w:r>
      <w:r>
        <w:rPr>
          <w:vertAlign w:val="subscript"/>
        </w:rPr>
        <w:t>2</w:t>
      </w:r>
      <w:r>
        <w:rPr>
          <w:rFonts w:hint="eastAsia"/>
        </w:rPr>
        <w:t>在不同气象条件下对环境空气保护目标、现状监测点、网格点的地面浓度贡献值及评价范围内的最大地面浓度，最大值预测结果见表</w:t>
      </w:r>
      <w:r>
        <w:t>6.1</w:t>
      </w:r>
      <w:r>
        <w:rPr>
          <w:rFonts w:hint="eastAsia"/>
        </w:rPr>
        <w:t>—</w:t>
      </w:r>
      <w:r>
        <w:t>1</w:t>
      </w:r>
      <w:r>
        <w:rPr>
          <w:rFonts w:hint="eastAsia"/>
        </w:rPr>
        <w:t>，</w:t>
      </w:r>
      <w:r>
        <w:t>SO</w:t>
      </w:r>
      <w:r>
        <w:rPr>
          <w:vertAlign w:val="subscript"/>
        </w:rPr>
        <w:t>2</w:t>
      </w:r>
      <w:r>
        <w:rPr>
          <w:rFonts w:hint="eastAsia"/>
        </w:rPr>
        <w:t>保证率日平均浓度分布图见图</w:t>
      </w:r>
      <w:r>
        <w:t>6.1</w:t>
      </w:r>
      <w:r>
        <w:rPr>
          <w:rFonts w:hint="eastAsia"/>
        </w:rPr>
        <w:t>—</w:t>
      </w:r>
      <w:r>
        <w:t>1</w:t>
      </w:r>
      <w:r>
        <w:rPr>
          <w:rFonts w:hint="eastAsia"/>
        </w:rPr>
        <w:t>，年平均质量浓度分布图见图</w:t>
      </w:r>
      <w:r>
        <w:t>6.1</w:t>
      </w:r>
      <w:r>
        <w:rPr>
          <w:rFonts w:hint="eastAsia"/>
        </w:rPr>
        <w:t>—</w:t>
      </w:r>
      <w:r>
        <w:t>2</w:t>
      </w:r>
      <w:r>
        <w:rPr>
          <w:rFonts w:hint="eastAsia"/>
        </w:rPr>
        <w:t>。</w:t>
      </w:r>
    </w:p>
    <w:p>
      <w:pPr>
        <w:adjustRightInd w:val="0"/>
        <w:snapToGrid w:val="0"/>
        <w:ind w:firstLine="480"/>
      </w:pPr>
      <w:r>
        <w:rPr>
          <w:rFonts w:hint="eastAsia"/>
        </w:rPr>
        <w:t>由预测结果可知，项目运营后所排污染物</w:t>
      </w:r>
      <w:r>
        <w:t>SO</w:t>
      </w:r>
      <w:r>
        <w:rPr>
          <w:vertAlign w:val="subscript"/>
        </w:rPr>
        <w:t>2</w:t>
      </w:r>
      <w:r>
        <w:rPr>
          <w:rFonts w:hint="eastAsia"/>
        </w:rPr>
        <w:t>对周围环境影响较小，评价范围内的环境敏感点及网格点均未出现超标现象。最大日均浓度出现在网格点</w:t>
      </w:r>
      <w:r>
        <w:t>(</w:t>
      </w:r>
      <w:r>
        <w:rPr>
          <w:rFonts w:hint="eastAsia"/>
        </w:rPr>
        <w:t>1427</w:t>
      </w:r>
      <w:r>
        <w:t>,</w:t>
      </w:r>
      <w:r>
        <w:rPr>
          <w:rFonts w:hint="eastAsia"/>
        </w:rPr>
        <w:t>95</w:t>
      </w:r>
      <w:r>
        <w:t>)</w:t>
      </w:r>
      <w:r>
        <w:rPr>
          <w:rFonts w:hint="eastAsia"/>
        </w:rPr>
        <w:t>处，其浓度叠加背景值后占标准值的18.84</w:t>
      </w:r>
      <w:r>
        <w:t>%</w:t>
      </w:r>
      <w:r>
        <w:rPr>
          <w:rFonts w:hint="eastAsia"/>
        </w:rPr>
        <w:t>。</w:t>
      </w:r>
    </w:p>
    <w:p>
      <w:pPr>
        <w:pStyle w:val="6"/>
        <w:rPr>
          <w:rFonts w:eastAsia="宋体"/>
        </w:rPr>
      </w:pPr>
      <w:r>
        <w:rPr>
          <w:rFonts w:eastAsia="宋体"/>
        </w:rPr>
        <w:t>6.1.4.2 NO</w:t>
      </w:r>
      <w:r>
        <w:rPr>
          <w:rFonts w:eastAsia="宋体"/>
          <w:vertAlign w:val="subscript"/>
        </w:rPr>
        <w:t>x</w:t>
      </w:r>
      <w:r>
        <w:rPr>
          <w:rFonts w:hint="eastAsia" w:eastAsia="宋体"/>
        </w:rPr>
        <w:t>预测结果</w:t>
      </w:r>
    </w:p>
    <w:p>
      <w:pPr>
        <w:adjustRightInd w:val="0"/>
        <w:snapToGrid w:val="0"/>
        <w:ind w:firstLine="480"/>
        <w:rPr>
          <w:rFonts w:asciiTheme="minorHAnsi" w:hAnsiTheme="minorHAnsi" w:eastAsiaTheme="minorEastAsia"/>
        </w:rPr>
      </w:pPr>
      <w:r>
        <w:rPr>
          <w:rFonts w:hint="eastAsia"/>
        </w:rPr>
        <w:t>本次评价分别预测了项目运营后所排污染物</w:t>
      </w:r>
      <w:r>
        <w:t>NO</w:t>
      </w:r>
      <w:r>
        <w:rPr>
          <w:vertAlign w:val="subscript"/>
        </w:rPr>
        <w:t>x</w:t>
      </w:r>
      <w:r>
        <w:rPr>
          <w:rFonts w:hint="eastAsia"/>
        </w:rPr>
        <w:t>在不同气象条件下对环境空气保护目标、现状监测点、网格点的地面浓度贡献值及评价范围内的最大地面浓度，最大值预测结果见表</w:t>
      </w:r>
      <w:r>
        <w:t>6.1</w:t>
      </w:r>
      <w:r>
        <w:rPr>
          <w:rFonts w:hint="eastAsia"/>
        </w:rPr>
        <w:t>—</w:t>
      </w:r>
      <w:r>
        <w:t>2</w:t>
      </w:r>
      <w:r>
        <w:rPr>
          <w:rFonts w:hint="eastAsia"/>
        </w:rPr>
        <w:t>，</w:t>
      </w:r>
      <w:r>
        <w:t>NO</w:t>
      </w:r>
      <w:r>
        <w:rPr>
          <w:vertAlign w:val="subscript"/>
        </w:rPr>
        <w:t>x</w:t>
      </w:r>
      <w:r>
        <w:rPr>
          <w:rFonts w:hint="eastAsia"/>
        </w:rPr>
        <w:t>保证率日平均浓度分布图见图</w:t>
      </w:r>
      <w:r>
        <w:t>6.1</w:t>
      </w:r>
      <w:r>
        <w:rPr>
          <w:rFonts w:hint="eastAsia"/>
        </w:rPr>
        <w:t>—</w:t>
      </w:r>
      <w:r>
        <w:t>3</w:t>
      </w:r>
      <w:r>
        <w:rPr>
          <w:rFonts w:hint="eastAsia"/>
        </w:rPr>
        <w:t>，年平均质量浓度分布图见图</w:t>
      </w:r>
      <w:r>
        <w:t>6.1</w:t>
      </w:r>
      <w:r>
        <w:rPr>
          <w:rFonts w:hint="eastAsia"/>
        </w:rPr>
        <w:t>—</w:t>
      </w:r>
      <w:r>
        <w:t>4</w:t>
      </w:r>
      <w:r>
        <w:rPr>
          <w:rFonts w:hint="eastAsia"/>
        </w:rPr>
        <w:t>。</w:t>
      </w:r>
    </w:p>
    <w:p>
      <w:pPr>
        <w:adjustRightInd w:val="0"/>
        <w:snapToGrid w:val="0"/>
        <w:ind w:firstLine="480"/>
      </w:pPr>
      <w:r>
        <w:rPr>
          <w:rFonts w:hint="eastAsia"/>
        </w:rPr>
        <w:t>由预测结果可知，项目运营后所排污染物</w:t>
      </w:r>
      <w:r>
        <w:t>NO</w:t>
      </w:r>
      <w:r>
        <w:rPr>
          <w:vertAlign w:val="subscript"/>
        </w:rPr>
        <w:t>x</w:t>
      </w:r>
      <w:r>
        <w:rPr>
          <w:rFonts w:hint="eastAsia"/>
        </w:rPr>
        <w:t>对周围环境影响较小，评价范围内的环境敏感点及网格点均未出现超标现象。最大日</w:t>
      </w:r>
      <w:r>
        <w:rPr>
          <w:rFonts w:hint="eastAsia"/>
          <w:szCs w:val="24"/>
        </w:rPr>
        <w:t>均浓度出现在网格点</w:t>
      </w:r>
      <w:r>
        <w:rPr>
          <w:szCs w:val="24"/>
        </w:rPr>
        <w:t>(</w:t>
      </w:r>
      <w:r>
        <w:rPr>
          <w:rFonts w:cs="宋体"/>
          <w:color w:val="000000"/>
          <w:szCs w:val="24"/>
        </w:rPr>
        <w:t>971,-1743</w:t>
      </w:r>
      <w:r>
        <w:rPr>
          <w:szCs w:val="24"/>
        </w:rPr>
        <w:t>)</w:t>
      </w:r>
      <w:r>
        <w:rPr>
          <w:rFonts w:hint="eastAsia"/>
          <w:szCs w:val="24"/>
        </w:rPr>
        <w:t>处，其浓度叠加背景值后占标准值的9.74</w:t>
      </w:r>
      <w:r>
        <w:rPr>
          <w:szCs w:val="24"/>
        </w:rPr>
        <w:t>%</w:t>
      </w:r>
      <w:r>
        <w:rPr>
          <w:rFonts w:hint="eastAsia"/>
          <w:szCs w:val="24"/>
        </w:rPr>
        <w:t>。</w:t>
      </w:r>
    </w:p>
    <w:p>
      <w:pPr>
        <w:pStyle w:val="6"/>
        <w:rPr>
          <w:rFonts w:eastAsia="宋体"/>
        </w:rPr>
      </w:pPr>
      <w:r>
        <w:rPr>
          <w:rFonts w:eastAsia="宋体"/>
        </w:rPr>
        <w:t>6.1.4.3 PM</w:t>
      </w:r>
      <w:r>
        <w:rPr>
          <w:rFonts w:eastAsia="宋体"/>
          <w:vertAlign w:val="subscript"/>
        </w:rPr>
        <w:t>10</w:t>
      </w:r>
      <w:r>
        <w:rPr>
          <w:rFonts w:hint="eastAsia" w:eastAsia="宋体"/>
        </w:rPr>
        <w:t>预测结果</w:t>
      </w:r>
    </w:p>
    <w:p>
      <w:pPr>
        <w:adjustRightInd w:val="0"/>
        <w:snapToGrid w:val="0"/>
        <w:ind w:firstLine="480"/>
        <w:rPr>
          <w:rFonts w:asciiTheme="minorHAnsi" w:hAnsiTheme="minorHAnsi" w:eastAsiaTheme="minorEastAsia"/>
        </w:rPr>
      </w:pPr>
      <w:r>
        <w:rPr>
          <w:rFonts w:hint="eastAsia"/>
        </w:rPr>
        <w:t>本次评价分别预测了项目运营后所排污染物</w:t>
      </w:r>
      <w:r>
        <w:t>PM</w:t>
      </w:r>
      <w:r>
        <w:rPr>
          <w:vertAlign w:val="subscript"/>
        </w:rPr>
        <w:t>10</w:t>
      </w:r>
      <w:r>
        <w:rPr>
          <w:rFonts w:hint="eastAsia"/>
        </w:rPr>
        <w:t>在不同气象条件下对环境空气保护目标、现状监测点、网格点的地面浓度贡献值及评价范围内的最大地面浓度，最大值预测结果见表</w:t>
      </w:r>
      <w:r>
        <w:t>6.1</w:t>
      </w:r>
      <w:r>
        <w:rPr>
          <w:rFonts w:hint="eastAsia"/>
        </w:rPr>
        <w:t>—</w:t>
      </w:r>
      <w:r>
        <w:t>3</w:t>
      </w:r>
      <w:r>
        <w:rPr>
          <w:rFonts w:hint="eastAsia"/>
        </w:rPr>
        <w:t>，</w:t>
      </w:r>
      <w:r>
        <w:t>PM</w:t>
      </w:r>
      <w:r>
        <w:rPr>
          <w:vertAlign w:val="subscript"/>
        </w:rPr>
        <w:t>10</w:t>
      </w:r>
      <w:r>
        <w:rPr>
          <w:rFonts w:hint="eastAsia"/>
        </w:rPr>
        <w:t>保证率日平均浓度分布图见图</w:t>
      </w:r>
      <w:r>
        <w:t>6.1</w:t>
      </w:r>
      <w:r>
        <w:rPr>
          <w:rFonts w:hint="eastAsia"/>
        </w:rPr>
        <w:t>—</w:t>
      </w:r>
      <w:r>
        <w:t>5</w:t>
      </w:r>
      <w:r>
        <w:rPr>
          <w:rFonts w:hint="eastAsia"/>
        </w:rPr>
        <w:t>，年平均质量浓度分布图见图</w:t>
      </w:r>
      <w:r>
        <w:t>6.1</w:t>
      </w:r>
      <w:r>
        <w:rPr>
          <w:rFonts w:hint="eastAsia"/>
        </w:rPr>
        <w:t>—</w:t>
      </w:r>
      <w:r>
        <w:t>6</w:t>
      </w:r>
      <w:r>
        <w:rPr>
          <w:rFonts w:hint="eastAsia"/>
        </w:rPr>
        <w:t>。</w:t>
      </w:r>
    </w:p>
    <w:p>
      <w:pPr>
        <w:adjustRightInd w:val="0"/>
        <w:snapToGrid w:val="0"/>
        <w:ind w:firstLine="480"/>
      </w:pPr>
      <w:r>
        <w:rPr>
          <w:rFonts w:hint="eastAsia"/>
        </w:rPr>
        <w:t>由预测结果可知，项目运营后所排污染物</w:t>
      </w:r>
      <w:r>
        <w:t>PM</w:t>
      </w:r>
      <w:r>
        <w:rPr>
          <w:vertAlign w:val="subscript"/>
        </w:rPr>
        <w:t>10</w:t>
      </w:r>
      <w:r>
        <w:rPr>
          <w:rFonts w:hint="eastAsia"/>
        </w:rPr>
        <w:t>对周围环境影响较小，评价范围内的环境敏感点及网格点均未出现超标现象。最大日均浓度出现</w:t>
      </w:r>
      <w:r>
        <w:rPr>
          <w:rFonts w:hint="eastAsia"/>
          <w:szCs w:val="24"/>
        </w:rPr>
        <w:t>在网格点</w:t>
      </w:r>
      <w:r>
        <w:rPr>
          <w:szCs w:val="24"/>
        </w:rPr>
        <w:t>(</w:t>
      </w:r>
      <w:r>
        <w:rPr>
          <w:rFonts w:cs="宋体"/>
          <w:color w:val="000000"/>
          <w:szCs w:val="24"/>
        </w:rPr>
        <w:t>3006,-1603</w:t>
      </w:r>
      <w:r>
        <w:rPr>
          <w:szCs w:val="24"/>
        </w:rPr>
        <w:t>)</w:t>
      </w:r>
      <w:r>
        <w:rPr>
          <w:rFonts w:hint="eastAsia"/>
          <w:szCs w:val="24"/>
        </w:rPr>
        <w:t>处，</w:t>
      </w:r>
      <w:r>
        <w:rPr>
          <w:rFonts w:hint="eastAsia"/>
        </w:rPr>
        <w:t>其浓度叠加背景值后占标准值的30.8</w:t>
      </w:r>
      <w:r>
        <w:t>%</w:t>
      </w:r>
      <w:r>
        <w:rPr>
          <w:rFonts w:hint="eastAsia"/>
        </w:rPr>
        <w:t>。</w:t>
      </w:r>
    </w:p>
    <w:p>
      <w:pPr>
        <w:pStyle w:val="6"/>
        <w:rPr>
          <w:rFonts w:eastAsia="宋体"/>
        </w:rPr>
      </w:pPr>
      <w:r>
        <w:rPr>
          <w:rFonts w:hint="eastAsia" w:eastAsia="宋体"/>
        </w:rPr>
        <w:t>6.1.4.4</w:t>
      </w:r>
      <w:r>
        <w:rPr>
          <w:rFonts w:eastAsia="宋体"/>
        </w:rPr>
        <w:t>CO</w:t>
      </w:r>
      <w:r>
        <w:rPr>
          <w:rFonts w:hint="eastAsia" w:eastAsia="宋体"/>
        </w:rPr>
        <w:t>预测结果</w:t>
      </w:r>
    </w:p>
    <w:p>
      <w:pPr>
        <w:adjustRightInd w:val="0"/>
        <w:snapToGrid w:val="0"/>
        <w:ind w:firstLine="480"/>
        <w:rPr>
          <w:rFonts w:asciiTheme="minorHAnsi" w:hAnsiTheme="minorHAnsi" w:eastAsiaTheme="minorEastAsia"/>
        </w:rPr>
      </w:pPr>
      <w:r>
        <w:rPr>
          <w:rFonts w:hint="eastAsia"/>
        </w:rPr>
        <w:t>本次评价分别预测了项目运营后所排污染物CO在不同气象条件下对环境空气保护目标、现状监测点、网格点的地面浓度贡献值及评价范围内的最大地面浓度，最大值预测结果见表</w:t>
      </w:r>
      <w:r>
        <w:t>6.1</w:t>
      </w:r>
      <w:r>
        <w:rPr>
          <w:rFonts w:hint="eastAsia"/>
        </w:rPr>
        <w:t>—4，CO保证率日平均浓度分布图见图</w:t>
      </w:r>
      <w:r>
        <w:t>6.1</w:t>
      </w:r>
      <w:r>
        <w:rPr>
          <w:rFonts w:hint="eastAsia"/>
        </w:rPr>
        <w:t>—7，年平均质量浓度分布图见图</w:t>
      </w:r>
      <w:r>
        <w:t>6.1</w:t>
      </w:r>
      <w:r>
        <w:rPr>
          <w:rFonts w:hint="eastAsia"/>
        </w:rPr>
        <w:t>—8。</w:t>
      </w:r>
    </w:p>
    <w:p>
      <w:pPr>
        <w:adjustRightInd w:val="0"/>
        <w:snapToGrid w:val="0"/>
        <w:ind w:firstLine="480"/>
      </w:pPr>
      <w:r>
        <w:rPr>
          <w:rFonts w:hint="eastAsia"/>
          <w:kern w:val="0"/>
        </w:rPr>
        <w:t>由预测结果可知，项目运营后所排污染物</w:t>
      </w:r>
      <w:r>
        <w:rPr>
          <w:kern w:val="0"/>
        </w:rPr>
        <w:t>CO</w:t>
      </w:r>
      <w:r>
        <w:rPr>
          <w:rFonts w:hint="eastAsia"/>
          <w:kern w:val="0"/>
        </w:rPr>
        <w:t>对周围环境影响较</w:t>
      </w:r>
      <w:r>
        <w:rPr>
          <w:rFonts w:hint="eastAsia"/>
          <w:kern w:val="0"/>
          <w:szCs w:val="24"/>
        </w:rPr>
        <w:t>小，评价范围内的环境敏感点及网格点均未出现超标现象。最大</w:t>
      </w:r>
      <w:r>
        <w:rPr>
          <w:kern w:val="0"/>
          <w:szCs w:val="24"/>
        </w:rPr>
        <w:t>1h</w:t>
      </w:r>
      <w:r>
        <w:rPr>
          <w:rFonts w:hint="eastAsia"/>
          <w:kern w:val="0"/>
          <w:szCs w:val="24"/>
        </w:rPr>
        <w:t>浓度出现在网格点</w:t>
      </w:r>
      <w:r>
        <w:rPr>
          <w:kern w:val="0"/>
          <w:szCs w:val="24"/>
        </w:rPr>
        <w:t>(</w:t>
      </w:r>
      <w:r>
        <w:rPr>
          <w:rFonts w:cs="宋体"/>
          <w:color w:val="000000"/>
          <w:szCs w:val="24"/>
        </w:rPr>
        <w:t>1235,109</w:t>
      </w:r>
      <w:r>
        <w:rPr>
          <w:kern w:val="0"/>
          <w:szCs w:val="24"/>
        </w:rPr>
        <w:t>)</w:t>
      </w:r>
      <w:r>
        <w:rPr>
          <w:rFonts w:hint="eastAsia"/>
          <w:kern w:val="0"/>
          <w:szCs w:val="24"/>
        </w:rPr>
        <w:t>处</w:t>
      </w:r>
      <w:r>
        <w:rPr>
          <w:rFonts w:hint="eastAsia"/>
          <w:kern w:val="0"/>
        </w:rPr>
        <w:t>，其浓度叠加背景值后占标准值的</w:t>
      </w:r>
      <w:r>
        <w:rPr>
          <w:kern w:val="0"/>
        </w:rPr>
        <w:t>0.</w:t>
      </w:r>
      <w:r>
        <w:rPr>
          <w:rFonts w:hint="eastAsia"/>
          <w:kern w:val="0"/>
        </w:rPr>
        <w:t>42</w:t>
      </w:r>
      <w:r>
        <w:rPr>
          <w:kern w:val="0"/>
        </w:rPr>
        <w:t>%</w:t>
      </w:r>
      <w:r>
        <w:rPr>
          <w:rFonts w:hint="eastAsia"/>
          <w:kern w:val="0"/>
        </w:rPr>
        <w:t>。</w:t>
      </w:r>
    </w:p>
    <w:p>
      <w:pPr>
        <w:pStyle w:val="6"/>
        <w:rPr>
          <w:rFonts w:eastAsia="宋体"/>
        </w:rPr>
      </w:pPr>
      <w:r>
        <w:rPr>
          <w:rFonts w:eastAsia="宋体"/>
        </w:rPr>
        <w:t>6.1.4.</w:t>
      </w:r>
      <w:r>
        <w:rPr>
          <w:rFonts w:hint="eastAsia" w:eastAsia="宋体"/>
        </w:rPr>
        <w:t>5</w:t>
      </w:r>
      <w:r>
        <w:rPr>
          <w:rFonts w:eastAsia="宋体"/>
        </w:rPr>
        <w:t xml:space="preserve"> TVOC</w:t>
      </w:r>
      <w:r>
        <w:rPr>
          <w:rFonts w:hint="eastAsia" w:eastAsia="宋体"/>
        </w:rPr>
        <w:t>预测结果</w:t>
      </w:r>
    </w:p>
    <w:p>
      <w:pPr>
        <w:adjustRightInd w:val="0"/>
        <w:snapToGrid w:val="0"/>
        <w:ind w:firstLine="480"/>
        <w:rPr>
          <w:rFonts w:asciiTheme="minorHAnsi" w:hAnsiTheme="minorHAnsi" w:eastAsiaTheme="minorEastAsia"/>
        </w:rPr>
      </w:pPr>
      <w:r>
        <w:rPr>
          <w:rFonts w:hint="eastAsia"/>
        </w:rPr>
        <w:t>本次评价分别预测了项目运营后</w:t>
      </w:r>
      <w:r>
        <w:t>TVOC</w:t>
      </w:r>
      <w:r>
        <w:rPr>
          <w:rFonts w:hint="eastAsia"/>
        </w:rPr>
        <w:t>在不同气象条件下对环境空气保护目标、现状监测点、网格点的地面浓度贡献值及评价范围内的最大地面浓度，最大值预测结果见表</w:t>
      </w:r>
      <w:r>
        <w:t>6.1</w:t>
      </w:r>
      <w:r>
        <w:rPr>
          <w:rFonts w:hint="eastAsia"/>
        </w:rPr>
        <w:t>—5，</w:t>
      </w:r>
      <w:r>
        <w:t>TVOC</w:t>
      </w:r>
      <w:r>
        <w:rPr>
          <w:rFonts w:hint="eastAsia"/>
        </w:rPr>
        <w:t>的</w:t>
      </w:r>
      <w:r>
        <w:t>8h</w:t>
      </w:r>
      <w:r>
        <w:rPr>
          <w:rFonts w:hint="eastAsia"/>
        </w:rPr>
        <w:t>平分布图见图</w:t>
      </w:r>
      <w:r>
        <w:t>6.1</w:t>
      </w:r>
      <w:r>
        <w:rPr>
          <w:rFonts w:hint="eastAsia"/>
        </w:rPr>
        <w:t>—9。</w:t>
      </w:r>
    </w:p>
    <w:p>
      <w:pPr>
        <w:adjustRightInd w:val="0"/>
        <w:snapToGrid w:val="0"/>
        <w:ind w:firstLine="480"/>
      </w:pPr>
      <w:r>
        <w:rPr>
          <w:rFonts w:hint="eastAsia"/>
        </w:rPr>
        <w:t>由预测结果可知，</w:t>
      </w:r>
      <w:r>
        <w:t>TVOC</w:t>
      </w:r>
      <w:r>
        <w:rPr>
          <w:rFonts w:hint="eastAsia"/>
        </w:rPr>
        <w:t>对周围环境影响较小，评价范围内的环境敏感点及网格点均未出现超标现象。最大8</w:t>
      </w:r>
      <w:r>
        <w:t>h</w:t>
      </w:r>
      <w:r>
        <w:rPr>
          <w:rFonts w:hint="eastAsia"/>
        </w:rPr>
        <w:t>浓度出现在网格点</w:t>
      </w:r>
      <w:r>
        <w:t>(</w:t>
      </w:r>
      <w:r>
        <w:rPr>
          <w:rFonts w:cs="宋体"/>
          <w:color w:val="000000"/>
          <w:szCs w:val="24"/>
        </w:rPr>
        <w:t>1516,95</w:t>
      </w:r>
      <w:r>
        <w:t>)</w:t>
      </w:r>
      <w:r>
        <w:rPr>
          <w:rFonts w:hint="eastAsia"/>
        </w:rPr>
        <w:t>处，其浓度叠加背景值后占标准值的3.32</w:t>
      </w:r>
      <w:r>
        <w:t>%</w:t>
      </w:r>
      <w:r>
        <w:rPr>
          <w:rFonts w:hint="eastAsia"/>
        </w:rPr>
        <w:t>。</w:t>
      </w:r>
    </w:p>
    <w:p>
      <w:pPr>
        <w:pStyle w:val="6"/>
        <w:rPr>
          <w:rFonts w:eastAsia="宋体"/>
        </w:rPr>
      </w:pPr>
      <w:r>
        <w:rPr>
          <w:rFonts w:eastAsia="宋体"/>
        </w:rPr>
        <w:t>6.1.4.</w:t>
      </w:r>
      <w:r>
        <w:rPr>
          <w:rFonts w:hint="eastAsia" w:eastAsia="宋体"/>
        </w:rPr>
        <w:t>6Pb预测结果</w:t>
      </w:r>
    </w:p>
    <w:p>
      <w:pPr>
        <w:adjustRightInd w:val="0"/>
        <w:snapToGrid w:val="0"/>
        <w:ind w:firstLine="480"/>
        <w:rPr>
          <w:rFonts w:asciiTheme="minorHAnsi" w:hAnsiTheme="minorHAnsi" w:eastAsiaTheme="minorEastAsia"/>
        </w:rPr>
      </w:pPr>
      <w:r>
        <w:rPr>
          <w:rFonts w:hint="eastAsia"/>
        </w:rPr>
        <w:t>本次评价分别预测了项目运营后所排污染物Pb在不同气象条件下对环境空气保护目标、现状监测点、网格点的地面浓度贡献值及评价范围内的最大地面浓度，最大值预测结果见表</w:t>
      </w:r>
      <w:r>
        <w:t>6.1</w:t>
      </w:r>
      <w:r>
        <w:rPr>
          <w:rFonts w:hint="eastAsia"/>
        </w:rPr>
        <w:t>—6，Pb年均浓度分布图见图</w:t>
      </w:r>
      <w:r>
        <w:t>6.1</w:t>
      </w:r>
      <w:r>
        <w:rPr>
          <w:rFonts w:hint="eastAsia"/>
        </w:rPr>
        <w:t>—10。</w:t>
      </w:r>
    </w:p>
    <w:p>
      <w:pPr>
        <w:adjustRightInd w:val="0"/>
        <w:snapToGrid w:val="0"/>
        <w:ind w:firstLine="480"/>
      </w:pPr>
      <w:r>
        <w:rPr>
          <w:rFonts w:hint="eastAsia"/>
        </w:rPr>
        <w:t>由预测结果可知，项目运营后所排污染物Pb对周围环境影响较小，评价范围内的环境敏感点及网格点均未出现超标现象。最大</w:t>
      </w:r>
      <w:r>
        <w:t>1h</w:t>
      </w:r>
      <w:r>
        <w:rPr>
          <w:rFonts w:hint="eastAsia"/>
        </w:rPr>
        <w:t>浓度出现在网格</w:t>
      </w:r>
      <w:r>
        <w:rPr>
          <w:rFonts w:hint="eastAsia"/>
          <w:szCs w:val="24"/>
        </w:rPr>
        <w:t>点</w:t>
      </w:r>
      <w:r>
        <w:rPr>
          <w:szCs w:val="24"/>
        </w:rPr>
        <w:t>(</w:t>
      </w:r>
      <w:r>
        <w:rPr>
          <w:rFonts w:cs="宋体"/>
          <w:color w:val="000000"/>
          <w:szCs w:val="24"/>
        </w:rPr>
        <w:t>1235,109</w:t>
      </w:r>
      <w:r>
        <w:rPr>
          <w:szCs w:val="24"/>
        </w:rPr>
        <w:t>)</w:t>
      </w:r>
      <w:r>
        <w:rPr>
          <w:rFonts w:hint="eastAsia"/>
        </w:rPr>
        <w:t>处，其浓度叠加背景值后占标准值的5.52</w:t>
      </w:r>
      <w:r>
        <w:t>%</w:t>
      </w:r>
      <w:r>
        <w:rPr>
          <w:rFonts w:hint="eastAsia"/>
        </w:rPr>
        <w:t>。</w:t>
      </w:r>
    </w:p>
    <w:p>
      <w:pPr>
        <w:pStyle w:val="6"/>
        <w:rPr>
          <w:rFonts w:eastAsia="宋体"/>
        </w:rPr>
      </w:pPr>
      <w:r>
        <w:rPr>
          <w:rFonts w:eastAsia="宋体"/>
        </w:rPr>
        <w:t>6.1.4.</w:t>
      </w:r>
      <w:r>
        <w:rPr>
          <w:rFonts w:hint="eastAsia" w:eastAsia="宋体"/>
        </w:rPr>
        <w:t>7硫化氢预测结果</w:t>
      </w:r>
    </w:p>
    <w:p>
      <w:pPr>
        <w:adjustRightInd w:val="0"/>
        <w:snapToGrid w:val="0"/>
        <w:ind w:firstLine="480"/>
        <w:rPr>
          <w:rFonts w:asciiTheme="minorHAnsi" w:hAnsiTheme="minorHAnsi" w:eastAsiaTheme="minorEastAsia"/>
        </w:rPr>
      </w:pPr>
      <w:r>
        <w:rPr>
          <w:rFonts w:hint="eastAsia"/>
        </w:rPr>
        <w:t>本次评价分别预测了项目运营后所排污染物硫化氢在不同气象条件下对环境空气保护目标、现状监测点、网格点的地面浓度贡献值及评价范围内的最大地面浓度，最大值预测结果见表</w:t>
      </w:r>
      <w:r>
        <w:t>6.1</w:t>
      </w:r>
      <w:r>
        <w:rPr>
          <w:rFonts w:hint="eastAsia"/>
        </w:rPr>
        <w:t>—7。</w:t>
      </w:r>
    </w:p>
    <w:p>
      <w:pPr>
        <w:ind w:firstLine="480"/>
        <w:rPr>
          <w:rFonts w:asciiTheme="minorEastAsia" w:hAnsiTheme="minorEastAsia" w:eastAsiaTheme="minorEastAsia"/>
          <w:szCs w:val="24"/>
        </w:rPr>
      </w:pPr>
      <w:r>
        <w:rPr>
          <w:rFonts w:hint="eastAsia"/>
        </w:rPr>
        <w:t>由预测结果可知，项目运营后所排污染物硫化氢对周围环境影响较小，评价范围内的环境敏感点及网格点均未出现超标现象。最大小时浓度出现在网格</w:t>
      </w:r>
      <w:r>
        <w:rPr>
          <w:rFonts w:hint="eastAsia"/>
          <w:szCs w:val="24"/>
        </w:rPr>
        <w:t>点(</w:t>
      </w:r>
      <w:r>
        <w:rPr>
          <w:rFonts w:cs="宋体"/>
          <w:color w:val="000000"/>
          <w:szCs w:val="24"/>
        </w:rPr>
        <w:t>1783,26</w:t>
      </w:r>
      <w:r>
        <w:rPr>
          <w:szCs w:val="24"/>
        </w:rPr>
        <w:t>)</w:t>
      </w:r>
      <w:r>
        <w:rPr>
          <w:rFonts w:hint="eastAsia"/>
        </w:rPr>
        <w:t>处，其浓度叠加背景值后占标准值的33.5</w:t>
      </w:r>
      <w:r>
        <w:t>%</w:t>
      </w:r>
      <w:r>
        <w:rPr>
          <w:rFonts w:hint="eastAsia"/>
        </w:rPr>
        <w:t>。</w:t>
      </w:r>
    </w:p>
    <w:p>
      <w:pPr>
        <w:pStyle w:val="6"/>
        <w:rPr>
          <w:rFonts w:eastAsia="宋体"/>
        </w:rPr>
      </w:pPr>
      <w:r>
        <w:rPr>
          <w:rFonts w:eastAsia="宋体"/>
        </w:rPr>
        <w:t>6.1.4.</w:t>
      </w:r>
      <w:r>
        <w:rPr>
          <w:rFonts w:hint="eastAsia" w:eastAsia="宋体"/>
        </w:rPr>
        <w:t>8氨预测结果</w:t>
      </w:r>
    </w:p>
    <w:p>
      <w:pPr>
        <w:adjustRightInd w:val="0"/>
        <w:snapToGrid w:val="0"/>
        <w:ind w:firstLine="480"/>
        <w:rPr>
          <w:rFonts w:asciiTheme="minorHAnsi" w:hAnsiTheme="minorHAnsi" w:eastAsiaTheme="minorEastAsia"/>
        </w:rPr>
      </w:pPr>
      <w:r>
        <w:rPr>
          <w:rFonts w:hint="eastAsia"/>
        </w:rPr>
        <w:t>本次评价分别预测了项目运营后所排污染物氨在不同气象条件下对环境空气保护目标、现状监测点、网格点的地面浓度贡献值及评价范围内的最大地面浓度，最大值预测结果见表</w:t>
      </w:r>
      <w:r>
        <w:t>6.1</w:t>
      </w:r>
      <w:r>
        <w:rPr>
          <w:rFonts w:hint="eastAsia"/>
        </w:rPr>
        <w:t>—8，氨小时浓度分布图见图</w:t>
      </w:r>
      <w:r>
        <w:t>6.1</w:t>
      </w:r>
      <w:r>
        <w:rPr>
          <w:rFonts w:hint="eastAsia"/>
        </w:rPr>
        <w:t>—11。</w:t>
      </w:r>
    </w:p>
    <w:p>
      <w:pPr>
        <w:ind w:firstLine="480"/>
        <w:rPr>
          <w:rFonts w:asciiTheme="minorEastAsia" w:hAnsiTheme="minorEastAsia" w:eastAsiaTheme="minorEastAsia"/>
          <w:szCs w:val="24"/>
        </w:rPr>
      </w:pPr>
      <w:r>
        <w:rPr>
          <w:rFonts w:hint="eastAsia"/>
        </w:rPr>
        <w:t>由预测结果可知，项目运营后所排污染物氨对周围环境影响较小，评价范围内的环境敏感点及网格点均未出现超标现象。最大小时浓度出现在网格</w:t>
      </w:r>
      <w:r>
        <w:rPr>
          <w:rFonts w:hint="eastAsia"/>
          <w:szCs w:val="24"/>
        </w:rPr>
        <w:t>点(</w:t>
      </w:r>
      <w:r>
        <w:rPr>
          <w:rFonts w:cs="宋体"/>
          <w:color w:val="000000"/>
          <w:szCs w:val="24"/>
        </w:rPr>
        <w:t>1783,26</w:t>
      </w:r>
      <w:r>
        <w:rPr>
          <w:szCs w:val="24"/>
        </w:rPr>
        <w:t>)</w:t>
      </w:r>
      <w:r>
        <w:rPr>
          <w:rFonts w:hint="eastAsia"/>
          <w:szCs w:val="24"/>
        </w:rPr>
        <w:t>处，</w:t>
      </w:r>
      <w:r>
        <w:rPr>
          <w:rFonts w:hint="eastAsia"/>
        </w:rPr>
        <w:t>其浓度叠加背景值后占标准值的8.89</w:t>
      </w:r>
      <w:r>
        <w:t>%</w:t>
      </w:r>
      <w:r>
        <w:rPr>
          <w:rFonts w:hint="eastAsia"/>
        </w:rPr>
        <w:t>。</w:t>
      </w:r>
    </w:p>
    <w:p>
      <w:pPr>
        <w:pStyle w:val="6"/>
        <w:rPr>
          <w:rFonts w:eastAsia="宋体"/>
        </w:rPr>
      </w:pPr>
      <w:r>
        <w:rPr>
          <w:rFonts w:eastAsia="宋体"/>
        </w:rPr>
        <w:t>6.1.4.</w:t>
      </w:r>
      <w:r>
        <w:rPr>
          <w:rFonts w:hint="eastAsia" w:eastAsia="宋体"/>
        </w:rPr>
        <w:t>9硫酸预测结果</w:t>
      </w:r>
    </w:p>
    <w:p>
      <w:pPr>
        <w:adjustRightInd w:val="0"/>
        <w:snapToGrid w:val="0"/>
        <w:ind w:firstLine="480"/>
        <w:rPr>
          <w:rFonts w:asciiTheme="minorHAnsi" w:hAnsiTheme="minorHAnsi" w:eastAsiaTheme="minorEastAsia"/>
        </w:rPr>
      </w:pPr>
      <w:r>
        <w:rPr>
          <w:rFonts w:hint="eastAsia"/>
        </w:rPr>
        <w:t>本次评价分别预测了项目运营后所排污染物硫酸在不同气象条件下对环境空气保护目标、现状监测点、网格点的地面浓度贡献值及评价范围内的最大地面浓度，最大值预测结果见表</w:t>
      </w:r>
      <w:r>
        <w:t>6.1</w:t>
      </w:r>
      <w:r>
        <w:rPr>
          <w:rFonts w:hint="eastAsia"/>
        </w:rPr>
        <w:t>—9，硫酸小时浓度分布图见图</w:t>
      </w:r>
      <w:r>
        <w:t>6.1</w:t>
      </w:r>
      <w:r>
        <w:rPr>
          <w:rFonts w:hint="eastAsia"/>
        </w:rPr>
        <w:t>—12，硫酸日均浓度分布图见图</w:t>
      </w:r>
      <w:r>
        <w:t>6.1</w:t>
      </w:r>
      <w:r>
        <w:rPr>
          <w:rFonts w:hint="eastAsia"/>
        </w:rPr>
        <w:t>—13。</w:t>
      </w:r>
    </w:p>
    <w:p>
      <w:pPr>
        <w:ind w:firstLine="480"/>
        <w:rPr>
          <w:rFonts w:asciiTheme="minorEastAsia" w:hAnsiTheme="minorEastAsia" w:eastAsiaTheme="minorEastAsia"/>
          <w:szCs w:val="24"/>
        </w:rPr>
      </w:pPr>
      <w:r>
        <w:rPr>
          <w:rFonts w:hint="eastAsia"/>
        </w:rPr>
        <w:t>由预测结果可知，项目运营后所排污染物硫酸对周围环境影响较小，评价范围内的环境敏感点及网格点均未出现超标现象。最大小时浓度出现在网格</w:t>
      </w:r>
      <w:r>
        <w:rPr>
          <w:rFonts w:hint="eastAsia"/>
          <w:szCs w:val="24"/>
        </w:rPr>
        <w:t>点(</w:t>
      </w:r>
      <w:r>
        <w:rPr>
          <w:rFonts w:cs="宋体"/>
          <w:color w:val="000000"/>
          <w:szCs w:val="24"/>
        </w:rPr>
        <w:t>1235,109</w:t>
      </w:r>
      <w:r>
        <w:rPr>
          <w:szCs w:val="24"/>
        </w:rPr>
        <w:t>)</w:t>
      </w:r>
      <w:r>
        <w:rPr>
          <w:rFonts w:hint="eastAsia"/>
        </w:rPr>
        <w:t>处，其浓度叠加背景值后占标准值的7.45</w:t>
      </w:r>
      <w:r>
        <w:t>%</w:t>
      </w:r>
      <w:r>
        <w:rPr>
          <w:rFonts w:hint="eastAsia"/>
        </w:rPr>
        <w:t>。</w:t>
      </w:r>
    </w:p>
    <w:p>
      <w:pPr>
        <w:pStyle w:val="6"/>
        <w:rPr>
          <w:rFonts w:eastAsia="宋体"/>
        </w:rPr>
      </w:pPr>
      <w:r>
        <w:rPr>
          <w:rFonts w:eastAsia="宋体"/>
        </w:rPr>
        <w:t>6.1.4.</w:t>
      </w:r>
      <w:r>
        <w:rPr>
          <w:rFonts w:hint="eastAsia" w:eastAsia="宋体"/>
        </w:rPr>
        <w:t>10HCl预测结果</w:t>
      </w:r>
    </w:p>
    <w:p>
      <w:pPr>
        <w:adjustRightInd w:val="0"/>
        <w:snapToGrid w:val="0"/>
        <w:ind w:firstLine="480"/>
        <w:rPr>
          <w:rFonts w:asciiTheme="minorHAnsi" w:hAnsiTheme="minorHAnsi" w:eastAsiaTheme="minorEastAsia"/>
        </w:rPr>
      </w:pPr>
      <w:r>
        <w:rPr>
          <w:rFonts w:hint="eastAsia"/>
        </w:rPr>
        <w:t>本次评价分别预测了项目运营后所排污染物HCl在不同气象条件下对环境空气保护目标、现状监测点、网格点的地面浓度贡献值及评价范围内的最大地面浓度，最大值预测结果见表</w:t>
      </w:r>
      <w:r>
        <w:t>6.1</w:t>
      </w:r>
      <w:r>
        <w:rPr>
          <w:rFonts w:hint="eastAsia"/>
        </w:rPr>
        <w:t>—10，HCl小时浓度分布图见图</w:t>
      </w:r>
      <w:r>
        <w:t>6.1</w:t>
      </w:r>
      <w:r>
        <w:rPr>
          <w:rFonts w:hint="eastAsia"/>
        </w:rPr>
        <w:t>—14，HCl日均浓度分布图见图</w:t>
      </w:r>
      <w:r>
        <w:t>6.1</w:t>
      </w:r>
      <w:r>
        <w:rPr>
          <w:rFonts w:hint="eastAsia"/>
        </w:rPr>
        <w:t>—15。</w:t>
      </w:r>
    </w:p>
    <w:p>
      <w:pPr>
        <w:ind w:firstLine="480"/>
        <w:rPr>
          <w:rFonts w:asciiTheme="minorEastAsia" w:hAnsiTheme="minorEastAsia" w:eastAsiaTheme="minorEastAsia"/>
          <w:szCs w:val="24"/>
        </w:rPr>
      </w:pPr>
      <w:r>
        <w:rPr>
          <w:rFonts w:hint="eastAsia"/>
        </w:rPr>
        <w:t>由预测结果可知，项目运营后所排污染物HCl对周围环境影响较小，评价范围内的环境敏感点及网格点均未出现超标现象</w:t>
      </w:r>
      <w:r>
        <w:rPr>
          <w:rFonts w:hint="eastAsia"/>
          <w:szCs w:val="24"/>
        </w:rPr>
        <w:t>。最大小时浓度出现在网格点(</w:t>
      </w:r>
      <w:r>
        <w:rPr>
          <w:rFonts w:cs="宋体"/>
          <w:color w:val="000000"/>
          <w:szCs w:val="24"/>
        </w:rPr>
        <w:t>1427,-181</w:t>
      </w:r>
      <w:r>
        <w:rPr>
          <w:szCs w:val="24"/>
        </w:rPr>
        <w:t>)</w:t>
      </w:r>
      <w:r>
        <w:rPr>
          <w:rFonts w:hint="eastAsia"/>
          <w:szCs w:val="24"/>
        </w:rPr>
        <w:t>处，其浓度叠加背景值后占标准值的55.41</w:t>
      </w:r>
      <w:r>
        <w:rPr>
          <w:szCs w:val="24"/>
        </w:rPr>
        <w:t>%</w:t>
      </w:r>
      <w:r>
        <w:rPr>
          <w:rFonts w:hint="eastAsia"/>
          <w:szCs w:val="24"/>
        </w:rPr>
        <w:t>。</w:t>
      </w:r>
    </w:p>
    <w:p>
      <w:pPr>
        <w:pStyle w:val="6"/>
        <w:rPr>
          <w:rFonts w:eastAsia="宋体"/>
        </w:rPr>
      </w:pPr>
      <w:r>
        <w:rPr>
          <w:rFonts w:eastAsia="宋体"/>
        </w:rPr>
        <w:t>6.1.4.</w:t>
      </w:r>
      <w:r>
        <w:rPr>
          <w:rFonts w:hint="eastAsia" w:eastAsia="宋体"/>
        </w:rPr>
        <w:t>11氟化物预测结果</w:t>
      </w:r>
    </w:p>
    <w:p>
      <w:pPr>
        <w:adjustRightInd w:val="0"/>
        <w:snapToGrid w:val="0"/>
        <w:ind w:firstLine="480"/>
        <w:rPr>
          <w:rFonts w:asciiTheme="minorHAnsi" w:hAnsiTheme="minorHAnsi" w:eastAsiaTheme="minorEastAsia"/>
        </w:rPr>
      </w:pPr>
      <w:r>
        <w:rPr>
          <w:rFonts w:hint="eastAsia"/>
        </w:rPr>
        <w:t>本次评价分别预测了项目运营后所排污染物氟化物在不同气象条件下对环境空气保护目标、现状监测点、网格点的地面浓度贡献值及评价范围内的最大地面浓度，最大值预测结果见表</w:t>
      </w:r>
      <w:r>
        <w:t>6.1</w:t>
      </w:r>
      <w:r>
        <w:rPr>
          <w:rFonts w:hint="eastAsia"/>
        </w:rPr>
        <w:t>—11，氟化物小时浓度分布图见图</w:t>
      </w:r>
      <w:r>
        <w:t>6.1</w:t>
      </w:r>
      <w:r>
        <w:rPr>
          <w:rFonts w:hint="eastAsia"/>
        </w:rPr>
        <w:t>—16。</w:t>
      </w:r>
    </w:p>
    <w:p>
      <w:pPr>
        <w:ind w:firstLine="480"/>
        <w:rPr>
          <w:rFonts w:asciiTheme="minorEastAsia" w:hAnsiTheme="minorEastAsia" w:eastAsiaTheme="minorEastAsia"/>
          <w:szCs w:val="24"/>
        </w:rPr>
      </w:pPr>
      <w:r>
        <w:rPr>
          <w:rFonts w:hint="eastAsia"/>
        </w:rPr>
        <w:t>由预测结果可知，项目运营后所排污染物氟化物对周围环境影响较小，评价范围内的环境敏感点及网格点均未出现超标现象</w:t>
      </w:r>
      <w:r>
        <w:rPr>
          <w:rFonts w:hint="eastAsia"/>
          <w:szCs w:val="24"/>
        </w:rPr>
        <w:t>。最大小时浓度出现在网格点(</w:t>
      </w:r>
      <w:r>
        <w:rPr>
          <w:rFonts w:cs="宋体"/>
          <w:color w:val="000000"/>
          <w:szCs w:val="24"/>
        </w:rPr>
        <w:t>1783,26</w:t>
      </w:r>
      <w:r>
        <w:rPr>
          <w:szCs w:val="24"/>
        </w:rPr>
        <w:t>)</w:t>
      </w:r>
      <w:r>
        <w:rPr>
          <w:rFonts w:hint="eastAsia"/>
          <w:szCs w:val="24"/>
        </w:rPr>
        <w:t>处，其浓度叠加背景值后占标准值的0.28</w:t>
      </w:r>
      <w:r>
        <w:rPr>
          <w:szCs w:val="24"/>
        </w:rPr>
        <w:t>%</w:t>
      </w:r>
      <w:r>
        <w:rPr>
          <w:rFonts w:hint="eastAsia"/>
          <w:szCs w:val="24"/>
        </w:rPr>
        <w:t>。</w:t>
      </w:r>
    </w:p>
    <w:p>
      <w:pPr>
        <w:pStyle w:val="6"/>
        <w:rPr>
          <w:rFonts w:eastAsia="宋体"/>
        </w:rPr>
      </w:pPr>
      <w:r>
        <w:rPr>
          <w:rFonts w:eastAsia="宋体"/>
        </w:rPr>
        <w:t>6.1.4.</w:t>
      </w:r>
      <w:r>
        <w:rPr>
          <w:rFonts w:hint="eastAsia" w:eastAsia="宋体"/>
        </w:rPr>
        <w:t>12Hg预测结果</w:t>
      </w:r>
    </w:p>
    <w:p>
      <w:pPr>
        <w:adjustRightInd w:val="0"/>
        <w:snapToGrid w:val="0"/>
        <w:ind w:firstLine="480"/>
        <w:rPr>
          <w:rFonts w:asciiTheme="minorHAnsi" w:hAnsiTheme="minorHAnsi" w:eastAsiaTheme="minorEastAsia"/>
        </w:rPr>
      </w:pPr>
      <w:r>
        <w:rPr>
          <w:rFonts w:hint="eastAsia"/>
        </w:rPr>
        <w:t>本次评价分别预测了项目运营后所排污染物Hg在不同气象条件下对环境空气保护目标、现状监测点、网格点的地面浓度贡献值及评价范围内的最大地面浓度，最大值预测结果见表</w:t>
      </w:r>
      <w:r>
        <w:t>6.1</w:t>
      </w:r>
      <w:r>
        <w:rPr>
          <w:rFonts w:hint="eastAsia"/>
        </w:rPr>
        <w:t>—12，Hg年均浓度分布图见图</w:t>
      </w:r>
      <w:r>
        <w:t>6.1</w:t>
      </w:r>
      <w:r>
        <w:rPr>
          <w:rFonts w:hint="eastAsia"/>
        </w:rPr>
        <w:t>—17。</w:t>
      </w:r>
    </w:p>
    <w:p>
      <w:pPr>
        <w:ind w:firstLine="480"/>
        <w:rPr>
          <w:rFonts w:asciiTheme="minorEastAsia" w:hAnsiTheme="minorEastAsia" w:eastAsiaTheme="minorEastAsia"/>
          <w:szCs w:val="24"/>
        </w:rPr>
      </w:pPr>
      <w:r>
        <w:rPr>
          <w:rFonts w:hint="eastAsia"/>
        </w:rPr>
        <w:t>由预测结果可知，项目运营后所排污染物Hg对周围环境影响较小，评价范围内的环境敏感点及网格点均未出现超标现象</w:t>
      </w:r>
      <w:r>
        <w:rPr>
          <w:rFonts w:hint="eastAsia"/>
          <w:szCs w:val="24"/>
        </w:rPr>
        <w:t>。最大小时浓度出现在网格点(</w:t>
      </w:r>
      <w:r>
        <w:rPr>
          <w:rFonts w:cs="宋体"/>
          <w:color w:val="000000"/>
          <w:szCs w:val="24"/>
        </w:rPr>
        <w:t>1516,95</w:t>
      </w:r>
      <w:r>
        <w:rPr>
          <w:szCs w:val="24"/>
        </w:rPr>
        <w:t>)</w:t>
      </w:r>
      <w:r>
        <w:rPr>
          <w:rFonts w:hint="eastAsia"/>
          <w:szCs w:val="24"/>
        </w:rPr>
        <w:t>处，其浓度叠加背景值后占标准值的10.78</w:t>
      </w:r>
      <w:r>
        <w:rPr>
          <w:szCs w:val="24"/>
        </w:rPr>
        <w:t>%</w:t>
      </w:r>
      <w:r>
        <w:rPr>
          <w:rFonts w:hint="eastAsia"/>
          <w:szCs w:val="24"/>
        </w:rPr>
        <w:t>。</w:t>
      </w:r>
    </w:p>
    <w:p>
      <w:pPr>
        <w:pStyle w:val="6"/>
        <w:rPr>
          <w:rFonts w:eastAsia="宋体"/>
        </w:rPr>
      </w:pPr>
      <w:r>
        <w:rPr>
          <w:rFonts w:eastAsia="宋体"/>
        </w:rPr>
        <w:t>6.1.4.</w:t>
      </w:r>
      <w:r>
        <w:rPr>
          <w:rFonts w:hint="eastAsia" w:eastAsia="宋体"/>
        </w:rPr>
        <w:t>13Cd预测结果</w:t>
      </w:r>
    </w:p>
    <w:p>
      <w:pPr>
        <w:adjustRightInd w:val="0"/>
        <w:snapToGrid w:val="0"/>
        <w:ind w:firstLine="480"/>
        <w:rPr>
          <w:rFonts w:asciiTheme="minorHAnsi" w:hAnsiTheme="minorHAnsi" w:eastAsiaTheme="minorEastAsia"/>
        </w:rPr>
      </w:pPr>
      <w:r>
        <w:rPr>
          <w:rFonts w:hint="eastAsia"/>
        </w:rPr>
        <w:t>本次评价分别预测了项目运营后所排污染物Cd在不同气象条件下对环境空气保护目标、现状监测点、网格点的地面浓度贡献值及评价范围内的最大地面浓度，最大值预测结果见表</w:t>
      </w:r>
      <w:r>
        <w:t>6.1</w:t>
      </w:r>
      <w:r>
        <w:rPr>
          <w:rFonts w:hint="eastAsia"/>
        </w:rPr>
        <w:t>—13，Cd年均浓度分布图见图</w:t>
      </w:r>
      <w:r>
        <w:t>6.1</w:t>
      </w:r>
      <w:r>
        <w:rPr>
          <w:rFonts w:hint="eastAsia"/>
        </w:rPr>
        <w:t>—18。</w:t>
      </w:r>
    </w:p>
    <w:p>
      <w:pPr>
        <w:ind w:firstLine="480"/>
        <w:rPr>
          <w:rFonts w:asciiTheme="minorEastAsia" w:hAnsiTheme="minorEastAsia" w:eastAsiaTheme="minorEastAsia"/>
          <w:szCs w:val="24"/>
        </w:rPr>
      </w:pPr>
      <w:r>
        <w:rPr>
          <w:rFonts w:hint="eastAsia"/>
        </w:rPr>
        <w:t>由预测结果可知，项目运营后所排污染物Cd对周围环境影响较小，评价范围内的环境敏感点及网格点均未出现超标现象</w:t>
      </w:r>
      <w:r>
        <w:rPr>
          <w:rFonts w:hint="eastAsia"/>
          <w:szCs w:val="24"/>
        </w:rPr>
        <w:t>。最大小时浓度出现在网格点(</w:t>
      </w:r>
      <w:r>
        <w:rPr>
          <w:rFonts w:cs="宋体"/>
          <w:color w:val="000000"/>
          <w:szCs w:val="24"/>
        </w:rPr>
        <w:t>1516,95</w:t>
      </w:r>
      <w:r>
        <w:rPr>
          <w:szCs w:val="24"/>
        </w:rPr>
        <w:t>)</w:t>
      </w:r>
      <w:r>
        <w:rPr>
          <w:rFonts w:hint="eastAsia"/>
          <w:szCs w:val="24"/>
        </w:rPr>
        <w:t>处，其浓度叠加背景值后占标准值的7.7</w:t>
      </w:r>
      <w:r>
        <w:rPr>
          <w:szCs w:val="24"/>
        </w:rPr>
        <w:t>%</w:t>
      </w:r>
      <w:r>
        <w:rPr>
          <w:rFonts w:hint="eastAsia"/>
          <w:szCs w:val="24"/>
        </w:rPr>
        <w:t>。</w:t>
      </w:r>
    </w:p>
    <w:p>
      <w:pPr>
        <w:pStyle w:val="6"/>
        <w:rPr>
          <w:rFonts w:eastAsia="宋体"/>
        </w:rPr>
      </w:pPr>
      <w:r>
        <w:rPr>
          <w:rFonts w:eastAsia="宋体"/>
        </w:rPr>
        <w:t>6.1.4.</w:t>
      </w:r>
      <w:r>
        <w:rPr>
          <w:rFonts w:hint="eastAsia" w:eastAsia="宋体"/>
        </w:rPr>
        <w:t>14As预测结果</w:t>
      </w:r>
    </w:p>
    <w:p>
      <w:pPr>
        <w:adjustRightInd w:val="0"/>
        <w:snapToGrid w:val="0"/>
        <w:ind w:firstLine="480"/>
        <w:rPr>
          <w:rFonts w:asciiTheme="minorHAnsi" w:hAnsiTheme="minorHAnsi" w:eastAsiaTheme="minorEastAsia"/>
        </w:rPr>
      </w:pPr>
      <w:r>
        <w:rPr>
          <w:rFonts w:hint="eastAsia"/>
        </w:rPr>
        <w:t>本次评价分别预测了项目运营后所排污染物As在不同气象条件下对环境空气保护目标、现状监测点、网格点的地面浓度贡献值及评价范围内的最大地面浓度，最大值预测结果见表</w:t>
      </w:r>
      <w:r>
        <w:t>6.1</w:t>
      </w:r>
      <w:r>
        <w:rPr>
          <w:rFonts w:hint="eastAsia"/>
        </w:rPr>
        <w:t>—14，As年均浓度分布图见图</w:t>
      </w:r>
      <w:r>
        <w:t>6.1</w:t>
      </w:r>
      <w:r>
        <w:rPr>
          <w:rFonts w:hint="eastAsia"/>
        </w:rPr>
        <w:t>—19。</w:t>
      </w:r>
    </w:p>
    <w:p>
      <w:pPr>
        <w:ind w:firstLine="480"/>
        <w:rPr>
          <w:rFonts w:asciiTheme="minorEastAsia" w:hAnsiTheme="minorEastAsia" w:eastAsiaTheme="minorEastAsia"/>
          <w:szCs w:val="24"/>
        </w:rPr>
      </w:pPr>
      <w:r>
        <w:rPr>
          <w:rFonts w:hint="eastAsia"/>
        </w:rPr>
        <w:t>由预测结果可知，项目运营后所排污染物As对周围环境影响较小，评价范围内的环境敏感点及网格点均未出现超标现象</w:t>
      </w:r>
      <w:r>
        <w:rPr>
          <w:rFonts w:hint="eastAsia"/>
          <w:szCs w:val="24"/>
        </w:rPr>
        <w:t>。最大小时浓度出现在网格点(</w:t>
      </w:r>
      <w:r>
        <w:rPr>
          <w:rFonts w:cs="宋体"/>
          <w:color w:val="000000"/>
          <w:szCs w:val="24"/>
        </w:rPr>
        <w:t>1516,95</w:t>
      </w:r>
      <w:r>
        <w:rPr>
          <w:szCs w:val="24"/>
        </w:rPr>
        <w:t>)</w:t>
      </w:r>
      <w:r>
        <w:rPr>
          <w:rFonts w:hint="eastAsia"/>
          <w:szCs w:val="24"/>
        </w:rPr>
        <w:t>处，其浓度叠加背景值后占标准值的38.5</w:t>
      </w:r>
      <w:r>
        <w:rPr>
          <w:szCs w:val="24"/>
        </w:rPr>
        <w:t>%</w:t>
      </w:r>
      <w:r>
        <w:rPr>
          <w:rFonts w:hint="eastAsia"/>
          <w:szCs w:val="24"/>
        </w:rPr>
        <w:t>。</w:t>
      </w: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type w:val="continuous"/>
          <w:pgSz w:w="11906" w:h="16838"/>
          <w:pgMar w:top="1418" w:right="1134" w:bottom="1418" w:left="1134" w:header="851" w:footer="850" w:gutter="0"/>
          <w:cols w:space="425" w:num="1"/>
          <w:docGrid w:type="lines" w:linePitch="326" w:charSpace="0"/>
        </w:sectPr>
      </w:pPr>
    </w:p>
    <w:p>
      <w:pPr>
        <w:pStyle w:val="161"/>
        <w:ind w:firstLine="1560" w:firstLineChars="650"/>
      </w:pPr>
      <w:r>
        <w:rPr>
          <w:rFonts w:hint="eastAsia"/>
        </w:rPr>
        <w:t>表</w:t>
      </w:r>
      <w:r>
        <w:t>6.1</w:t>
      </w:r>
      <w:r>
        <w:rPr>
          <w:rFonts w:hint="eastAsia"/>
        </w:rPr>
        <w:t>—</w:t>
      </w:r>
      <w:r>
        <w:t>1        SO</w:t>
      </w:r>
      <w:r>
        <w:rPr>
          <w:vertAlign w:val="subscript"/>
        </w:rPr>
        <w:t>2</w:t>
      </w:r>
      <w:r>
        <w:rPr>
          <w:rFonts w:hint="eastAsia"/>
        </w:rPr>
        <w:t>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567"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地面高程(m)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浓度增量(mg/m</w:t>
            </w:r>
            <w:r>
              <w:rPr>
                <w:rFonts w:cs="Times New Roman"/>
                <w:color w:val="000000"/>
                <w:kern w:val="0"/>
                <w:sz w:val="18"/>
                <w:szCs w:val="18"/>
                <w:vertAlign w:val="superscript"/>
              </w:rPr>
              <w:t>3</w:t>
            </w:r>
            <w:r>
              <w:rPr>
                <w:rFonts w:cs="Times New Roman"/>
                <w:color w:val="000000"/>
                <w:kern w:val="0"/>
                <w:sz w:val="18"/>
                <w:szCs w:val="18"/>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背景浓度(mg/m</w:t>
            </w:r>
            <w:r>
              <w:rPr>
                <w:rFonts w:cs="Times New Roman"/>
                <w:color w:val="000000"/>
                <w:kern w:val="0"/>
                <w:sz w:val="18"/>
                <w:szCs w:val="18"/>
                <w:vertAlign w:val="superscript"/>
              </w:rPr>
              <w:t>3</w:t>
            </w:r>
            <w:r>
              <w:rPr>
                <w:rFonts w:cs="Times New Roman"/>
                <w:color w:val="000000"/>
                <w:kern w:val="0"/>
                <w:sz w:val="18"/>
                <w:szCs w:val="18"/>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叠加背景后的浓度(mg/m</w:t>
            </w:r>
            <w:r>
              <w:rPr>
                <w:rFonts w:cs="Times New Roman"/>
                <w:color w:val="000000"/>
                <w:kern w:val="0"/>
                <w:sz w:val="18"/>
                <w:szCs w:val="18"/>
                <w:vertAlign w:val="superscript"/>
              </w:rPr>
              <w:t>3</w:t>
            </w:r>
            <w:r>
              <w:rPr>
                <w:rFonts w:cs="Times New Roman"/>
                <w:color w:val="000000"/>
                <w:kern w:val="0"/>
                <w:sz w:val="18"/>
                <w:szCs w:val="18"/>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评价标准(mg/m</w:t>
            </w:r>
            <w:r>
              <w:rPr>
                <w:rFonts w:cs="Times New Roman"/>
                <w:color w:val="000000"/>
                <w:kern w:val="0"/>
                <w:sz w:val="18"/>
                <w:szCs w:val="18"/>
                <w:vertAlign w:val="superscript"/>
              </w:rPr>
              <w:t>3</w:t>
            </w:r>
            <w:r>
              <w:rPr>
                <w:rFonts w:cs="Times New Roman"/>
                <w:color w:val="000000"/>
                <w:kern w:val="0"/>
                <w:sz w:val="18"/>
                <w:szCs w:val="18"/>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占标率%</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77"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日平均</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2.37E-05</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170124</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1.50E-01</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15.35</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255"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2.82E-04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1.07E-02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6.00E-02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17.75</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35"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2</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color w:val="000000"/>
                <w:sz w:val="21"/>
                <w:szCs w:val="18"/>
              </w:rPr>
            </w:pPr>
            <w:r>
              <w:rPr>
                <w:rFonts w:cs="Times New Roman"/>
                <w:color w:val="000000"/>
                <w:sz w:val="21"/>
                <w:szCs w:val="18"/>
              </w:rPr>
              <w:t>监测点1</w:t>
            </w:r>
          </w:p>
        </w:tc>
        <w:tc>
          <w:tcPr>
            <w:tcW w:w="1240"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-13882</w:t>
            </w:r>
            <w:r>
              <w:rPr>
                <w:rFonts w:hint="eastAsia" w:cs="Times New Roman"/>
                <w:color w:val="000000"/>
                <w:kern w:val="0"/>
                <w:sz w:val="18"/>
                <w:szCs w:val="18"/>
              </w:rPr>
              <w:t>，</w:t>
            </w:r>
            <w:r>
              <w:rPr>
                <w:rFonts w:cs="Times New Roman"/>
                <w:color w:val="000000"/>
                <w:kern w:val="0"/>
                <w:sz w:val="18"/>
                <w:szCs w:val="18"/>
              </w:rPr>
              <w:t>085</w:t>
            </w:r>
          </w:p>
        </w:tc>
        <w:tc>
          <w:tcPr>
            <w:tcW w:w="1104"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Times New Roman" w:eastAsiaTheme="minorEastAsia"/>
                <w:color w:val="000000"/>
                <w:sz w:val="18"/>
                <w:szCs w:val="18"/>
              </w:rPr>
            </w:pPr>
            <w:r>
              <w:rPr>
                <w:rFonts w:cs="Times New Roman"/>
                <w:color w:val="000000"/>
                <w:kern w:val="0"/>
                <w:sz w:val="18"/>
                <w:szCs w:val="18"/>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1.14E-05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170124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15.34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93"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4.75E-05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6.00E-02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17.36</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90" w:hRule="atLeast"/>
          <w:jc w:val="center"/>
        </w:trPr>
        <w:tc>
          <w:tcPr>
            <w:tcW w:w="52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3</w:t>
            </w:r>
          </w:p>
        </w:tc>
        <w:tc>
          <w:tcPr>
            <w:tcW w:w="163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color w:val="000000"/>
                <w:sz w:val="21"/>
                <w:szCs w:val="18"/>
              </w:rPr>
            </w:pPr>
            <w:r>
              <w:rPr>
                <w:rFonts w:cs="Times New Roman"/>
                <w:color w:val="000000"/>
                <w:sz w:val="21"/>
                <w:szCs w:val="18"/>
              </w:rPr>
              <w:t>监测点2</w:t>
            </w:r>
          </w:p>
        </w:tc>
        <w:tc>
          <w:tcPr>
            <w:tcW w:w="1240"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-1166</w:t>
            </w:r>
            <w:r>
              <w:rPr>
                <w:rFonts w:hint="eastAsia" w:cs="Times New Roman" w:eastAsiaTheme="minorEastAsia"/>
                <w:color w:val="000000"/>
                <w:sz w:val="18"/>
                <w:szCs w:val="18"/>
              </w:rPr>
              <w:t>，</w:t>
            </w:r>
            <w:r>
              <w:rPr>
                <w:rFonts w:cs="Times New Roman" w:eastAsiaTheme="minorEastAsia"/>
                <w:color w:val="000000"/>
                <w:sz w:val="18"/>
                <w:szCs w:val="18"/>
              </w:rPr>
              <w:t>797</w:t>
            </w:r>
          </w:p>
        </w:tc>
        <w:tc>
          <w:tcPr>
            <w:tcW w:w="1104"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2.04E-04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170124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2.32E-02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15.47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409" w:hRule="atLeast"/>
          <w:jc w:val="center"/>
        </w:trPr>
        <w:tc>
          <w:tcPr>
            <w:tcW w:w="52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63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240"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4"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3.60E-04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1.07E-02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6.00E-02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17.88</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401" w:hRule="atLeast"/>
          <w:jc w:val="center"/>
        </w:trPr>
        <w:tc>
          <w:tcPr>
            <w:tcW w:w="52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4</w:t>
            </w:r>
          </w:p>
        </w:tc>
        <w:tc>
          <w:tcPr>
            <w:tcW w:w="163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color w:val="000000"/>
                <w:sz w:val="21"/>
                <w:szCs w:val="18"/>
              </w:rPr>
            </w:pPr>
            <w:r>
              <w:rPr>
                <w:rFonts w:cs="Times New Roman"/>
                <w:color w:val="000000"/>
                <w:sz w:val="21"/>
                <w:szCs w:val="18"/>
              </w:rPr>
              <w:t>监测点3</w:t>
            </w:r>
          </w:p>
        </w:tc>
        <w:tc>
          <w:tcPr>
            <w:tcW w:w="1240"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971</w:t>
            </w:r>
            <w:r>
              <w:rPr>
                <w:rFonts w:cs="Times New Roman" w:hAnsiTheme="minorHAnsi" w:eastAsiaTheme="minorEastAsia"/>
                <w:color w:val="000000"/>
                <w:sz w:val="18"/>
                <w:szCs w:val="18"/>
              </w:rPr>
              <w:t>，</w:t>
            </w:r>
            <w:r>
              <w:rPr>
                <w:rFonts w:cs="Times New Roman" w:eastAsiaTheme="minorEastAsia"/>
                <w:color w:val="000000"/>
                <w:sz w:val="18"/>
                <w:szCs w:val="18"/>
              </w:rPr>
              <w:t>-1743</w:t>
            </w:r>
          </w:p>
        </w:tc>
        <w:tc>
          <w:tcPr>
            <w:tcW w:w="1104"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8.60E-05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170124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2.31E-02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15.39</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94" w:hRule="atLeast"/>
          <w:jc w:val="center"/>
        </w:trPr>
        <w:tc>
          <w:tcPr>
            <w:tcW w:w="52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63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240"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4"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1.40E-04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1.05E-02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6.00E-02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17.52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400" w:hRule="atLeast"/>
          <w:jc w:val="center"/>
        </w:trPr>
        <w:tc>
          <w:tcPr>
            <w:tcW w:w="52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5</w:t>
            </w:r>
          </w:p>
        </w:tc>
        <w:tc>
          <w:tcPr>
            <w:tcW w:w="163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color w:val="000000"/>
                <w:sz w:val="21"/>
                <w:szCs w:val="18"/>
              </w:rPr>
            </w:pPr>
            <w:r>
              <w:rPr>
                <w:rFonts w:cs="Times New Roman"/>
                <w:color w:val="000000"/>
                <w:sz w:val="21"/>
                <w:szCs w:val="18"/>
              </w:rPr>
              <w:t>监测点4</w:t>
            </w:r>
          </w:p>
        </w:tc>
        <w:tc>
          <w:tcPr>
            <w:tcW w:w="1240"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1235</w:t>
            </w:r>
            <w:r>
              <w:rPr>
                <w:rFonts w:hint="eastAsia" w:cs="Times New Roman" w:eastAsiaTheme="minorEastAsia"/>
                <w:color w:val="000000"/>
                <w:sz w:val="18"/>
                <w:szCs w:val="18"/>
              </w:rPr>
              <w:t>，</w:t>
            </w:r>
            <w:r>
              <w:rPr>
                <w:rFonts w:cs="Times New Roman" w:eastAsiaTheme="minorEastAsia"/>
                <w:color w:val="000000"/>
                <w:sz w:val="18"/>
                <w:szCs w:val="18"/>
              </w:rPr>
              <w:t>109</w:t>
            </w:r>
          </w:p>
        </w:tc>
        <w:tc>
          <w:tcPr>
            <w:tcW w:w="1104"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3.37E-03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170124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2.64E-02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17.58</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263" w:hRule="atLeast"/>
          <w:jc w:val="center"/>
        </w:trPr>
        <w:tc>
          <w:tcPr>
            <w:tcW w:w="52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63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240"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4"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2.43E-03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1.28E-02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6.00E-02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21.34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6</w:t>
            </w:r>
          </w:p>
        </w:tc>
        <w:tc>
          <w:tcPr>
            <w:tcW w:w="163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color w:val="000000"/>
                <w:sz w:val="21"/>
                <w:szCs w:val="18"/>
              </w:rPr>
            </w:pPr>
            <w:r>
              <w:rPr>
                <w:rFonts w:cs="Times New Roman"/>
                <w:color w:val="000000"/>
                <w:sz w:val="21"/>
                <w:szCs w:val="18"/>
              </w:rPr>
              <w:t>监测点5</w:t>
            </w:r>
          </w:p>
        </w:tc>
        <w:tc>
          <w:tcPr>
            <w:tcW w:w="1240"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30351</w:t>
            </w:r>
            <w:r>
              <w:rPr>
                <w:rFonts w:hint="eastAsia" w:cs="Times New Roman" w:eastAsiaTheme="minorEastAsia"/>
                <w:color w:val="000000"/>
                <w:sz w:val="18"/>
                <w:szCs w:val="18"/>
              </w:rPr>
              <w:t>，</w:t>
            </w:r>
            <w:r>
              <w:rPr>
                <w:rFonts w:cs="Times New Roman" w:eastAsiaTheme="minorEastAsia"/>
                <w:color w:val="000000"/>
                <w:sz w:val="18"/>
                <w:szCs w:val="18"/>
              </w:rPr>
              <w:t>683</w:t>
            </w:r>
          </w:p>
        </w:tc>
        <w:tc>
          <w:tcPr>
            <w:tcW w:w="1104"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5.94E-05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170124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2.31E-02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15.37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402" w:hRule="atLeast"/>
          <w:jc w:val="center"/>
        </w:trPr>
        <w:tc>
          <w:tcPr>
            <w:tcW w:w="52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63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240"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4"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4.07E-05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6.00E-02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17.35</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252" w:hRule="atLeast"/>
          <w:jc w:val="center"/>
        </w:trPr>
        <w:tc>
          <w:tcPr>
            <w:tcW w:w="52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7</w:t>
            </w:r>
          </w:p>
        </w:tc>
        <w:tc>
          <w:tcPr>
            <w:tcW w:w="163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color w:val="000000"/>
                <w:sz w:val="21"/>
                <w:szCs w:val="18"/>
              </w:rPr>
            </w:pPr>
            <w:r>
              <w:rPr>
                <w:rFonts w:cs="Times New Roman"/>
                <w:color w:val="000000"/>
                <w:sz w:val="21"/>
                <w:szCs w:val="18"/>
              </w:rPr>
              <w:t>监测点6</w:t>
            </w:r>
          </w:p>
        </w:tc>
        <w:tc>
          <w:tcPr>
            <w:tcW w:w="1240"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3899</w:t>
            </w:r>
            <w:r>
              <w:rPr>
                <w:rFonts w:cs="Times New Roman" w:hAnsiTheme="minorHAnsi" w:eastAsiaTheme="minorEastAsia"/>
                <w:color w:val="000000"/>
                <w:sz w:val="18"/>
                <w:szCs w:val="18"/>
              </w:rPr>
              <w:t>，</w:t>
            </w:r>
            <w:r>
              <w:rPr>
                <w:rFonts w:cs="Times New Roman" w:eastAsiaTheme="minorEastAsia"/>
                <w:color w:val="000000"/>
                <w:sz w:val="18"/>
                <w:szCs w:val="18"/>
              </w:rPr>
              <w:t>-923</w:t>
            </w:r>
          </w:p>
        </w:tc>
        <w:tc>
          <w:tcPr>
            <w:tcW w:w="1104"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1.60E-04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170124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2.32E-02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15.44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28" w:hRule="atLeast"/>
          <w:jc w:val="center"/>
        </w:trPr>
        <w:tc>
          <w:tcPr>
            <w:tcW w:w="52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637"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240"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4" w:type="dxa"/>
            <w:vMerge w:val="continue"/>
            <w:tcBorders>
              <w:left w:val="dotted" w:color="auto" w:sz="4" w:space="0"/>
              <w:bottom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3.24E-04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1.07E-02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6.00E-02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17.82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90" w:hRule="atLeast"/>
          <w:jc w:val="center"/>
        </w:trPr>
        <w:tc>
          <w:tcPr>
            <w:tcW w:w="52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8</w:t>
            </w:r>
          </w:p>
        </w:tc>
        <w:tc>
          <w:tcPr>
            <w:tcW w:w="1637"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color w:val="000000"/>
                <w:sz w:val="21"/>
                <w:szCs w:val="18"/>
              </w:rPr>
            </w:pPr>
            <w:r>
              <w:rPr>
                <w:rFonts w:cs="Times New Roman"/>
                <w:color w:val="000000"/>
                <w:sz w:val="21"/>
                <w:szCs w:val="18"/>
              </w:rPr>
              <w:t>网格点</w:t>
            </w:r>
          </w:p>
        </w:tc>
        <w:tc>
          <w:tcPr>
            <w:tcW w:w="1240"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1427</w:t>
            </w:r>
            <w:r>
              <w:rPr>
                <w:rFonts w:hint="eastAsia" w:cs="Times New Roman" w:eastAsiaTheme="minorEastAsia"/>
                <w:color w:val="000000"/>
                <w:sz w:val="18"/>
                <w:szCs w:val="18"/>
              </w:rPr>
              <w:t>，</w:t>
            </w:r>
            <w:r>
              <w:rPr>
                <w:rFonts w:cs="Times New Roman" w:eastAsiaTheme="minorEastAsia"/>
                <w:color w:val="000000"/>
                <w:sz w:val="18"/>
                <w:szCs w:val="18"/>
              </w:rPr>
              <w:t>95</w:t>
            </w:r>
          </w:p>
        </w:tc>
        <w:tc>
          <w:tcPr>
            <w:tcW w:w="1104" w:type="dxa"/>
            <w:vMerge w:val="restart"/>
            <w:tcBorders>
              <w:top w:val="dotted" w:color="auto" w:sz="4" w:space="0"/>
              <w:left w:val="dotted" w:color="auto" w:sz="4"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r>
              <w:rPr>
                <w:rFonts w:cs="Times New Roman" w:eastAsiaTheme="minorEastAsia"/>
                <w:color w:val="000000"/>
                <w:sz w:val="18"/>
                <w:szCs w:val="18"/>
              </w:rPr>
              <w:t>1317.70</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5.26E-03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170124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2.30E-02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2.83E-02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18.84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409" w:hRule="atLeast"/>
          <w:jc w:val="center"/>
        </w:trPr>
        <w:tc>
          <w:tcPr>
            <w:tcW w:w="527" w:type="dxa"/>
            <w:vMerge w:val="continue"/>
            <w:tcBorders>
              <w:left w:val="dotted" w:color="auto" w:sz="4" w:space="0"/>
              <w:bottom w:val="single" w:color="auto" w:sz="12"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637" w:type="dxa"/>
            <w:vMerge w:val="continue"/>
            <w:tcBorders>
              <w:left w:val="dotted" w:color="auto" w:sz="4" w:space="0"/>
              <w:bottom w:val="single" w:color="auto" w:sz="12"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240" w:type="dxa"/>
            <w:vMerge w:val="continue"/>
            <w:tcBorders>
              <w:left w:val="dotted" w:color="auto" w:sz="4" w:space="0"/>
              <w:bottom w:val="single" w:color="auto" w:sz="12"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4" w:type="dxa"/>
            <w:vMerge w:val="continue"/>
            <w:tcBorders>
              <w:left w:val="dotted" w:color="auto" w:sz="4" w:space="0"/>
              <w:bottom w:val="single" w:color="auto" w:sz="12" w:space="0"/>
              <w:right w:val="dotted" w:color="auto" w:sz="4" w:space="0"/>
            </w:tcBorders>
            <w:vAlign w:val="center"/>
          </w:tcPr>
          <w:p>
            <w:pPr>
              <w:widowControl/>
              <w:spacing w:line="240" w:lineRule="atLeast"/>
              <w:ind w:firstLine="0" w:firstLineChars="0"/>
              <w:jc w:val="center"/>
              <w:rPr>
                <w:rFonts w:cs="Times New Roman" w:eastAsiaTheme="minorEastAsia"/>
                <w:color w:val="000000"/>
                <w:sz w:val="18"/>
                <w:szCs w:val="18"/>
              </w:rPr>
            </w:pP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年平均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2.70E-03</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平均值</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1.04E-02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1.31E-02</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6.00E-02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21.79</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Times New Roman"/>
                <w:color w:val="000000"/>
                <w:sz w:val="18"/>
                <w:szCs w:val="18"/>
              </w:rPr>
            </w:pPr>
            <w:r>
              <w:rPr>
                <w:rFonts w:cs="Times New Roman"/>
                <w:color w:val="000000"/>
                <w:sz w:val="18"/>
                <w:szCs w:val="18"/>
              </w:rPr>
              <w:t>达标</w:t>
            </w:r>
          </w:p>
        </w:tc>
      </w:tr>
    </w:tbl>
    <w:p>
      <w:pPr>
        <w:adjustRightInd w:val="0"/>
        <w:snapToGrid w:val="0"/>
        <w:spacing w:line="500" w:lineRule="exact"/>
        <w:ind w:firstLine="480"/>
        <w:jc w:val="center"/>
      </w:pPr>
    </w:p>
    <w:p>
      <w:pPr>
        <w:pStyle w:val="161"/>
        <w:ind w:firstLine="480"/>
      </w:pPr>
    </w:p>
    <w:p>
      <w:pPr>
        <w:pStyle w:val="161"/>
        <w:ind w:firstLine="480"/>
      </w:pPr>
    </w:p>
    <w:p>
      <w:pPr>
        <w:pStyle w:val="161"/>
        <w:ind w:firstLine="1800" w:firstLineChars="750"/>
        <w:rPr>
          <w:szCs w:val="15"/>
        </w:rPr>
      </w:pPr>
      <w:r>
        <w:rPr>
          <w:rFonts w:hint="eastAsia"/>
        </w:rPr>
        <w:t>表</w:t>
      </w:r>
      <w:r>
        <w:t>6.1</w:t>
      </w:r>
      <w:r>
        <w:rPr>
          <w:rFonts w:hint="eastAsia"/>
        </w:rPr>
        <w:t>—</w:t>
      </w:r>
      <w:r>
        <w:t>2      NO</w:t>
      </w:r>
      <w:r>
        <w:rPr>
          <w:vertAlign w:val="subscript"/>
        </w:rPr>
        <w:t>x</w:t>
      </w:r>
      <w:r>
        <w:rPr>
          <w:rFonts w:hint="eastAsia"/>
        </w:rPr>
        <w:t>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9.52E-04</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171008</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6.00E-03</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6.95E-03</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1.00E-01</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6.95E+00</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1.41E-04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1.07E-02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1.09E-02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2.17E+01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5.49E-04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170529</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9.55E-03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9.55E+00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2.36E-05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1.07E-02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1.08E-02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2.15E+01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9.44E-04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171004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1.09E-02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1.09E+01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1.66E-04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1.07E-02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1.09E-02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2.18E+01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7.38E-04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170423</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9.74E-03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9.74E+00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7.27E-05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1.07E-02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1.08E-02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2.16E+01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170717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1.08E-03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1.07E-02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1.18E-02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2.36E+01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4.22E-04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170415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1.04E-02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1.04E+01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2.06E-05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1.07E-02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1.07E-02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2.15E+01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1.30E-03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171229</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2.70E-02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2.83E-02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2.83E+01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1.07E-02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1.09E-02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2.18E+01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4987,647</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1339.8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4.60E-04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171214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3.40E-02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3.45E-02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3.45E+01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1249,164</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1317.8</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1.20E-03</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1.19E-02</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2.39E+01</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bl>
    <w:p>
      <w:pPr>
        <w:ind w:firstLine="480"/>
        <w:jc w:val="center"/>
        <w:rPr>
          <w:rFonts w:cs="Times New Roman"/>
          <w:szCs w:val="15"/>
        </w:rPr>
      </w:pPr>
    </w:p>
    <w:p>
      <w:pPr>
        <w:ind w:firstLine="480"/>
        <w:jc w:val="center"/>
        <w:rPr>
          <w:szCs w:val="15"/>
        </w:rPr>
      </w:pPr>
    </w:p>
    <w:p>
      <w:pPr>
        <w:ind w:firstLine="480"/>
        <w:rPr>
          <w:rFonts w:asciiTheme="minorEastAsia" w:hAnsiTheme="minorEastAsia" w:eastAsiaTheme="minorEastAsia"/>
          <w:szCs w:val="24"/>
        </w:rPr>
      </w:pPr>
    </w:p>
    <w:p>
      <w:pPr>
        <w:pStyle w:val="161"/>
        <w:ind w:firstLine="1200" w:firstLineChars="500"/>
      </w:pPr>
      <w:r>
        <w:rPr>
          <w:rFonts w:hint="eastAsia"/>
        </w:rPr>
        <w:t>表</w:t>
      </w:r>
      <w:r>
        <w:t>6.1</w:t>
      </w:r>
      <w:r>
        <w:rPr>
          <w:rFonts w:hint="eastAsia"/>
        </w:rPr>
        <w:t xml:space="preserve">—3                             </w:t>
      </w:r>
      <w:r>
        <w:t xml:space="preserve">  PM</w:t>
      </w:r>
      <w:r>
        <w:rPr>
          <w:vertAlign w:val="subscript"/>
        </w:rPr>
        <w:t>10</w:t>
      </w:r>
      <w:r>
        <w:rPr>
          <w:rFonts w:hint="eastAsia"/>
        </w:rPr>
        <w:t>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7.21E-03</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171008</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3.90E-02</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4.62E-02</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1.50E-01</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30.8</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9.76E-04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9.40E-02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9.50E-02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1.36E+02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4.17E-03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170529</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4.80E-02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5.22E-02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3.48E+01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9.40E-02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9.42E-02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1.35E+02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7.13E-03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171004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4.80E-02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5.51E-02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3.68E+01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9.40E-02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9.52E-02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1.36E+02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5.10E-03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170423</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5.80E-02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6.31E-02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4.21E+01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4.97E-04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9.40E-02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9.45E-02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1.35E+02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3.42E-02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170717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7.80E-02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1.12E-01</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7.48E+01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9.40E-02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1.03E-01</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1.47E+02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3.02E-03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170415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6.40E-02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6.70E-02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4.47E+01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9.40E-02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9.42E-02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1.35E+02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9.61E-03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171229</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7.60E-02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8.56E-02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5.71E+01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1.15E-03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9.40E-02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9.52E-02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7.00E-02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1.36E+02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5343,3683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1357.6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170316</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7.80E-01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7.81E-01</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5.21E+02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1249,164</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1317.8</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1.02E-02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9.40E-02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1.04E-01</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7.00E-02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1.49E+02</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超标</w:t>
            </w:r>
          </w:p>
        </w:tc>
      </w:tr>
    </w:tbl>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pStyle w:val="739"/>
        <w:ind w:firstLine="1756" w:firstLineChars="732"/>
      </w:pPr>
      <w:r>
        <w:rPr>
          <w:rFonts w:hint="eastAsia"/>
        </w:rPr>
        <w:t>表</w:t>
      </w:r>
      <w:r>
        <w:t>6.1</w:t>
      </w:r>
      <w:r>
        <w:rPr>
          <w:rFonts w:hint="eastAsia"/>
        </w:rPr>
        <w:t xml:space="preserve">—4                                        </w:t>
      </w:r>
      <w:r>
        <w:t>CO</w:t>
      </w:r>
      <w:r>
        <w:rPr>
          <w:rFonts w:hint="eastAsia"/>
        </w:rPr>
        <w:t>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170305</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8.00E-04</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1.99E-03</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4.00E+00</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1.56E-04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7.58E-04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170727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1.41E-03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2.55E-05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6.27E-04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8.14E-04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170124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1.81E-03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7.32E-04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171214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1.55E-03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9.16E-05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6.02E-04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6.93E-04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170830</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8.00E-04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4.23E-03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6.76E-04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6.02E-04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1.28E-03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8.21E-04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170801</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8.00E-04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1.62E-03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6.02E-04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6.26E-04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1.87E-03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171226</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2.67E-03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4.00E+00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7.00E-02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6.02E-04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8.27E-04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4.00E-02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1694,95</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1322.1</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1.60E-02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171014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0.42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1694,95</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1322.1</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2.51E-03</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6.02E-04</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3.12E-03</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2.00E+00</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0.16</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bl>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1440" w:firstLineChars="600"/>
        <w:rPr>
          <w:szCs w:val="15"/>
        </w:rPr>
      </w:pPr>
      <w:r>
        <w:rPr>
          <w:rFonts w:hint="eastAsia"/>
          <w:szCs w:val="15"/>
        </w:rPr>
        <w:t>表</w:t>
      </w:r>
      <w:r>
        <w:t>6.1</w:t>
      </w:r>
      <w:r>
        <w:rPr>
          <w:rFonts w:hint="eastAsia"/>
        </w:rPr>
        <w:t>—5</w:t>
      </w:r>
      <w:r>
        <w:rPr>
          <w:szCs w:val="15"/>
        </w:rPr>
        <w:t>TVOC</w:t>
      </w:r>
      <w:r>
        <w:rPr>
          <w:rFonts w:hint="eastAsia"/>
          <w:szCs w:val="15"/>
        </w:rPr>
        <w:t>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1</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rPr>
              <w:t>全年监测点</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1.31E+03</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2.54E-03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2.54E-03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2.10E-01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1.67E-03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1.67E-03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1.40E-01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2.29E-03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2.29E-03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1.90E-01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2.87E-03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2.87E-03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2.40E-01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8.95E-03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8.95E-03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7.50E-01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1.65E-03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1.65E-03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1.40E-01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3.39E-03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3.39E-03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2.80E-01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1516,95</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1.32E+03</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w:t>
            </w:r>
            <w:r>
              <w:rPr>
                <w:rFonts w:hint="eastAsia" w:cs="宋体"/>
                <w:color w:val="000000"/>
                <w:sz w:val="21"/>
                <w:szCs w:val="22"/>
              </w:rPr>
              <w:t>小时</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3.98E-02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3.98E-02</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1.20E+00</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3.32E+00</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bl>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960" w:firstLineChars="400"/>
        <w:rPr>
          <w:szCs w:val="15"/>
        </w:rPr>
      </w:pPr>
      <w:r>
        <w:rPr>
          <w:rFonts w:hint="eastAsia"/>
          <w:szCs w:val="15"/>
        </w:rPr>
        <w:t>表</w:t>
      </w:r>
      <w:r>
        <w:t>6.1</w:t>
      </w:r>
      <w:r>
        <w:rPr>
          <w:rFonts w:hint="eastAsia"/>
        </w:rPr>
        <w:t xml:space="preserve">—6                                             </w:t>
      </w:r>
      <w:r>
        <w:rPr>
          <w:rFonts w:hint="eastAsia"/>
          <w:szCs w:val="15"/>
        </w:rPr>
        <w:t>Pb预测结果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1.07E-04</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3.50E-07</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1.08E-04</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3.00E-03</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3.59E+00</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1.41E-06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1.76E-06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8.52E-05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2.84E+00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2.40E-07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5.90E-07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4.37E+00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2.15E-06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4.30E-01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1.56E-04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1.56E-04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5.21E+00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7.00E-07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1.05E-06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2.10E-01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1.65E-04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5.52E+00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1.22E-05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1.25E-05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2.50E+00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7.85E-05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2.62E+00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2.00E-07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5.50E-07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1.34E-04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1.35E-04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4.49E+00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1.62E-06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1.97E-06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3.90E-01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1516,95</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3.23E-04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3.24E-04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1.08E+01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1249,164</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1317.8</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3.50E-07</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1.39E-05</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5.00E-04</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2.77E+00</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bl>
    <w:p>
      <w:pPr>
        <w:ind w:firstLine="480"/>
        <w:jc w:val="center"/>
        <w:rPr>
          <w:rFonts w:cs="Times New Roman"/>
          <w:szCs w:val="15"/>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1560" w:firstLineChars="650"/>
        <w:rPr>
          <w:szCs w:val="15"/>
        </w:rPr>
      </w:pPr>
      <w:r>
        <w:rPr>
          <w:rFonts w:hint="eastAsia"/>
          <w:szCs w:val="15"/>
        </w:rPr>
        <w:t>表</w:t>
      </w:r>
      <w:r>
        <w:t>6.1</w:t>
      </w:r>
      <w:r>
        <w:rPr>
          <w:rFonts w:hint="eastAsia"/>
        </w:rPr>
        <w:t xml:space="preserve">—7                              </w:t>
      </w:r>
      <w:r>
        <w:rPr>
          <w:rFonts w:hint="eastAsia"/>
          <w:szCs w:val="15"/>
        </w:rPr>
        <w:t>硫化氢预测结果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1</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rPr>
              <w:t>全年监测点</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1.31E+03</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2.08E-04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2.17E-04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2.17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6.10E-05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7.00E-05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1.75E-04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1.84E-04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1.84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2.17E-04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2.26E-04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2.26</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1.02E-03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1.03E-03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10.3</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1.11E-04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1.11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3.17E-04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3.26E-04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3.26</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1783,26</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1319</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3.34E-03</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9.00E-06</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3.35E-03</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33.5</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bl>
    <w:p>
      <w:pPr>
        <w:ind w:firstLine="480"/>
        <w:jc w:val="center"/>
        <w:rPr>
          <w:rFonts w:cs="Times New Roman"/>
          <w:szCs w:val="15"/>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1200" w:firstLineChars="500"/>
        <w:rPr>
          <w:szCs w:val="15"/>
        </w:rPr>
      </w:pPr>
      <w:r>
        <w:rPr>
          <w:rFonts w:hint="eastAsia"/>
          <w:szCs w:val="15"/>
        </w:rPr>
        <w:t>表</w:t>
      </w:r>
      <w:r>
        <w:t>6.1</w:t>
      </w:r>
      <w:r>
        <w:rPr>
          <w:rFonts w:hint="eastAsia"/>
        </w:rPr>
        <w:t xml:space="preserve">—8                                      </w:t>
      </w:r>
      <w:r>
        <w:rPr>
          <w:rFonts w:hint="eastAsia"/>
          <w:szCs w:val="15"/>
        </w:rPr>
        <w:t>氨预测结果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1</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rPr>
              <w:t>全年监测点</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1.31E+03</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1.63E-03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1.72E-03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0.86</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1.29E-03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0.64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1.42E-03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1.51E-03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0.76</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1.80E-03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0.9</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5.18E-03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5.27E-03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2.63</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1.46E-03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1.55E-03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0.77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2.34E-03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2.43E-03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1783,26</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1319</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9.00E-05</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1.78E-02</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8.89</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bl>
    <w:p>
      <w:pPr>
        <w:ind w:firstLine="480"/>
        <w:jc w:val="center"/>
        <w:rPr>
          <w:rFonts w:cs="Times New Roman"/>
          <w:szCs w:val="15"/>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960" w:firstLineChars="400"/>
        <w:rPr>
          <w:szCs w:val="15"/>
        </w:rPr>
      </w:pPr>
      <w:r>
        <w:rPr>
          <w:rFonts w:hint="eastAsia"/>
          <w:szCs w:val="15"/>
        </w:rPr>
        <w:t>表</w:t>
      </w:r>
      <w:r>
        <w:t>6.1</w:t>
      </w:r>
      <w:r>
        <w:rPr>
          <w:rFonts w:hint="eastAsia"/>
        </w:rPr>
        <w:t>—9</w:t>
      </w:r>
      <w:r>
        <w:rPr>
          <w:rFonts w:hint="eastAsia"/>
          <w:szCs w:val="15"/>
        </w:rPr>
        <w:t xml:space="preserve">                                        硫酸预测结果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1.16E-02</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17072405</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1.80E-05</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1.16E-02</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3.00E-01</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3.88</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1.44E-03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1.46E-03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1.46</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9.54E-03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9.55E-03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3.18</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3.97E-04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4.15E-04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0.42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9.29E-03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17,081,903</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9.31E-03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7.80E-04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7.98E-04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0.8</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1.14E-02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17,081,120</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1.14E-02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3.8</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8.49E-04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8.67E-04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0.87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2.23E-02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2.24E-02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7.45</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5.32E-03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5.34E-03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5.34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9.71E-03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17,071,024</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9.73E-03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3.24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5.27E-04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5.45E-04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0.54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1.30E-02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17,053,122</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1.30E-02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4.34</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9.12E-04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9.30E-04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0.93</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1427,-181</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5.11E-02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5.11E-02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0.17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1516,26</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8.02E-03</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1.71E+05</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1.80E-05</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8.04E-03</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1.00E-01</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8.04</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bl>
    <w:p>
      <w:pPr>
        <w:ind w:firstLine="480"/>
        <w:jc w:val="center"/>
        <w:rPr>
          <w:rFonts w:cs="Times New Roman"/>
          <w:szCs w:val="15"/>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1080" w:firstLineChars="450"/>
        <w:rPr>
          <w:szCs w:val="15"/>
        </w:rPr>
      </w:pPr>
      <w:r>
        <w:rPr>
          <w:rFonts w:hint="eastAsia"/>
          <w:szCs w:val="15"/>
        </w:rPr>
        <w:t>表</w:t>
      </w:r>
      <w:r>
        <w:t>6.1</w:t>
      </w:r>
      <w:r>
        <w:rPr>
          <w:rFonts w:hint="eastAsia"/>
        </w:rPr>
        <w:t xml:space="preserve">—10                                      </w:t>
      </w:r>
      <w:r>
        <w:rPr>
          <w:rFonts w:hint="eastAsia"/>
          <w:szCs w:val="15"/>
        </w:rPr>
        <w:t>HCl预测结果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6.21E-03</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1.40E-05</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6.23E-03</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12.45</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8.80E-04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8.94E-04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5.96</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5.14E-03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5.16E-03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10.32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2.20E-04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2.34E-04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1.56</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5.10E-03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5.11E-03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10.22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4.94E-04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5.08E-04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3.38</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6.11E-03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6.12E-03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1.23E+01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4.82E-04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4.96E-04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3.31E+00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1.13E-02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1.13E-02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2.26E+01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3.43E-03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3.44E-03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2.29E+01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5.27E-03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5.28E-03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1.06E+01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2.78E-04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2.92E-04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1.95E+00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7.04E-03</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7.05E-03</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1.41E+01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日平均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5.18E-04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1.71E+05</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5.32E-04</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1.50E-02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3.55E+00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1427,-181</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1316.9</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2.77E-02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2.77E-02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55.41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1338,164</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1318.7</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日平均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4.18E-03</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1.71E+05</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1.40E-05</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4.20E-03</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1.50E-02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27.99</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bl>
    <w:p>
      <w:pPr>
        <w:ind w:firstLine="480"/>
        <w:jc w:val="center"/>
        <w:rPr>
          <w:rFonts w:cs="Times New Roman"/>
          <w:szCs w:val="15"/>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1080" w:firstLineChars="450"/>
        <w:rPr>
          <w:szCs w:val="15"/>
        </w:rPr>
      </w:pPr>
      <w:r>
        <w:rPr>
          <w:rFonts w:hint="eastAsia"/>
          <w:szCs w:val="15"/>
        </w:rPr>
        <w:t>表</w:t>
      </w:r>
      <w:r>
        <w:t>6.1</w:t>
      </w:r>
      <w:r>
        <w:rPr>
          <w:rFonts w:hint="eastAsia"/>
        </w:rPr>
        <w:t xml:space="preserve">—11                                  </w:t>
      </w:r>
      <w:r>
        <w:rPr>
          <w:rFonts w:hint="eastAsia"/>
          <w:szCs w:val="15"/>
        </w:rPr>
        <w:t>氟化物预测结果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1</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rPr>
              <w:t>全年监测点</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1.31E+03</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1.24E-02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1.24E-02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1.03E-02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1.03E-02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1.06E-02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1.06E-02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1.28E-02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1.28E-02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6.00E-02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2.26E-02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2.26E-02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1.10E-01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1.05E-02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1.05E-02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1.41E-02</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1.41E-02</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1783,26</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1319</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5.54E-02</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17091518</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5.54E-02</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2.00E+01</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0.28</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bl>
    <w:p>
      <w:pPr>
        <w:ind w:firstLine="480"/>
        <w:jc w:val="center"/>
        <w:rPr>
          <w:rFonts w:cs="Times New Roman"/>
          <w:szCs w:val="15"/>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1200" w:firstLineChars="500"/>
        <w:rPr>
          <w:szCs w:val="15"/>
        </w:rPr>
      </w:pPr>
      <w:r>
        <w:rPr>
          <w:rFonts w:hint="eastAsia"/>
          <w:szCs w:val="15"/>
        </w:rPr>
        <w:t>表</w:t>
      </w:r>
      <w:r>
        <w:t>6.1</w:t>
      </w:r>
      <w:r>
        <w:rPr>
          <w:rFonts w:hint="eastAsia"/>
        </w:rPr>
        <w:t xml:space="preserve">—12                                           </w:t>
      </w:r>
      <w:r>
        <w:rPr>
          <w:rFonts w:hint="eastAsia"/>
          <w:szCs w:val="15"/>
        </w:rPr>
        <w:t>Hg预测结果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1.07E-05</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3.00E-09</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1.07E-05</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3.00E-04</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3.58</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1.43E-07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0.29</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8.49E-06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8.49E-06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2.83E+00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2.30E-08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4.36E+00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1.83E-07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3.70E-01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1.56E-05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1.56E-05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5.20E+00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7.30E-08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1.50E-01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1.65E-05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1.65E-05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5.50E+00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1.22E-06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1.22E-06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2.45E+00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7.82E-06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17041518</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7.82E-06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2.61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2.30E-08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0.05</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1.34E-05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17110809</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1.34E-05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4.48</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1.60E-07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1.63E-07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0.33</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1516,95</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3.23E-05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17102011</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3.00E-09</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3.23E-05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3.00E-04</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10.78</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1249,164</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1317.8</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1.35E-06</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3.00E-09</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1.35E-06</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5.00E-05</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2.71</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bl>
    <w:p>
      <w:pPr>
        <w:ind w:firstLine="480"/>
        <w:jc w:val="center"/>
        <w:rPr>
          <w:rFonts w:cs="Times New Roman"/>
          <w:szCs w:val="15"/>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1200" w:firstLineChars="500"/>
        <w:rPr>
          <w:szCs w:val="15"/>
        </w:rPr>
      </w:pPr>
      <w:r>
        <w:rPr>
          <w:rFonts w:hint="eastAsia"/>
          <w:szCs w:val="15"/>
        </w:rPr>
        <w:t>表</w:t>
      </w:r>
      <w:r>
        <w:t>6.1</w:t>
      </w:r>
      <w:r>
        <w:rPr>
          <w:rFonts w:hint="eastAsia"/>
        </w:rPr>
        <w:t>—13                               Cd</w:t>
      </w:r>
      <w:r>
        <w:rPr>
          <w:rFonts w:hint="eastAsia"/>
          <w:szCs w:val="15"/>
        </w:rPr>
        <w:t>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7.70E-07</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7.70E-07</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3.00E-05</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2.57E+00</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6.10E-07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6.10E-07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2.03E+00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9.30E-07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9.30E-07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3.10E+00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1.11E-06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1.11E-06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1.18E-06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1.18E-06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3.93</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1.8</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5.60E-07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5.60E-07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1.87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9.60E-07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9.60E-07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0.2</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1516,95</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2.31E-06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17102011</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2.31E-06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7.7</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1249,164</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1317.8</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1.00E-07</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1.00E-07</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5.00E-06</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2</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bl>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1200" w:firstLineChars="500"/>
        <w:rPr>
          <w:szCs w:val="15"/>
        </w:rPr>
      </w:pPr>
      <w:r>
        <w:rPr>
          <w:rFonts w:hint="eastAsia"/>
          <w:szCs w:val="15"/>
        </w:rPr>
        <w:t>表</w:t>
      </w:r>
      <w:r>
        <w:t>6.1</w:t>
      </w:r>
      <w:r>
        <w:rPr>
          <w:rFonts w:hint="eastAsia"/>
        </w:rPr>
        <w:t xml:space="preserve">—14                                      </w:t>
      </w:r>
      <w:r>
        <w:rPr>
          <w:rFonts w:hint="eastAsia"/>
          <w:szCs w:val="15"/>
        </w:rPr>
        <w:t>砷预测结果</w:t>
      </w:r>
    </w:p>
    <w:tbl>
      <w:tblPr>
        <w:tblStyle w:val="88"/>
        <w:tblW w:w="13464"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0" w:type="dxa"/>
          <w:bottom w:w="0" w:type="dxa"/>
          <w:right w:w="0" w:type="dxa"/>
        </w:tblCellMar>
      </w:tblPr>
      <w:tblGrid>
        <w:gridCol w:w="527"/>
        <w:gridCol w:w="1637"/>
        <w:gridCol w:w="1240"/>
        <w:gridCol w:w="1104"/>
        <w:gridCol w:w="1105"/>
        <w:gridCol w:w="1140"/>
        <w:gridCol w:w="1139"/>
        <w:gridCol w:w="1150"/>
        <w:gridCol w:w="1139"/>
        <w:gridCol w:w="1128"/>
        <w:gridCol w:w="1139"/>
        <w:gridCol w:w="101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序号</w:t>
            </w:r>
          </w:p>
        </w:tc>
        <w:tc>
          <w:tcPr>
            <w:tcW w:w="1637"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点名称</w:t>
            </w:r>
          </w:p>
        </w:tc>
        <w:tc>
          <w:tcPr>
            <w:tcW w:w="12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点坐标</w:t>
            </w:r>
          </w:p>
        </w:tc>
        <w:tc>
          <w:tcPr>
            <w:tcW w:w="1104"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地面高程</w:t>
            </w:r>
            <w:r>
              <w:rPr>
                <w:rFonts w:cs="宋体"/>
                <w:sz w:val="21"/>
              </w:rPr>
              <w:t>(m)</w:t>
            </w:r>
          </w:p>
        </w:tc>
        <w:tc>
          <w:tcPr>
            <w:tcW w:w="1105"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浓度类型</w:t>
            </w:r>
          </w:p>
        </w:tc>
        <w:tc>
          <w:tcPr>
            <w:tcW w:w="114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浓度增量</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出现时间</w:t>
            </w:r>
          </w:p>
        </w:tc>
        <w:tc>
          <w:tcPr>
            <w:tcW w:w="1150"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背景浓度</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叠加背景后的浓度</w:t>
            </w:r>
            <w:r>
              <w:rPr>
                <w:rFonts w:cs="宋体"/>
                <w:sz w:val="21"/>
              </w:rPr>
              <w:t>(mg/m</w:t>
            </w:r>
            <w:r>
              <w:rPr>
                <w:rFonts w:cs="宋体"/>
                <w:sz w:val="21"/>
                <w:vertAlign w:val="superscript"/>
              </w:rPr>
              <w:t>3</w:t>
            </w:r>
            <w:r>
              <w:rPr>
                <w:rFonts w:cs="宋体"/>
                <w:sz w:val="21"/>
              </w:rPr>
              <w:t>)</w:t>
            </w:r>
          </w:p>
        </w:tc>
        <w:tc>
          <w:tcPr>
            <w:tcW w:w="1128"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评价标准</w:t>
            </w:r>
            <w:r>
              <w:rPr>
                <w:rFonts w:cs="宋体"/>
                <w:sz w:val="21"/>
              </w:rPr>
              <w:t>(mg/m</w:t>
            </w:r>
            <w:r>
              <w:rPr>
                <w:rFonts w:cs="宋体"/>
                <w:sz w:val="21"/>
                <w:vertAlign w:val="superscript"/>
              </w:rPr>
              <w:t>3</w:t>
            </w:r>
            <w:r>
              <w:rPr>
                <w:rFonts w:cs="宋体"/>
                <w:sz w:val="21"/>
              </w:rPr>
              <w:t>)</w:t>
            </w:r>
          </w:p>
        </w:tc>
        <w:tc>
          <w:tcPr>
            <w:tcW w:w="1139"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占标率</w:t>
            </w:r>
            <w:r>
              <w:rPr>
                <w:rFonts w:cs="宋体"/>
                <w:sz w:val="21"/>
              </w:rPr>
              <w:t>%</w:t>
            </w:r>
          </w:p>
        </w:tc>
        <w:tc>
          <w:tcPr>
            <w:tcW w:w="1016" w:type="dxa"/>
            <w:tcBorders>
              <w:top w:val="single" w:color="auto" w:sz="12"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rPr>
              <w:t>是否超标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1</w:t>
            </w:r>
          </w:p>
        </w:tc>
        <w:tc>
          <w:tcPr>
            <w:tcW w:w="1637"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全年监测点</w:t>
            </w:r>
          </w:p>
        </w:tc>
        <w:tc>
          <w:tcPr>
            <w:tcW w:w="1240"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3006,-1603</w:t>
            </w:r>
          </w:p>
        </w:tc>
        <w:tc>
          <w:tcPr>
            <w:tcW w:w="1104" w:type="dxa"/>
            <w:vMerge w:val="restart"/>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1313.48</w:t>
            </w:r>
          </w:p>
        </w:tc>
        <w:tc>
          <w:tcPr>
            <w:tcW w:w="1105"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4.60E-06</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4.60E-06</w:t>
            </w:r>
          </w:p>
        </w:tc>
        <w:tc>
          <w:tcPr>
            <w:tcW w:w="1128"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3.60E-05</w:t>
            </w:r>
          </w:p>
        </w:tc>
        <w:tc>
          <w:tcPr>
            <w:tcW w:w="1139"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1.28E+01</w:t>
            </w:r>
          </w:p>
        </w:tc>
        <w:tc>
          <w:tcPr>
            <w:tcW w:w="1016" w:type="dxa"/>
            <w:tcBorders>
              <w:top w:val="single" w:color="auto" w:sz="12"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sz w:val="21"/>
              </w:rPr>
              <w:t>2</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1</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1388,2085</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1327.66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3.64E-06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3.64E-06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3.60E-05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1.01E+01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3</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监测点</w:t>
            </w:r>
            <w:r>
              <w:rPr>
                <w:rFonts w:cs="宋体"/>
                <w:sz w:val="21"/>
                <w:szCs w:val="22"/>
              </w:rPr>
              <w:t>2</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-1166,797</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1310.18</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5.61E-06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5.61E-06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3.60E-05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1.56E+01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8.00E-08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1.33E+00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4</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3</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971,-1743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1304.16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6.68E-06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6.68E-06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3.60E-05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1.86E+01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5.00E-01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5</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4</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1235,109</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1316.27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7.08E-06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7.08E-06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3.60E-05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1.97E+01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5.20E-07</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5.20E-07</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8.67E+00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6</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5</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3035,1683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1328.16</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3.35E-06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3.35E-06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3.60E-05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9.31E+00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6.00E-06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cs="宋体"/>
                <w:color w:val="000000"/>
                <w:sz w:val="21"/>
                <w:szCs w:val="22"/>
              </w:rPr>
              <w:t>1.70E-01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7</w:t>
            </w:r>
          </w:p>
        </w:tc>
        <w:tc>
          <w:tcPr>
            <w:tcW w:w="1637"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hint="eastAsia" w:cs="宋体"/>
                <w:sz w:val="21"/>
                <w:szCs w:val="22"/>
              </w:rPr>
              <w:t>监测点</w:t>
            </w:r>
            <w:r>
              <w:rPr>
                <w:rFonts w:cs="宋体"/>
                <w:sz w:val="21"/>
                <w:szCs w:val="22"/>
              </w:rPr>
              <w:t>6</w:t>
            </w:r>
          </w:p>
        </w:tc>
        <w:tc>
          <w:tcPr>
            <w:tcW w:w="1240"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3899,-923</w:t>
            </w:r>
          </w:p>
        </w:tc>
        <w:tc>
          <w:tcPr>
            <w:tcW w:w="1104" w:type="dxa"/>
            <w:vMerge w:val="restart"/>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1322.32</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5.75E-06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5.75E-06</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3.60E-05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1.60E+01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240"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宋体"/>
                <w:sz w:val="21"/>
              </w:rPr>
            </w:pP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年平均</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7.00E-08</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平均值</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7.00E-08</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6.00E-06</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cs="宋体"/>
                <w:color w:val="000000"/>
                <w:sz w:val="21"/>
                <w:szCs w:val="22"/>
              </w:rPr>
              <w:t>1.17E+00</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color w:val="000000"/>
                <w:sz w:val="21"/>
                <w:szCs w:val="22"/>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spacing w:line="240" w:lineRule="atLeast"/>
              <w:ind w:firstLine="0" w:firstLineChars="0"/>
              <w:jc w:val="center"/>
              <w:rPr>
                <w:rFonts w:cs="宋体"/>
                <w:sz w:val="21"/>
              </w:rPr>
            </w:pPr>
            <w:r>
              <w:rPr>
                <w:rFonts w:cs="宋体"/>
                <w:sz w:val="21"/>
              </w:rPr>
              <w:t>8</w:t>
            </w:r>
          </w:p>
        </w:tc>
        <w:tc>
          <w:tcPr>
            <w:tcW w:w="1637" w:type="dxa"/>
            <w:vMerge w:val="restart"/>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sz w:val="21"/>
                <w:szCs w:val="22"/>
              </w:rPr>
              <w:t>网格</w:t>
            </w:r>
          </w:p>
        </w:tc>
        <w:tc>
          <w:tcPr>
            <w:tcW w:w="12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1516,95</w:t>
            </w:r>
          </w:p>
        </w:tc>
        <w:tc>
          <w:tcPr>
            <w:tcW w:w="1104"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w:t>
            </w:r>
          </w:p>
        </w:tc>
        <w:tc>
          <w:tcPr>
            <w:tcW w:w="1105"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w:t>
            </w:r>
            <w:r>
              <w:rPr>
                <w:rFonts w:hint="eastAsia" w:cs="宋体"/>
                <w:color w:val="000000"/>
                <w:sz w:val="21"/>
                <w:szCs w:val="22"/>
              </w:rPr>
              <w:t>小时</w:t>
            </w:r>
          </w:p>
        </w:tc>
        <w:tc>
          <w:tcPr>
            <w:tcW w:w="114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1.39E-05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1.71E+07</w:t>
            </w:r>
          </w:p>
        </w:tc>
        <w:tc>
          <w:tcPr>
            <w:tcW w:w="1150"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1.39E-05</w:t>
            </w:r>
          </w:p>
        </w:tc>
        <w:tc>
          <w:tcPr>
            <w:tcW w:w="1128"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3.60E-05</w:t>
            </w:r>
          </w:p>
        </w:tc>
        <w:tc>
          <w:tcPr>
            <w:tcW w:w="1139"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3.85E+01</w:t>
            </w:r>
          </w:p>
        </w:tc>
        <w:tc>
          <w:tcPr>
            <w:tcW w:w="1016" w:type="dxa"/>
            <w:tcBorders>
              <w:top w:val="dotted" w:color="auto" w:sz="4" w:space="0"/>
              <w:left w:val="dotted" w:color="auto" w:sz="4" w:space="0"/>
              <w:bottom w:val="dotted" w:color="auto" w:sz="4"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0" w:type="dxa"/>
            <w:bottom w:w="0" w:type="dxa"/>
            <w:right w:w="0" w:type="dxa"/>
          </w:tblCellMar>
        </w:tblPrEx>
        <w:trPr>
          <w:trHeight w:val="340" w:hRule="atLeast"/>
          <w:jc w:val="center"/>
        </w:trPr>
        <w:tc>
          <w:tcPr>
            <w:tcW w:w="52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637"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cs="宋体"/>
                <w:sz w:val="21"/>
              </w:rPr>
            </w:pPr>
          </w:p>
        </w:tc>
        <w:tc>
          <w:tcPr>
            <w:tcW w:w="12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1249,164</w:t>
            </w:r>
          </w:p>
        </w:tc>
        <w:tc>
          <w:tcPr>
            <w:tcW w:w="1104"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1317.8</w:t>
            </w:r>
          </w:p>
        </w:tc>
        <w:tc>
          <w:tcPr>
            <w:tcW w:w="1105"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年平均</w:t>
            </w:r>
          </w:p>
        </w:tc>
        <w:tc>
          <w:tcPr>
            <w:tcW w:w="114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5.80E-07</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平均值</w:t>
            </w:r>
          </w:p>
        </w:tc>
        <w:tc>
          <w:tcPr>
            <w:tcW w:w="1150"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0.00E+00</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5.80E-07</w:t>
            </w:r>
          </w:p>
        </w:tc>
        <w:tc>
          <w:tcPr>
            <w:tcW w:w="1128"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6.00E-06</w:t>
            </w:r>
          </w:p>
        </w:tc>
        <w:tc>
          <w:tcPr>
            <w:tcW w:w="1139"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cs="宋体"/>
                <w:color w:val="000000"/>
                <w:sz w:val="21"/>
                <w:szCs w:val="22"/>
              </w:rPr>
              <w:t>9.67E+00</w:t>
            </w:r>
          </w:p>
        </w:tc>
        <w:tc>
          <w:tcPr>
            <w:tcW w:w="1016" w:type="dxa"/>
            <w:tcBorders>
              <w:top w:val="dotted" w:color="auto" w:sz="4" w:space="0"/>
              <w:left w:val="dotted" w:color="auto" w:sz="4" w:space="0"/>
              <w:bottom w:val="single" w:color="auto" w:sz="12" w:space="0"/>
              <w:right w:val="dotted" w:color="auto" w:sz="4" w:space="0"/>
            </w:tcBorders>
            <w:noWrap/>
            <w:tcMar>
              <w:top w:w="15" w:type="dxa"/>
              <w:left w:w="15" w:type="dxa"/>
              <w:bottom w:w="0" w:type="dxa"/>
              <w:right w:w="15" w:type="dxa"/>
            </w:tcMar>
            <w:vAlign w:val="center"/>
          </w:tcPr>
          <w:p>
            <w:pPr>
              <w:widowControl/>
              <w:spacing w:line="240" w:lineRule="atLeast"/>
              <w:ind w:firstLine="0" w:firstLineChars="0"/>
              <w:jc w:val="center"/>
              <w:textAlignment w:val="center"/>
              <w:rPr>
                <w:rFonts w:cs="宋体"/>
                <w:sz w:val="21"/>
              </w:rPr>
            </w:pPr>
            <w:r>
              <w:rPr>
                <w:rFonts w:hint="eastAsia" w:cs="宋体"/>
                <w:color w:val="000000"/>
                <w:sz w:val="21"/>
                <w:szCs w:val="22"/>
              </w:rPr>
              <w:t>达标</w:t>
            </w:r>
          </w:p>
        </w:tc>
      </w:tr>
    </w:tbl>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6838" w:h="11906" w:orient="landscape"/>
          <w:pgMar w:top="1418" w:right="1134" w:bottom="1418" w:left="1134" w:header="851" w:footer="850" w:gutter="0"/>
          <w:cols w:space="425" w:num="1"/>
          <w:docGrid w:type="lines" w:linePitch="326" w:charSpace="0"/>
        </w:sectPr>
      </w:pPr>
    </w:p>
    <w:p>
      <w:pPr>
        <w:ind w:firstLine="0" w:firstLineChars="0"/>
        <w:jc w:val="center"/>
        <w:rPr>
          <w:rFonts w:asciiTheme="minorEastAsia" w:hAnsiTheme="minorEastAsia" w:eastAsiaTheme="minorEastAsia"/>
          <w:szCs w:val="24"/>
        </w:rPr>
      </w:pPr>
    </w:p>
    <w:p>
      <w:pPr>
        <w:ind w:firstLine="1560" w:firstLineChars="650"/>
        <w:rPr>
          <w:rFonts w:asciiTheme="minorEastAsia" w:hAnsiTheme="minorEastAsia" w:eastAsiaTheme="minorEastAsia"/>
          <w:szCs w:val="24"/>
        </w:rPr>
      </w:pPr>
      <w:r>
        <w:rPr>
          <w:rFonts w:hint="eastAsia"/>
        </w:rPr>
        <w:t>图</w:t>
      </w:r>
      <w:r>
        <w:t>6.1</w:t>
      </w:r>
      <w:r>
        <w:rPr>
          <w:rFonts w:hint="eastAsia"/>
        </w:rPr>
        <w:t>—</w:t>
      </w:r>
      <w:r>
        <w:t>1        SO</w:t>
      </w:r>
      <w:r>
        <w:rPr>
          <w:vertAlign w:val="subscript"/>
        </w:rPr>
        <w:t>2</w:t>
      </w:r>
      <w:r>
        <w:rPr>
          <w:rFonts w:hint="eastAsia"/>
        </w:rPr>
        <w:t>保证率日平均浓度分布图</w:t>
      </w:r>
      <w:r>
        <w:t>(2017-1-2</w:t>
      </w:r>
      <w:r>
        <w:rPr>
          <w:rFonts w:hint="eastAsia"/>
        </w:rPr>
        <w:t>4</w:t>
      </w:r>
      <w:r>
        <w:t>)</w:t>
      </w:r>
    </w:p>
    <w:p>
      <w:pPr>
        <w:ind w:firstLine="0" w:firstLineChars="0"/>
        <w:jc w:val="center"/>
        <w:rPr>
          <w:rFonts w:asciiTheme="minorEastAsia" w:hAnsiTheme="minorEastAsia" w:eastAsiaTheme="minorEastAsia"/>
          <w:szCs w:val="24"/>
        </w:rPr>
      </w:pPr>
    </w:p>
    <w:p>
      <w:pPr>
        <w:ind w:firstLine="1560" w:firstLineChars="650"/>
        <w:rPr>
          <w:rFonts w:asciiTheme="minorEastAsia" w:hAnsiTheme="minorEastAsia" w:eastAsiaTheme="minorEastAsia"/>
          <w:szCs w:val="24"/>
        </w:rPr>
      </w:pPr>
      <w:r>
        <w:rPr>
          <w:rFonts w:hint="eastAsia"/>
        </w:rPr>
        <w:t>图</w:t>
      </w:r>
      <w:r>
        <w:t>6.1</w:t>
      </w:r>
      <w:r>
        <w:rPr>
          <w:rFonts w:hint="eastAsia"/>
        </w:rPr>
        <w:t xml:space="preserve">—2   </w:t>
      </w:r>
      <w:r>
        <w:t xml:space="preserve">        SO</w:t>
      </w:r>
      <w:r>
        <w:rPr>
          <w:vertAlign w:val="subscript"/>
        </w:rPr>
        <w:t>2</w:t>
      </w:r>
      <w:r>
        <w:rPr>
          <w:rFonts w:hint="eastAsia"/>
        </w:rPr>
        <w:t>年平均质量浓度分布图</w:t>
      </w:r>
    </w:p>
    <w:p>
      <w:pPr>
        <w:ind w:firstLine="480"/>
        <w:rPr>
          <w:rFonts w:asciiTheme="minorEastAsia" w:hAnsiTheme="minorEastAsia" w:eastAsiaTheme="minorEastAsia"/>
          <w:szCs w:val="24"/>
        </w:rPr>
      </w:pPr>
    </w:p>
    <w:p>
      <w:pPr>
        <w:ind w:firstLine="0" w:firstLineChars="0"/>
        <w:jc w:val="center"/>
        <w:rPr>
          <w:rFonts w:ascii="宋体"/>
          <w:sz w:val="34"/>
          <w:szCs w:val="20"/>
        </w:rPr>
      </w:pPr>
    </w:p>
    <w:p>
      <w:pPr>
        <w:pStyle w:val="161"/>
        <w:ind w:firstLine="1440" w:firstLineChars="600"/>
      </w:pPr>
      <w:r>
        <w:rPr>
          <w:rFonts w:hint="eastAsia"/>
        </w:rPr>
        <w:t>图</w:t>
      </w:r>
      <w:r>
        <w:t>6.1</w:t>
      </w:r>
      <w:r>
        <w:rPr>
          <w:rFonts w:hint="eastAsia"/>
        </w:rPr>
        <w:t xml:space="preserve">—3          </w:t>
      </w:r>
      <w:r>
        <w:t>NO</w:t>
      </w:r>
      <w:r>
        <w:rPr>
          <w:vertAlign w:val="subscript"/>
        </w:rPr>
        <w:t>x</w:t>
      </w:r>
      <w:r>
        <w:rPr>
          <w:rFonts w:hint="eastAsia"/>
        </w:rPr>
        <w:t>保证率日均浓度分布图</w:t>
      </w:r>
    </w:p>
    <w:p>
      <w:pPr>
        <w:pStyle w:val="87"/>
        <w:ind w:left="0" w:leftChars="0" w:firstLine="0" w:firstLineChars="0"/>
        <w:jc w:val="center"/>
        <w:rPr>
          <w:sz w:val="34"/>
        </w:rPr>
      </w:pPr>
    </w:p>
    <w:p>
      <w:pPr>
        <w:pStyle w:val="161"/>
        <w:ind w:firstLine="1365" w:firstLineChars="650"/>
        <w:rPr>
          <w:sz w:val="21"/>
          <w:szCs w:val="21"/>
        </w:rPr>
      </w:pPr>
      <w:r>
        <w:rPr>
          <w:rFonts w:hint="eastAsia"/>
          <w:sz w:val="21"/>
          <w:szCs w:val="21"/>
        </w:rPr>
        <w:t>图</w:t>
      </w:r>
      <w:r>
        <w:t>6.1</w:t>
      </w:r>
      <w:r>
        <w:rPr>
          <w:rFonts w:hint="eastAsia"/>
        </w:rPr>
        <w:t xml:space="preserve">—4              </w:t>
      </w:r>
      <w:r>
        <w:t>NOx</w:t>
      </w:r>
      <w:r>
        <w:rPr>
          <w:rFonts w:hint="eastAsia"/>
        </w:rPr>
        <w:t>年均浓度分布图</w:t>
      </w:r>
    </w:p>
    <w:p>
      <w:pPr>
        <w:pStyle w:val="87"/>
        <w:ind w:left="0" w:leftChars="0" w:firstLine="0" w:firstLineChars="0"/>
        <w:jc w:val="center"/>
        <w:rPr>
          <w:rFonts w:ascii="Times New Roman"/>
        </w:rPr>
      </w:pPr>
    </w:p>
    <w:p>
      <w:pPr>
        <w:ind w:firstLine="1080" w:firstLineChars="450"/>
        <w:rPr>
          <w:szCs w:val="15"/>
        </w:rPr>
      </w:pPr>
      <w:r>
        <w:rPr>
          <w:rFonts w:hint="eastAsia"/>
          <w:szCs w:val="15"/>
        </w:rPr>
        <w:t>图</w:t>
      </w:r>
      <w:r>
        <w:t>6.1</w:t>
      </w:r>
      <w:r>
        <w:rPr>
          <w:rFonts w:hint="eastAsia"/>
        </w:rPr>
        <w:t xml:space="preserve">—5             </w:t>
      </w:r>
      <w:r>
        <w:rPr>
          <w:szCs w:val="15"/>
        </w:rPr>
        <w:t xml:space="preserve"> PM</w:t>
      </w:r>
      <w:r>
        <w:rPr>
          <w:szCs w:val="15"/>
          <w:vertAlign w:val="subscript"/>
        </w:rPr>
        <w:t>10</w:t>
      </w:r>
      <w:r>
        <w:rPr>
          <w:rFonts w:hint="eastAsia"/>
          <w:szCs w:val="15"/>
        </w:rPr>
        <w:t>保证率日均质量浓度</w:t>
      </w:r>
    </w:p>
    <w:p>
      <w:pPr>
        <w:pStyle w:val="87"/>
        <w:ind w:left="0" w:leftChars="0" w:firstLine="0" w:firstLineChars="0"/>
        <w:jc w:val="center"/>
        <w:rPr>
          <w:sz w:val="34"/>
        </w:rPr>
      </w:pPr>
    </w:p>
    <w:p>
      <w:pPr>
        <w:ind w:firstLine="1200" w:firstLineChars="500"/>
        <w:rPr>
          <w:rFonts w:asciiTheme="minorEastAsia" w:hAnsiTheme="minorEastAsia" w:eastAsiaTheme="minorEastAsia"/>
          <w:szCs w:val="24"/>
        </w:rPr>
      </w:pPr>
      <w:r>
        <w:rPr>
          <w:rFonts w:hint="eastAsia"/>
          <w:szCs w:val="15"/>
        </w:rPr>
        <w:t>图</w:t>
      </w:r>
      <w:r>
        <w:t>6.1</w:t>
      </w:r>
      <w:r>
        <w:rPr>
          <w:rFonts w:hint="eastAsia"/>
        </w:rPr>
        <w:t xml:space="preserve">—6                 </w:t>
      </w:r>
      <w:r>
        <w:rPr>
          <w:szCs w:val="15"/>
        </w:rPr>
        <w:t>PM</w:t>
      </w:r>
      <w:r>
        <w:rPr>
          <w:szCs w:val="15"/>
          <w:vertAlign w:val="subscript"/>
        </w:rPr>
        <w:t>10</w:t>
      </w:r>
      <w:r>
        <w:rPr>
          <w:rFonts w:hint="eastAsia"/>
          <w:szCs w:val="15"/>
        </w:rPr>
        <w:t>年均质量浓度</w:t>
      </w:r>
    </w:p>
    <w:p>
      <w:pPr>
        <w:ind w:firstLine="0" w:firstLineChars="0"/>
        <w:jc w:val="center"/>
      </w:pPr>
    </w:p>
    <w:p>
      <w:pPr>
        <w:pStyle w:val="161"/>
        <w:ind w:firstLine="1320" w:firstLineChars="550"/>
        <w:outlineLvl w:val="0"/>
      </w:pPr>
      <w:r>
        <w:rPr>
          <w:rFonts w:hint="eastAsia"/>
        </w:rPr>
        <w:t>图</w:t>
      </w:r>
      <w:r>
        <w:t>6.1</w:t>
      </w:r>
      <w:r>
        <w:rPr>
          <w:rFonts w:hint="eastAsia"/>
        </w:rPr>
        <w:t xml:space="preserve">—7           </w:t>
      </w:r>
      <w:r>
        <w:t xml:space="preserve">CO </w:t>
      </w:r>
      <w:r>
        <w:rPr>
          <w:rFonts w:hint="eastAsia"/>
        </w:rPr>
        <w:t>保证率日均质量浓度</w:t>
      </w:r>
    </w:p>
    <w:p>
      <w:pPr>
        <w:pStyle w:val="87"/>
        <w:ind w:left="0" w:leftChars="0" w:firstLine="0" w:firstLineChars="0"/>
        <w:jc w:val="center"/>
        <w:rPr>
          <w:rFonts w:ascii="Times New Roman"/>
        </w:rPr>
      </w:pPr>
    </w:p>
    <w:p>
      <w:pPr>
        <w:pStyle w:val="161"/>
        <w:ind w:firstLine="1320" w:firstLineChars="550"/>
      </w:pPr>
      <w:r>
        <w:rPr>
          <w:rFonts w:hint="eastAsia"/>
        </w:rPr>
        <w:t>图</w:t>
      </w:r>
      <w:r>
        <w:t>6.1</w:t>
      </w:r>
      <w:r>
        <w:rPr>
          <w:rFonts w:hint="eastAsia"/>
        </w:rPr>
        <w:t xml:space="preserve">—8           </w:t>
      </w:r>
      <w:r>
        <w:t xml:space="preserve">   CO </w:t>
      </w:r>
      <w:r>
        <w:rPr>
          <w:rFonts w:hint="eastAsia"/>
        </w:rPr>
        <w:t>年均质量浓度</w:t>
      </w:r>
    </w:p>
    <w:p>
      <w:pPr>
        <w:ind w:firstLine="0" w:firstLineChars="0"/>
        <w:jc w:val="center"/>
      </w:pPr>
    </w:p>
    <w:p>
      <w:pPr>
        <w:pStyle w:val="161"/>
        <w:ind w:firstLine="1200" w:firstLineChars="500"/>
      </w:pPr>
      <w:r>
        <w:rPr>
          <w:rFonts w:hint="eastAsia"/>
        </w:rPr>
        <w:t>图</w:t>
      </w:r>
      <w:r>
        <w:t>6.1</w:t>
      </w:r>
      <w:r>
        <w:rPr>
          <w:rFonts w:hint="eastAsia"/>
        </w:rPr>
        <w:t>—9              TVOC 8h平均质量浓度</w:t>
      </w:r>
    </w:p>
    <w:p>
      <w:pPr>
        <w:ind w:firstLine="0" w:firstLineChars="0"/>
        <w:jc w:val="center"/>
        <w:rPr>
          <w:szCs w:val="15"/>
        </w:rPr>
      </w:pPr>
    </w:p>
    <w:p>
      <w:pPr>
        <w:pStyle w:val="161"/>
        <w:ind w:firstLine="1320" w:firstLineChars="550"/>
      </w:pPr>
      <w:r>
        <w:rPr>
          <w:rFonts w:hint="eastAsia"/>
        </w:rPr>
        <w:t>图</w:t>
      </w:r>
      <w:r>
        <w:t>6.1</w:t>
      </w:r>
      <w:r>
        <w:rPr>
          <w:rFonts w:hint="eastAsia"/>
        </w:rPr>
        <w:t>—10                 Pb年均质量浓度</w:t>
      </w:r>
    </w:p>
    <w:p>
      <w:pPr>
        <w:ind w:firstLine="0" w:firstLineChars="0"/>
        <w:jc w:val="center"/>
      </w:pPr>
    </w:p>
    <w:p>
      <w:pPr>
        <w:pStyle w:val="161"/>
        <w:ind w:firstLine="1560" w:firstLineChars="650"/>
      </w:pPr>
      <w:r>
        <w:rPr>
          <w:rFonts w:hint="eastAsia"/>
        </w:rPr>
        <w:t>图</w:t>
      </w:r>
      <w:r>
        <w:t>6.1</w:t>
      </w:r>
      <w:r>
        <w:rPr>
          <w:rFonts w:hint="eastAsia"/>
        </w:rPr>
        <w:t>—11            氨 1h平均质量浓度</w:t>
      </w:r>
    </w:p>
    <w:p>
      <w:pPr>
        <w:ind w:firstLine="0" w:firstLineChars="0"/>
        <w:jc w:val="center"/>
      </w:pPr>
    </w:p>
    <w:p>
      <w:pPr>
        <w:pStyle w:val="161"/>
        <w:ind w:firstLine="1440" w:firstLineChars="600"/>
      </w:pPr>
      <w:r>
        <w:rPr>
          <w:rFonts w:hint="eastAsia"/>
        </w:rPr>
        <w:t>图</w:t>
      </w:r>
      <w:r>
        <w:t>6.1</w:t>
      </w:r>
      <w:r>
        <w:rPr>
          <w:rFonts w:hint="eastAsia"/>
        </w:rPr>
        <w:t>—12            硫酸 1h平均质量浓度</w:t>
      </w:r>
    </w:p>
    <w:p>
      <w:pPr>
        <w:pStyle w:val="87"/>
        <w:ind w:left="0" w:leftChars="0" w:firstLine="0" w:firstLineChars="0"/>
        <w:jc w:val="center"/>
        <w:rPr>
          <w:szCs w:val="15"/>
        </w:rPr>
      </w:pPr>
    </w:p>
    <w:p>
      <w:pPr>
        <w:pStyle w:val="161"/>
        <w:ind w:firstLine="1680" w:firstLineChars="700"/>
        <w:rPr>
          <w:szCs w:val="15"/>
        </w:rPr>
      </w:pPr>
      <w:r>
        <w:rPr>
          <w:rFonts w:hint="eastAsia"/>
        </w:rPr>
        <w:t>图</w:t>
      </w:r>
      <w:r>
        <w:t>6.1</w:t>
      </w:r>
      <w:r>
        <w:rPr>
          <w:rFonts w:hint="eastAsia"/>
        </w:rPr>
        <w:t xml:space="preserve">—13             </w:t>
      </w:r>
      <w:r>
        <w:rPr>
          <w:rFonts w:hint="eastAsia"/>
          <w:szCs w:val="15"/>
        </w:rPr>
        <w:t>硫酸日均质量浓度</w:t>
      </w:r>
    </w:p>
    <w:p>
      <w:pPr>
        <w:ind w:firstLine="0" w:firstLineChars="0"/>
        <w:jc w:val="center"/>
      </w:pPr>
    </w:p>
    <w:p>
      <w:pPr>
        <w:pStyle w:val="161"/>
        <w:ind w:firstLine="1560" w:firstLineChars="650"/>
      </w:pPr>
      <w:r>
        <w:rPr>
          <w:rFonts w:hint="eastAsia"/>
        </w:rPr>
        <w:t>图</w:t>
      </w:r>
      <w:r>
        <w:t>6.1</w:t>
      </w:r>
      <w:r>
        <w:rPr>
          <w:rFonts w:hint="eastAsia"/>
        </w:rPr>
        <w:t>—14             HCl 1h平均质量浓度</w:t>
      </w:r>
    </w:p>
    <w:p>
      <w:pPr>
        <w:ind w:firstLine="0" w:firstLineChars="0"/>
        <w:jc w:val="center"/>
        <w:rPr>
          <w:sz w:val="34"/>
          <w:szCs w:val="20"/>
        </w:rPr>
      </w:pPr>
    </w:p>
    <w:p>
      <w:pPr>
        <w:pStyle w:val="161"/>
        <w:ind w:firstLine="1680" w:firstLineChars="700"/>
      </w:pPr>
      <w:r>
        <w:rPr>
          <w:rFonts w:hint="eastAsia"/>
        </w:rPr>
        <w:t>图</w:t>
      </w:r>
      <w:r>
        <w:t>6.1</w:t>
      </w:r>
      <w:r>
        <w:rPr>
          <w:rFonts w:hint="eastAsia"/>
        </w:rPr>
        <w:t>—15             HCl日均质量浓度</w:t>
      </w:r>
    </w:p>
    <w:p>
      <w:pPr>
        <w:pStyle w:val="87"/>
        <w:ind w:left="0" w:leftChars="0" w:firstLine="0" w:firstLineChars="0"/>
        <w:jc w:val="center"/>
      </w:pPr>
    </w:p>
    <w:p>
      <w:pPr>
        <w:ind w:firstLine="1680" w:firstLineChars="700"/>
        <w:rPr>
          <w:szCs w:val="15"/>
        </w:rPr>
      </w:pPr>
      <w:r>
        <w:rPr>
          <w:rFonts w:hint="eastAsia"/>
        </w:rPr>
        <w:t>图</w:t>
      </w:r>
      <w:r>
        <w:t>6.1</w:t>
      </w:r>
      <w:r>
        <w:rPr>
          <w:rFonts w:hint="eastAsia"/>
        </w:rPr>
        <w:t xml:space="preserve">—16            </w:t>
      </w:r>
      <w:r>
        <w:rPr>
          <w:rFonts w:hint="eastAsia"/>
          <w:szCs w:val="15"/>
        </w:rPr>
        <w:t>氟化物1h平均质量浓度</w:t>
      </w:r>
    </w:p>
    <w:p>
      <w:pPr>
        <w:pStyle w:val="87"/>
        <w:ind w:left="0" w:leftChars="0" w:firstLine="0" w:firstLineChars="0"/>
        <w:jc w:val="center"/>
        <w:rPr>
          <w:szCs w:val="15"/>
        </w:rPr>
      </w:pPr>
    </w:p>
    <w:p>
      <w:pPr>
        <w:pStyle w:val="161"/>
        <w:ind w:firstLine="1680" w:firstLineChars="700"/>
      </w:pPr>
      <w:r>
        <w:rPr>
          <w:rFonts w:hint="eastAsia"/>
        </w:rPr>
        <w:t>图</w:t>
      </w:r>
      <w:r>
        <w:t>6.1</w:t>
      </w:r>
      <w:r>
        <w:rPr>
          <w:rFonts w:hint="eastAsia"/>
        </w:rPr>
        <w:t>—17             Hg年均质量浓度</w:t>
      </w:r>
    </w:p>
    <w:p>
      <w:pPr>
        <w:ind w:firstLine="0" w:firstLineChars="0"/>
        <w:jc w:val="center"/>
        <w:rPr>
          <w:szCs w:val="15"/>
        </w:rPr>
      </w:pPr>
    </w:p>
    <w:p>
      <w:pPr>
        <w:pStyle w:val="161"/>
        <w:ind w:firstLine="1560" w:firstLineChars="650"/>
        <w:rPr>
          <w:szCs w:val="15"/>
        </w:rPr>
      </w:pPr>
      <w:r>
        <w:rPr>
          <w:rFonts w:hint="eastAsia"/>
        </w:rPr>
        <w:t>图</w:t>
      </w:r>
      <w:r>
        <w:t>6.1</w:t>
      </w:r>
      <w:r>
        <w:rPr>
          <w:rFonts w:hint="eastAsia"/>
        </w:rPr>
        <w:t xml:space="preserve">—18             </w:t>
      </w:r>
      <w:r>
        <w:rPr>
          <w:rFonts w:hint="eastAsia"/>
          <w:szCs w:val="15"/>
        </w:rPr>
        <w:t>Cd年均质量浓度</w:t>
      </w:r>
    </w:p>
    <w:p>
      <w:pPr>
        <w:pStyle w:val="87"/>
        <w:ind w:left="0" w:leftChars="0" w:firstLine="0" w:firstLineChars="0"/>
        <w:jc w:val="center"/>
        <w:rPr>
          <w:szCs w:val="15"/>
        </w:rPr>
      </w:pPr>
    </w:p>
    <w:p>
      <w:pPr>
        <w:pStyle w:val="161"/>
        <w:ind w:firstLine="1680" w:firstLineChars="700"/>
      </w:pPr>
      <w:r>
        <w:rPr>
          <w:rFonts w:hint="eastAsia"/>
        </w:rPr>
        <w:t>图</w:t>
      </w:r>
      <w:r>
        <w:t>6.1</w:t>
      </w:r>
      <w:r>
        <w:rPr>
          <w:rFonts w:hint="eastAsia"/>
        </w:rPr>
        <w:t>—19                  As年均质量浓度</w:t>
      </w:r>
    </w:p>
    <w:p>
      <w:pPr>
        <w:ind w:firstLine="480"/>
        <w:rPr>
          <w:rFonts w:asciiTheme="minorEastAsia" w:hAnsiTheme="minorEastAsia" w:eastAsiaTheme="minorEastAsia"/>
          <w:szCs w:val="24"/>
        </w:rPr>
      </w:pPr>
    </w:p>
    <w:p>
      <w:pPr>
        <w:pStyle w:val="4"/>
      </w:pPr>
      <w:bookmarkStart w:id="397" w:name="_Toc3282185"/>
      <w:bookmarkStart w:id="398" w:name="_Toc13760207"/>
      <w:r>
        <w:rPr>
          <w:rFonts w:hint="eastAsia"/>
        </w:rPr>
        <w:t>6.2地下水</w:t>
      </w:r>
      <w:bookmarkEnd w:id="397"/>
      <w:r>
        <w:rPr>
          <w:rFonts w:hint="eastAsia"/>
        </w:rPr>
        <w:t>环境影响分析</w:t>
      </w:r>
      <w:bookmarkEnd w:id="398"/>
    </w:p>
    <w:p>
      <w:pPr>
        <w:adjustRightInd w:val="0"/>
        <w:snapToGrid w:val="0"/>
        <w:ind w:firstLine="480"/>
        <w:rPr>
          <w:szCs w:val="24"/>
        </w:rPr>
      </w:pPr>
      <w:r>
        <w:rPr>
          <w:rFonts w:hint="eastAsia"/>
          <w:szCs w:val="24"/>
        </w:rPr>
        <w:t>改扩建后项目的危险废物处置厂占地面积未发生变化。本次环评引用之前环评地下水影响分析结论。</w:t>
      </w:r>
    </w:p>
    <w:p>
      <w:pPr>
        <w:pStyle w:val="5"/>
      </w:pPr>
      <w:bookmarkStart w:id="399" w:name="_Toc13760208"/>
      <w:r>
        <w:rPr>
          <w:rFonts w:hint="eastAsia"/>
        </w:rPr>
        <w:t>6.2.1物化车间沉淀池持续泄漏</w:t>
      </w:r>
      <w:bookmarkEnd w:id="399"/>
    </w:p>
    <w:p>
      <w:pPr>
        <w:pStyle w:val="161"/>
        <w:ind w:firstLine="480"/>
      </w:pPr>
      <w:r>
        <w:rPr>
          <w:rFonts w:hint="eastAsia"/>
        </w:rPr>
        <w:t>物化车间发生持续泄漏，地下水中的石油类污染晕将以泄漏点为起点向四周扩散，到泄漏的第</w:t>
      </w:r>
      <w:r>
        <w:t>3000</w:t>
      </w:r>
      <w:r>
        <w:rPr>
          <w:rFonts w:hint="eastAsia"/>
        </w:rPr>
        <w:t>天，污染晕的扩散范围达到最大，此后基本稳定直至泄漏末期</w:t>
      </w:r>
      <w:r>
        <w:t>(</w:t>
      </w:r>
      <w:r>
        <w:rPr>
          <w:rFonts w:hint="eastAsia"/>
        </w:rPr>
        <w:t>第</w:t>
      </w:r>
      <w:r>
        <w:t>20</w:t>
      </w:r>
      <w:r>
        <w:rPr>
          <w:rFonts w:hint="eastAsia"/>
        </w:rPr>
        <w:t>年</w:t>
      </w:r>
      <w:r>
        <w:t>)</w:t>
      </w:r>
      <w:r>
        <w:rPr>
          <w:rFonts w:hint="eastAsia"/>
        </w:rPr>
        <w:t>由表</w:t>
      </w:r>
      <w:r>
        <w:t>8.2-6</w:t>
      </w:r>
      <w:r>
        <w:rPr>
          <w:rFonts w:hint="eastAsia"/>
        </w:rPr>
        <w:t>可知：物化车间沉淀池持续泄漏形成的石油类污染晕最大范围垂直地下水流向为</w:t>
      </w:r>
      <w:r>
        <w:t>-8m~8m</w:t>
      </w:r>
      <w:r>
        <w:rPr>
          <w:rFonts w:hint="eastAsia"/>
        </w:rPr>
        <w:t>，直径为</w:t>
      </w:r>
      <w:r>
        <w:t>16m</w:t>
      </w:r>
      <w:r>
        <w:rPr>
          <w:rFonts w:hint="eastAsia"/>
        </w:rPr>
        <w:t>，平行水流方向为</w:t>
      </w:r>
      <w:r>
        <w:t>-8~192m</w:t>
      </w:r>
      <w:r>
        <w:rPr>
          <w:rFonts w:hint="eastAsia"/>
        </w:rPr>
        <w:t>，直径为</w:t>
      </w:r>
      <w:r>
        <w:t>200m</w:t>
      </w:r>
      <w:r>
        <w:rPr>
          <w:rFonts w:hint="eastAsia"/>
        </w:rPr>
        <w:t>。</w:t>
      </w:r>
    </w:p>
    <w:p>
      <w:pPr>
        <w:pStyle w:val="161"/>
        <w:ind w:firstLine="480"/>
        <w:rPr>
          <w:sz w:val="21"/>
          <w:szCs w:val="20"/>
        </w:rPr>
      </w:pPr>
      <w:r>
        <w:rPr>
          <w:rFonts w:hint="eastAsia"/>
        </w:rPr>
        <w:t>表6.2—1   物化车间沉淀池持续泄漏地下水中石油类污染预测结果单位：</w:t>
      </w:r>
      <w:r>
        <w:t>m</w:t>
      </w:r>
    </w:p>
    <w:tbl>
      <w:tblPr>
        <w:tblStyle w:val="181"/>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3214"/>
        <w:gridCol w:w="3213"/>
        <w:gridCol w:w="3211"/>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3214" w:type="dxa"/>
            <w:tcBorders>
              <w:top w:val="single" w:color="auto" w:sz="12" w:space="0"/>
              <w:left w:val="nil"/>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时间</w:t>
            </w:r>
          </w:p>
        </w:tc>
        <w:tc>
          <w:tcPr>
            <w:tcW w:w="3213"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垂直水流方向污染范围</w:t>
            </w:r>
          </w:p>
        </w:tc>
        <w:tc>
          <w:tcPr>
            <w:tcW w:w="3211" w:type="dxa"/>
            <w:tcBorders>
              <w:top w:val="single" w:color="auto" w:sz="12" w:space="0"/>
              <w:left w:val="dotted" w:color="auto" w:sz="8" w:space="0"/>
              <w:bottom w:val="single" w:color="auto" w:sz="12" w:space="0"/>
              <w:right w:val="nil"/>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水流方向污染范围</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3214" w:type="dxa"/>
            <w:tcBorders>
              <w:top w:val="single" w:color="auto" w:sz="12"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100</w:t>
            </w:r>
            <w:r>
              <w:rPr>
                <w:rFonts w:hint="eastAsia" w:cs="Times New Roman"/>
                <w:kern w:val="0"/>
                <w:sz w:val="21"/>
                <w:szCs w:val="20"/>
              </w:rPr>
              <w:t>天</w:t>
            </w:r>
          </w:p>
        </w:tc>
        <w:tc>
          <w:tcPr>
            <w:tcW w:w="3213"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-4~4</w:t>
            </w:r>
          </w:p>
        </w:tc>
        <w:tc>
          <w:tcPr>
            <w:tcW w:w="3211" w:type="dxa"/>
            <w:tcBorders>
              <w:top w:val="single" w:color="auto" w:sz="12"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-5~24</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3214"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1000</w:t>
            </w:r>
            <w:r>
              <w:rPr>
                <w:rFonts w:hint="eastAsia" w:cs="Times New Roman"/>
                <w:kern w:val="0"/>
                <w:sz w:val="21"/>
                <w:szCs w:val="20"/>
              </w:rPr>
              <w:t>天</w:t>
            </w:r>
          </w:p>
        </w:tc>
        <w:tc>
          <w:tcPr>
            <w:tcW w:w="321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-8~8</w:t>
            </w:r>
          </w:p>
        </w:tc>
        <w:tc>
          <w:tcPr>
            <w:tcW w:w="3211"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-8~153</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3214" w:type="dxa"/>
            <w:tcBorders>
              <w:top w:val="dotted" w:color="auto" w:sz="8" w:space="0"/>
              <w:left w:val="nil"/>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3000</w:t>
            </w:r>
            <w:r>
              <w:rPr>
                <w:rFonts w:hint="eastAsia" w:cs="Times New Roman"/>
                <w:kern w:val="0"/>
                <w:sz w:val="21"/>
                <w:szCs w:val="20"/>
              </w:rPr>
              <w:t>天</w:t>
            </w:r>
            <w:r>
              <w:rPr>
                <w:rFonts w:cs="Times New Roman"/>
                <w:kern w:val="0"/>
                <w:sz w:val="21"/>
                <w:szCs w:val="20"/>
              </w:rPr>
              <w:t>~20</w:t>
            </w:r>
            <w:r>
              <w:rPr>
                <w:rFonts w:hint="eastAsia" w:cs="Times New Roman"/>
                <w:kern w:val="0"/>
                <w:sz w:val="21"/>
                <w:szCs w:val="20"/>
              </w:rPr>
              <w:t>年</w:t>
            </w:r>
          </w:p>
        </w:tc>
        <w:tc>
          <w:tcPr>
            <w:tcW w:w="3213"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-8~8</w:t>
            </w:r>
          </w:p>
        </w:tc>
        <w:tc>
          <w:tcPr>
            <w:tcW w:w="3211" w:type="dxa"/>
            <w:tcBorders>
              <w:top w:val="dotted" w:color="auto" w:sz="8" w:space="0"/>
              <w:left w:val="dotted" w:color="auto" w:sz="8" w:space="0"/>
              <w:bottom w:val="single" w:color="auto" w:sz="12"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-8~192</w:t>
            </w:r>
          </w:p>
        </w:tc>
      </w:tr>
    </w:tbl>
    <w:p>
      <w:pPr>
        <w:ind w:firstLine="480"/>
        <w:jc w:val="center"/>
        <w:rPr>
          <w:rFonts w:cs="Times New Roman"/>
          <w:sz w:val="21"/>
          <w:szCs w:val="20"/>
        </w:rPr>
      </w:pPr>
    </w:p>
    <w:p>
      <w:pPr>
        <w:ind w:firstLine="480"/>
        <w:jc w:val="center"/>
      </w:pPr>
      <w:r>
        <w:rPr>
          <w:rFonts w:hAnsi="宋体"/>
          <w:szCs w:val="24"/>
        </w:rPr>
        <w:t>a</w:t>
      </w:r>
      <w:r>
        <w:rPr>
          <w:rFonts w:hint="eastAsia" w:hAnsi="宋体"/>
          <w:szCs w:val="24"/>
        </w:rPr>
        <w:t>、泄漏</w:t>
      </w:r>
      <w:r>
        <w:rPr>
          <w:rFonts w:hAnsi="宋体"/>
          <w:szCs w:val="24"/>
        </w:rPr>
        <w:t>100</w:t>
      </w:r>
      <w:r>
        <w:rPr>
          <w:rFonts w:hint="eastAsia" w:hAnsi="宋体"/>
          <w:szCs w:val="24"/>
        </w:rPr>
        <w:t>天地下水中石油类污染晕扩散平面图</w:t>
      </w:r>
    </w:p>
    <w:p>
      <w:pPr>
        <w:ind w:firstLine="480"/>
        <w:jc w:val="center"/>
      </w:pPr>
    </w:p>
    <w:p>
      <w:pPr>
        <w:ind w:firstLine="480"/>
        <w:jc w:val="center"/>
      </w:pPr>
      <w:r>
        <w:rPr>
          <w:rFonts w:hAnsi="宋体"/>
          <w:szCs w:val="24"/>
        </w:rPr>
        <w:t>b</w:t>
      </w:r>
      <w:r>
        <w:rPr>
          <w:rFonts w:hint="eastAsia" w:hAnsi="宋体"/>
          <w:szCs w:val="24"/>
        </w:rPr>
        <w:t>、泄漏</w:t>
      </w:r>
      <w:r>
        <w:rPr>
          <w:rFonts w:hAnsi="宋体"/>
          <w:szCs w:val="24"/>
        </w:rPr>
        <w:t>1000</w:t>
      </w:r>
      <w:r>
        <w:rPr>
          <w:rFonts w:hint="eastAsia" w:hAnsi="宋体"/>
          <w:szCs w:val="24"/>
        </w:rPr>
        <w:t>天地下水中石油类污染晕扩散平面图</w:t>
      </w:r>
    </w:p>
    <w:p>
      <w:pPr>
        <w:ind w:firstLine="480"/>
        <w:jc w:val="center"/>
      </w:pPr>
    </w:p>
    <w:p>
      <w:pPr>
        <w:adjustRightInd w:val="0"/>
        <w:snapToGrid w:val="0"/>
        <w:ind w:firstLine="480"/>
        <w:jc w:val="center"/>
        <w:rPr>
          <w:rFonts w:hAnsi="宋体"/>
          <w:szCs w:val="24"/>
        </w:rPr>
      </w:pPr>
      <w:r>
        <w:rPr>
          <w:rFonts w:hAnsi="宋体"/>
          <w:szCs w:val="24"/>
        </w:rPr>
        <w:t>c</w:t>
      </w:r>
      <w:r>
        <w:rPr>
          <w:rFonts w:hint="eastAsia" w:hAnsi="宋体"/>
          <w:szCs w:val="24"/>
        </w:rPr>
        <w:t>、泄漏</w:t>
      </w:r>
      <w:r>
        <w:rPr>
          <w:rFonts w:hAnsi="宋体"/>
          <w:szCs w:val="24"/>
        </w:rPr>
        <w:t>3000</w:t>
      </w:r>
      <w:r>
        <w:rPr>
          <w:rFonts w:hint="eastAsia" w:hAnsi="宋体"/>
          <w:szCs w:val="24"/>
        </w:rPr>
        <w:t>天</w:t>
      </w:r>
      <w:r>
        <w:rPr>
          <w:rFonts w:hAnsi="宋体"/>
          <w:szCs w:val="24"/>
        </w:rPr>
        <w:t>~20</w:t>
      </w:r>
      <w:r>
        <w:rPr>
          <w:rFonts w:hint="eastAsia" w:hAnsi="宋体"/>
          <w:szCs w:val="24"/>
        </w:rPr>
        <w:t>年地下水中石油类污染晕扩散平面图</w:t>
      </w:r>
    </w:p>
    <w:p>
      <w:pPr>
        <w:adjustRightInd w:val="0"/>
        <w:snapToGrid w:val="0"/>
        <w:ind w:firstLine="480"/>
        <w:jc w:val="center"/>
        <w:rPr>
          <w:rFonts w:hAnsi="宋体"/>
          <w:szCs w:val="24"/>
        </w:rPr>
      </w:pPr>
      <w:r>
        <w:rPr>
          <w:rFonts w:hint="eastAsia" w:hAnsi="宋体"/>
          <w:szCs w:val="24"/>
        </w:rPr>
        <w:t>图6.2—</w:t>
      </w:r>
      <w:r>
        <w:rPr>
          <w:rFonts w:hAnsi="宋体"/>
          <w:szCs w:val="24"/>
        </w:rPr>
        <w:t xml:space="preserve">1 </w:t>
      </w:r>
      <w:r>
        <w:rPr>
          <w:rFonts w:hint="eastAsia" w:hAnsi="宋体"/>
          <w:szCs w:val="24"/>
        </w:rPr>
        <w:t>物化车间沉淀池持续泄漏地下水中石油类污染预测结果</w:t>
      </w:r>
    </w:p>
    <w:p>
      <w:pPr>
        <w:pStyle w:val="5"/>
      </w:pPr>
      <w:bookmarkStart w:id="400" w:name="_Toc13760209"/>
      <w:r>
        <w:rPr>
          <w:rFonts w:hint="eastAsia"/>
        </w:rPr>
        <w:t>6.2.2焚烧车间喷淋洗涤塔排水收集池持续泄漏</w:t>
      </w:r>
      <w:bookmarkEnd w:id="400"/>
    </w:p>
    <w:p>
      <w:pPr>
        <w:pStyle w:val="161"/>
        <w:ind w:firstLine="480"/>
      </w:pPr>
      <w:r>
        <w:rPr>
          <w:rFonts w:hint="eastAsia"/>
        </w:rPr>
        <w:t>焚烧车间喷淋洗涤塔排水收集池持续泄漏，地下水中形成的汞污染物迁移规律与物化车间沉淀池持续泄漏地下水中石油类污染晕迁移规律相似，预测结果见表</w:t>
      </w:r>
      <w:r>
        <w:t>8.2-7</w:t>
      </w:r>
      <w:r>
        <w:rPr>
          <w:rFonts w:hint="eastAsia"/>
        </w:rPr>
        <w:t>和图</w:t>
      </w:r>
      <w:r>
        <w:t>8.2-2</w:t>
      </w:r>
      <w:r>
        <w:rPr>
          <w:rFonts w:hint="eastAsia"/>
        </w:rPr>
        <w:t>。地下水中的汞污染晕以泄漏点为起点向四周扩散，到泄漏的第</w:t>
      </w:r>
      <w:r>
        <w:t>3000</w:t>
      </w:r>
      <w:r>
        <w:rPr>
          <w:rFonts w:hint="eastAsia"/>
        </w:rPr>
        <w:t>天，污染晕的扩散范围达到最大，此后基本稳定直至泄漏末期</w:t>
      </w:r>
      <w:r>
        <w:t>(</w:t>
      </w:r>
      <w:r>
        <w:rPr>
          <w:rFonts w:hint="eastAsia"/>
        </w:rPr>
        <w:t>第</w:t>
      </w:r>
      <w:r>
        <w:t>20</w:t>
      </w:r>
      <w:r>
        <w:rPr>
          <w:rFonts w:hint="eastAsia"/>
        </w:rPr>
        <w:t>年</w:t>
      </w:r>
      <w:r>
        <w:t>)</w:t>
      </w:r>
      <w:r>
        <w:rPr>
          <w:rFonts w:hint="eastAsia"/>
        </w:rPr>
        <w:t>由表</w:t>
      </w:r>
      <w:r>
        <w:t>8.2-7</w:t>
      </w:r>
      <w:r>
        <w:rPr>
          <w:rFonts w:hint="eastAsia"/>
        </w:rPr>
        <w:t>可知：焚烧车间喷淋洗涤塔排水持续泄漏形成的汞污染晕最大范围平行地下水流向为</w:t>
      </w:r>
      <w:r>
        <w:t>-17m~705m</w:t>
      </w:r>
      <w:r>
        <w:rPr>
          <w:rFonts w:hint="eastAsia"/>
        </w:rPr>
        <w:t>，直径为</w:t>
      </w:r>
      <w:r>
        <w:t>722m</w:t>
      </w:r>
      <w:r>
        <w:rPr>
          <w:rFonts w:hint="eastAsia"/>
        </w:rPr>
        <w:t>，垂直水流方向为</w:t>
      </w:r>
      <w:r>
        <w:t>-50~50m</w:t>
      </w:r>
      <w:r>
        <w:rPr>
          <w:rFonts w:hint="eastAsia"/>
        </w:rPr>
        <w:t>，直径为</w:t>
      </w:r>
      <w:r>
        <w:t>100m</w:t>
      </w:r>
      <w:r>
        <w:rPr>
          <w:rFonts w:hint="eastAsia"/>
        </w:rPr>
        <w:t>；最大超标范围平行地下水流向为</w:t>
      </w:r>
      <w:r>
        <w:t>-10~621m</w:t>
      </w:r>
      <w:r>
        <w:rPr>
          <w:rFonts w:hint="eastAsia"/>
        </w:rPr>
        <w:t>，直径为</w:t>
      </w:r>
      <w:r>
        <w:t>631m</w:t>
      </w:r>
      <w:r>
        <w:rPr>
          <w:rFonts w:hint="eastAsia"/>
        </w:rPr>
        <w:t>，垂直水流方向为</w:t>
      </w:r>
      <w:r>
        <w:t>-27~27m</w:t>
      </w:r>
      <w:r>
        <w:rPr>
          <w:rFonts w:hint="eastAsia"/>
        </w:rPr>
        <w:t>，直径为</w:t>
      </w:r>
      <w:r>
        <w:t>54m</w:t>
      </w:r>
      <w:r>
        <w:rPr>
          <w:rFonts w:hint="eastAsia"/>
        </w:rPr>
        <w:t>。</w:t>
      </w:r>
    </w:p>
    <w:p>
      <w:pPr>
        <w:pStyle w:val="161"/>
        <w:ind w:firstLine="480"/>
        <w:rPr>
          <w:sz w:val="21"/>
          <w:szCs w:val="20"/>
        </w:rPr>
      </w:pPr>
      <w:r>
        <w:rPr>
          <w:rFonts w:hint="eastAsia"/>
        </w:rPr>
        <w:t>表6.2—2焚烧车间喷淋洗涤塔排水收集池持续泄漏地下水中汞污染预测结果</w:t>
      </w:r>
    </w:p>
    <w:tbl>
      <w:tblPr>
        <w:tblStyle w:val="181"/>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3212"/>
        <w:gridCol w:w="1608"/>
        <w:gridCol w:w="1606"/>
        <w:gridCol w:w="1658"/>
        <w:gridCol w:w="1554"/>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3212" w:type="dxa"/>
            <w:vMerge w:val="restart"/>
            <w:tcBorders>
              <w:top w:val="single" w:color="auto" w:sz="12" w:space="0"/>
              <w:left w:val="nil"/>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时间</w:t>
            </w:r>
          </w:p>
        </w:tc>
        <w:tc>
          <w:tcPr>
            <w:tcW w:w="3214" w:type="dxa"/>
            <w:gridSpan w:val="2"/>
            <w:tcBorders>
              <w:top w:val="single" w:color="auto" w:sz="12" w:space="0"/>
              <w:left w:val="dotted" w:color="auto" w:sz="8" w:space="0"/>
              <w:bottom w:val="dotted" w:color="auto" w:sz="4"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影响范围直径</w:t>
            </w:r>
            <w:r>
              <w:rPr>
                <w:rFonts w:cs="Times New Roman"/>
                <w:kern w:val="0"/>
                <w:sz w:val="21"/>
                <w:szCs w:val="20"/>
              </w:rPr>
              <w:t>(m)</w:t>
            </w:r>
          </w:p>
        </w:tc>
        <w:tc>
          <w:tcPr>
            <w:tcW w:w="3212" w:type="dxa"/>
            <w:gridSpan w:val="2"/>
            <w:tcBorders>
              <w:top w:val="single" w:color="auto" w:sz="12" w:space="0"/>
              <w:left w:val="dotted" w:color="auto" w:sz="8" w:space="0"/>
              <w:bottom w:val="dotted" w:color="auto" w:sz="4" w:space="0"/>
              <w:right w:val="nil"/>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超标范围直径</w:t>
            </w:r>
            <w:r>
              <w:rPr>
                <w:rFonts w:cs="Times New Roman"/>
                <w:kern w:val="0"/>
                <w:sz w:val="21"/>
                <w:szCs w:val="20"/>
              </w:rPr>
              <w:t>(m)</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3212" w:type="dxa"/>
            <w:vMerge w:val="continue"/>
            <w:tcBorders>
              <w:top w:val="single" w:color="auto" w:sz="12" w:space="0"/>
              <w:left w:val="nil"/>
              <w:bottom w:val="single" w:color="auto" w:sz="12"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608" w:type="dxa"/>
            <w:tcBorders>
              <w:top w:val="dotted" w:color="auto" w:sz="4" w:space="0"/>
              <w:left w:val="dotted" w:color="auto" w:sz="8"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平行水流方向</w:t>
            </w:r>
          </w:p>
        </w:tc>
        <w:tc>
          <w:tcPr>
            <w:tcW w:w="1606" w:type="dxa"/>
            <w:tcBorders>
              <w:top w:val="dotted" w:color="auto" w:sz="4" w:space="0"/>
              <w:left w:val="dotted" w:color="auto" w:sz="4"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垂直水流方向</w:t>
            </w:r>
          </w:p>
        </w:tc>
        <w:tc>
          <w:tcPr>
            <w:tcW w:w="1658" w:type="dxa"/>
            <w:tcBorders>
              <w:top w:val="dotted" w:color="auto" w:sz="4" w:space="0"/>
              <w:left w:val="dotted" w:color="auto" w:sz="8"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平行水流方向</w:t>
            </w:r>
          </w:p>
        </w:tc>
        <w:tc>
          <w:tcPr>
            <w:tcW w:w="1554" w:type="dxa"/>
            <w:tcBorders>
              <w:top w:val="dotted" w:color="auto" w:sz="4" w:space="0"/>
              <w:left w:val="dotted" w:color="auto" w:sz="4" w:space="0"/>
              <w:bottom w:val="single" w:color="auto" w:sz="12" w:space="0"/>
              <w:right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垂直水流方向</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3212" w:type="dxa"/>
            <w:tcBorders>
              <w:top w:val="single" w:color="auto" w:sz="12"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100</w:t>
            </w:r>
            <w:r>
              <w:rPr>
                <w:rFonts w:hint="eastAsia" w:cs="Times New Roman"/>
                <w:kern w:val="0"/>
                <w:sz w:val="21"/>
                <w:szCs w:val="20"/>
              </w:rPr>
              <w:t>天</w:t>
            </w:r>
          </w:p>
        </w:tc>
        <w:tc>
          <w:tcPr>
            <w:tcW w:w="1608" w:type="dxa"/>
            <w:tcBorders>
              <w:top w:val="single" w:color="auto" w:sz="12" w:space="0"/>
              <w:left w:val="dotted" w:color="auto" w:sz="8"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-15~47</w:t>
            </w:r>
          </w:p>
        </w:tc>
        <w:tc>
          <w:tcPr>
            <w:tcW w:w="1606" w:type="dxa"/>
            <w:tcBorders>
              <w:top w:val="single" w:color="auto" w:sz="12" w:space="0"/>
              <w:left w:val="dotted" w:color="auto" w:sz="4"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-9~9</w:t>
            </w:r>
          </w:p>
        </w:tc>
        <w:tc>
          <w:tcPr>
            <w:tcW w:w="1658" w:type="dxa"/>
            <w:tcBorders>
              <w:top w:val="single" w:color="auto" w:sz="12" w:space="0"/>
              <w:left w:val="dotted" w:color="auto" w:sz="8"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-9~35</w:t>
            </w:r>
          </w:p>
        </w:tc>
        <w:tc>
          <w:tcPr>
            <w:tcW w:w="1554" w:type="dxa"/>
            <w:tcBorders>
              <w:top w:val="single" w:color="auto" w:sz="12" w:space="0"/>
              <w:left w:val="dotted" w:color="auto" w:sz="4" w:space="0"/>
              <w:bottom w:val="dotted" w:color="auto" w:sz="8"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-6~6</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3212"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1000</w:t>
            </w:r>
            <w:r>
              <w:rPr>
                <w:rFonts w:hint="eastAsia" w:cs="Times New Roman"/>
                <w:kern w:val="0"/>
                <w:sz w:val="21"/>
                <w:szCs w:val="20"/>
              </w:rPr>
              <w:t>天</w:t>
            </w:r>
          </w:p>
        </w:tc>
        <w:tc>
          <w:tcPr>
            <w:tcW w:w="1608"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-17~271</w:t>
            </w:r>
          </w:p>
        </w:tc>
        <w:tc>
          <w:tcPr>
            <w:tcW w:w="1606"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-30~30</w:t>
            </w:r>
          </w:p>
        </w:tc>
        <w:tc>
          <w:tcPr>
            <w:tcW w:w="1658"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-9~227</w:t>
            </w:r>
          </w:p>
        </w:tc>
        <w:tc>
          <w:tcPr>
            <w:tcW w:w="1554" w:type="dxa"/>
            <w:tcBorders>
              <w:top w:val="dotted" w:color="auto" w:sz="8" w:space="0"/>
              <w:left w:val="dotted" w:color="auto" w:sz="4" w:space="0"/>
              <w:bottom w:val="dotted" w:color="auto" w:sz="8"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-19~19</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3212" w:type="dxa"/>
            <w:tcBorders>
              <w:top w:val="dotted" w:color="auto" w:sz="8" w:space="0"/>
              <w:left w:val="nil"/>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3000</w:t>
            </w:r>
            <w:r>
              <w:rPr>
                <w:rFonts w:hint="eastAsia" w:cs="Times New Roman"/>
                <w:kern w:val="0"/>
                <w:sz w:val="21"/>
                <w:szCs w:val="20"/>
              </w:rPr>
              <w:t>天</w:t>
            </w:r>
            <w:r>
              <w:rPr>
                <w:rFonts w:cs="Times New Roman"/>
                <w:kern w:val="0"/>
                <w:sz w:val="21"/>
                <w:szCs w:val="20"/>
              </w:rPr>
              <w:t>~20</w:t>
            </w:r>
            <w:r>
              <w:rPr>
                <w:rFonts w:hint="eastAsia" w:cs="Times New Roman"/>
                <w:kern w:val="0"/>
                <w:sz w:val="21"/>
                <w:szCs w:val="20"/>
              </w:rPr>
              <w:t>年</w:t>
            </w:r>
          </w:p>
        </w:tc>
        <w:tc>
          <w:tcPr>
            <w:tcW w:w="1608" w:type="dxa"/>
            <w:tcBorders>
              <w:top w:val="dotted" w:color="auto" w:sz="8" w:space="0"/>
              <w:left w:val="dotted" w:color="auto" w:sz="8"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-17~705</w:t>
            </w:r>
          </w:p>
        </w:tc>
        <w:tc>
          <w:tcPr>
            <w:tcW w:w="1606" w:type="dxa"/>
            <w:tcBorders>
              <w:top w:val="dotted" w:color="auto" w:sz="8" w:space="0"/>
              <w:left w:val="dotted" w:color="auto" w:sz="4"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-50~50</w:t>
            </w:r>
          </w:p>
        </w:tc>
        <w:tc>
          <w:tcPr>
            <w:tcW w:w="1658" w:type="dxa"/>
            <w:tcBorders>
              <w:top w:val="dotted" w:color="auto" w:sz="8" w:space="0"/>
              <w:left w:val="dotted" w:color="auto" w:sz="8"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-10~621</w:t>
            </w:r>
          </w:p>
        </w:tc>
        <w:tc>
          <w:tcPr>
            <w:tcW w:w="1554" w:type="dxa"/>
            <w:tcBorders>
              <w:top w:val="dotted" w:color="auto" w:sz="8" w:space="0"/>
              <w:left w:val="dotted" w:color="auto" w:sz="4" w:space="0"/>
              <w:bottom w:val="single" w:color="auto" w:sz="12"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-27~27</w:t>
            </w:r>
          </w:p>
        </w:tc>
      </w:tr>
    </w:tbl>
    <w:p>
      <w:pPr>
        <w:ind w:firstLine="480"/>
        <w:jc w:val="center"/>
        <w:rPr>
          <w:rFonts w:cs="Times New Roman"/>
          <w:color w:val="FF0000"/>
          <w:sz w:val="21"/>
          <w:szCs w:val="20"/>
        </w:rPr>
      </w:pPr>
    </w:p>
    <w:p>
      <w:pPr>
        <w:ind w:firstLine="480"/>
        <w:jc w:val="center"/>
        <w:rPr>
          <w:color w:val="FF0000"/>
        </w:rPr>
      </w:pPr>
      <w:r>
        <w:rPr>
          <w:rFonts w:hAnsi="宋体"/>
          <w:szCs w:val="24"/>
        </w:rPr>
        <w:t>a</w:t>
      </w:r>
      <w:r>
        <w:rPr>
          <w:rFonts w:hint="eastAsia" w:hAnsi="宋体"/>
          <w:szCs w:val="24"/>
        </w:rPr>
        <w:t>、泄漏</w:t>
      </w:r>
      <w:r>
        <w:rPr>
          <w:rFonts w:hAnsi="宋体"/>
          <w:szCs w:val="24"/>
        </w:rPr>
        <w:t>100</w:t>
      </w:r>
      <w:r>
        <w:rPr>
          <w:rFonts w:hint="eastAsia" w:hAnsi="宋体"/>
          <w:szCs w:val="24"/>
        </w:rPr>
        <w:t>天地下水中汞污染晕扩散平面图</w:t>
      </w:r>
    </w:p>
    <w:p>
      <w:pPr>
        <w:ind w:firstLine="480"/>
        <w:jc w:val="center"/>
        <w:rPr>
          <w:rFonts w:hAnsi="宋体"/>
          <w:szCs w:val="24"/>
        </w:rPr>
      </w:pPr>
    </w:p>
    <w:p>
      <w:pPr>
        <w:ind w:firstLine="480"/>
        <w:jc w:val="center"/>
        <w:rPr>
          <w:color w:val="FF0000"/>
          <w:sz w:val="21"/>
          <w:szCs w:val="20"/>
        </w:rPr>
      </w:pPr>
      <w:r>
        <w:rPr>
          <w:rFonts w:hAnsi="宋体"/>
          <w:szCs w:val="24"/>
        </w:rPr>
        <w:t>b</w:t>
      </w:r>
      <w:r>
        <w:rPr>
          <w:rFonts w:hint="eastAsia" w:hAnsi="宋体"/>
          <w:szCs w:val="24"/>
        </w:rPr>
        <w:t>、泄漏</w:t>
      </w:r>
      <w:r>
        <w:rPr>
          <w:rFonts w:hAnsi="宋体"/>
          <w:szCs w:val="24"/>
        </w:rPr>
        <w:t>1000</w:t>
      </w:r>
      <w:r>
        <w:rPr>
          <w:rFonts w:hint="eastAsia" w:hAnsi="宋体"/>
          <w:szCs w:val="24"/>
        </w:rPr>
        <w:t>天地下水中汞污染晕扩散平面图</w:t>
      </w:r>
    </w:p>
    <w:p>
      <w:pPr>
        <w:ind w:firstLine="480"/>
        <w:jc w:val="center"/>
        <w:rPr>
          <w:color w:val="FF0000"/>
        </w:rPr>
      </w:pPr>
    </w:p>
    <w:p>
      <w:pPr>
        <w:adjustRightInd w:val="0"/>
        <w:snapToGrid w:val="0"/>
        <w:ind w:firstLine="480"/>
        <w:jc w:val="center"/>
        <w:rPr>
          <w:rFonts w:hAnsi="宋体"/>
          <w:szCs w:val="24"/>
        </w:rPr>
      </w:pPr>
      <w:r>
        <w:rPr>
          <w:rFonts w:hAnsi="宋体"/>
          <w:szCs w:val="24"/>
        </w:rPr>
        <w:t>c</w:t>
      </w:r>
      <w:r>
        <w:rPr>
          <w:rFonts w:hint="eastAsia" w:hAnsi="宋体"/>
          <w:szCs w:val="24"/>
        </w:rPr>
        <w:t>、泄漏</w:t>
      </w:r>
      <w:r>
        <w:rPr>
          <w:rFonts w:hAnsi="宋体"/>
          <w:szCs w:val="24"/>
        </w:rPr>
        <w:t>3000</w:t>
      </w:r>
      <w:r>
        <w:rPr>
          <w:rFonts w:hint="eastAsia" w:hAnsi="宋体"/>
          <w:szCs w:val="24"/>
        </w:rPr>
        <w:t>天</w:t>
      </w:r>
      <w:r>
        <w:rPr>
          <w:rFonts w:hAnsi="宋体"/>
          <w:szCs w:val="24"/>
        </w:rPr>
        <w:t>~20</w:t>
      </w:r>
      <w:r>
        <w:rPr>
          <w:rFonts w:hint="eastAsia" w:hAnsi="宋体"/>
          <w:szCs w:val="24"/>
        </w:rPr>
        <w:t>年地下水中汞污染晕扩散平面图</w:t>
      </w:r>
    </w:p>
    <w:p>
      <w:pPr>
        <w:adjustRightInd w:val="0"/>
        <w:snapToGrid w:val="0"/>
        <w:ind w:firstLine="480"/>
        <w:jc w:val="center"/>
        <w:rPr>
          <w:rFonts w:hAnsi="宋体"/>
          <w:szCs w:val="24"/>
        </w:rPr>
      </w:pPr>
      <w:r>
        <w:rPr>
          <w:rFonts w:hint="eastAsia" w:hAnsi="宋体"/>
          <w:szCs w:val="24"/>
        </w:rPr>
        <w:t>图6.2—</w:t>
      </w:r>
      <w:r>
        <w:rPr>
          <w:rFonts w:hAnsi="宋体"/>
          <w:szCs w:val="24"/>
        </w:rPr>
        <w:t>2</w:t>
      </w:r>
      <w:r>
        <w:rPr>
          <w:rFonts w:hint="eastAsia" w:hAnsi="宋体"/>
          <w:szCs w:val="24"/>
        </w:rPr>
        <w:t>焚烧车间喷淋洗涤塔排水收集池</w:t>
      </w:r>
      <w:r>
        <w:rPr>
          <w:color w:val="FF0000"/>
        </w:rPr>
        <w:drawing>
          <wp:inline distT="0" distB="0" distL="0" distR="0">
            <wp:extent cx="5274945" cy="1125855"/>
            <wp:effectExtent l="0" t="0" r="1905" b="17145"/>
            <wp:docPr id="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9"/>
                    <pic:cNvPicPr>
                      <a:picLocks noChangeAspect="1" noChangeArrowheads="1"/>
                    </pic:cNvPicPr>
                  </pic:nvPicPr>
                  <pic:blipFill>
                    <a:blip r:embed="rId47" cstate="print"/>
                    <a:srcRect/>
                    <a:stretch>
                      <a:fillRect/>
                    </a:stretch>
                  </pic:blipFill>
                  <pic:spPr>
                    <a:xfrm>
                      <a:off x="0" y="0"/>
                      <a:ext cx="5274945" cy="1125855"/>
                    </a:xfrm>
                    <a:prstGeom prst="rect">
                      <a:avLst/>
                    </a:prstGeom>
                    <a:noFill/>
                    <a:ln w="9525">
                      <a:noFill/>
                      <a:miter lim="800000"/>
                      <a:headEnd/>
                      <a:tailEnd/>
                    </a:ln>
                  </pic:spPr>
                </pic:pic>
              </a:graphicData>
            </a:graphic>
          </wp:inline>
        </w:drawing>
      </w:r>
      <w:r>
        <w:rPr>
          <w:rFonts w:hint="eastAsia" w:hAnsi="宋体"/>
          <w:szCs w:val="24"/>
        </w:rPr>
        <w:t>持续泄漏地下水中汞污染预测结果</w:t>
      </w:r>
    </w:p>
    <w:p>
      <w:pPr>
        <w:pStyle w:val="5"/>
      </w:pPr>
      <w:bookmarkStart w:id="401" w:name="_Toc13760210"/>
      <w:r>
        <w:rPr>
          <w:rFonts w:hint="eastAsia"/>
        </w:rPr>
        <w:t>6.2.3物化车间沉淀池短时间泄漏</w:t>
      </w:r>
      <w:bookmarkEnd w:id="401"/>
    </w:p>
    <w:p>
      <w:pPr>
        <w:pStyle w:val="161"/>
        <w:ind w:firstLine="480"/>
      </w:pPr>
      <w:r>
        <w:rPr>
          <w:rFonts w:hint="eastAsia"/>
        </w:rPr>
        <w:t>若企业加强对各分区防渗层完整性和有效性的排查，发现防渗层失效或破损及时进行修复，则谢落</w:t>
      </w:r>
      <w:r>
        <w:t>100</w:t>
      </w:r>
      <w:r>
        <w:rPr>
          <w:rFonts w:hint="eastAsia"/>
        </w:rPr>
        <w:t>天停止泄漏之后至第</w:t>
      </w:r>
      <w:r>
        <w:t>300</w:t>
      </w:r>
      <w:r>
        <w:rPr>
          <w:rFonts w:hint="eastAsia"/>
        </w:rPr>
        <w:t>天，污染晕的范围将逐渐减小，污染晕最大浓度也将随着地下水的稀释逐渐变小，至第</w:t>
      </w:r>
      <w:r>
        <w:t>400</w:t>
      </w:r>
      <w:r>
        <w:rPr>
          <w:rFonts w:hint="eastAsia"/>
        </w:rPr>
        <w:t>天，最大浓度减小至</w:t>
      </w:r>
      <w:r>
        <w:t>0.19mg/L</w:t>
      </w:r>
      <w:r>
        <w:rPr>
          <w:rFonts w:hint="eastAsia"/>
        </w:rPr>
        <w:t>，低于超标限</w:t>
      </w:r>
      <w:r>
        <w:t>(0.3mg/L)</w:t>
      </w:r>
      <w:r>
        <w:rPr>
          <w:rFonts w:hint="eastAsia"/>
        </w:rPr>
        <w:t>，污染晕对地下水的影响基本消失。此种情景，污染晕平行水流方向最大影响范围为</w:t>
      </w:r>
      <w:r>
        <w:t>-5~49m</w:t>
      </w:r>
      <w:r>
        <w:rPr>
          <w:rFonts w:hint="eastAsia"/>
        </w:rPr>
        <w:t>，垂直水流方向最大影响范围为</w:t>
      </w:r>
      <w:r>
        <w:t>-4~4m</w:t>
      </w:r>
      <w:r>
        <w:rPr>
          <w:rFonts w:hint="eastAsia"/>
        </w:rPr>
        <w:t>，远远小于持续泄漏情景的影响范围，表明企业若能加强管理，发生泄漏及时切断污染物向含水层中的泄漏途径，可将泄漏引起的地下水污染降低至可接受的范围。</w:t>
      </w:r>
    </w:p>
    <w:p>
      <w:pPr>
        <w:pStyle w:val="161"/>
        <w:ind w:firstLine="480"/>
        <w:rPr>
          <w:sz w:val="21"/>
          <w:szCs w:val="20"/>
        </w:rPr>
      </w:pPr>
      <w:r>
        <w:rPr>
          <w:rFonts w:hint="eastAsia"/>
        </w:rPr>
        <w:t>表6.2—3物化车间沉淀池短时泄漏地下水中石油类污染预测结果</w:t>
      </w:r>
    </w:p>
    <w:tbl>
      <w:tblPr>
        <w:tblStyle w:val="181"/>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1725"/>
        <w:gridCol w:w="3094"/>
        <w:gridCol w:w="2839"/>
        <w:gridCol w:w="1980"/>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725" w:type="dxa"/>
            <w:tcBorders>
              <w:top w:val="single" w:color="auto" w:sz="12" w:space="0"/>
              <w:left w:val="nil"/>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时间</w:t>
            </w:r>
          </w:p>
        </w:tc>
        <w:tc>
          <w:tcPr>
            <w:tcW w:w="3094"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垂直水流方向污染范围</w:t>
            </w:r>
          </w:p>
        </w:tc>
        <w:tc>
          <w:tcPr>
            <w:tcW w:w="2839" w:type="dxa"/>
            <w:tcBorders>
              <w:top w:val="single" w:color="auto" w:sz="12" w:space="0"/>
              <w:left w:val="dotted" w:color="auto" w:sz="8" w:space="0"/>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水流方向污染范围</w:t>
            </w:r>
          </w:p>
        </w:tc>
        <w:tc>
          <w:tcPr>
            <w:tcW w:w="1980" w:type="dxa"/>
            <w:tcBorders>
              <w:top w:val="single" w:color="auto" w:sz="12" w:space="0"/>
              <w:left w:val="dotted" w:color="auto" w:sz="8" w:space="0"/>
              <w:bottom w:val="single" w:color="auto" w:sz="12" w:space="0"/>
              <w:right w:val="nil"/>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最大浓度</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725" w:type="dxa"/>
            <w:tcBorders>
              <w:top w:val="single" w:color="auto" w:sz="12"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100</w:t>
            </w:r>
            <w:r>
              <w:rPr>
                <w:rFonts w:hint="eastAsia" w:cs="Times New Roman"/>
                <w:kern w:val="0"/>
                <w:sz w:val="21"/>
                <w:szCs w:val="20"/>
              </w:rPr>
              <w:t>天</w:t>
            </w:r>
          </w:p>
        </w:tc>
        <w:tc>
          <w:tcPr>
            <w:tcW w:w="3094"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-4~4</w:t>
            </w:r>
          </w:p>
        </w:tc>
        <w:tc>
          <w:tcPr>
            <w:tcW w:w="2839"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-5~24</w:t>
            </w:r>
          </w:p>
        </w:tc>
        <w:tc>
          <w:tcPr>
            <w:tcW w:w="1980" w:type="dxa"/>
            <w:tcBorders>
              <w:top w:val="single" w:color="auto" w:sz="12"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1.45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725"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200</w:t>
            </w:r>
            <w:r>
              <w:rPr>
                <w:rFonts w:hint="eastAsia" w:cs="Times New Roman"/>
                <w:kern w:val="0"/>
                <w:sz w:val="21"/>
                <w:szCs w:val="20"/>
              </w:rPr>
              <w:t>天</w:t>
            </w:r>
          </w:p>
        </w:tc>
        <w:tc>
          <w:tcPr>
            <w:tcW w:w="309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-3~3</w:t>
            </w:r>
          </w:p>
        </w:tc>
        <w:tc>
          <w:tcPr>
            <w:tcW w:w="2839"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15~35</w:t>
            </w:r>
          </w:p>
        </w:tc>
        <w:tc>
          <w:tcPr>
            <w:tcW w:w="1980"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0.73</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725"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300</w:t>
            </w:r>
            <w:r>
              <w:rPr>
                <w:rFonts w:hint="eastAsia" w:cs="Times New Roman"/>
                <w:kern w:val="0"/>
                <w:sz w:val="21"/>
                <w:szCs w:val="20"/>
              </w:rPr>
              <w:t>天</w:t>
            </w:r>
          </w:p>
        </w:tc>
        <w:tc>
          <w:tcPr>
            <w:tcW w:w="309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-1~1</w:t>
            </w:r>
          </w:p>
        </w:tc>
        <w:tc>
          <w:tcPr>
            <w:tcW w:w="2839"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38~49</w:t>
            </w:r>
          </w:p>
        </w:tc>
        <w:tc>
          <w:tcPr>
            <w:tcW w:w="1980" w:type="dxa"/>
            <w:tcBorders>
              <w:top w:val="dotted" w:color="auto" w:sz="8" w:space="0"/>
              <w:left w:val="dotted" w:color="auto" w:sz="8" w:space="0"/>
              <w:bottom w:val="dotted" w:color="auto" w:sz="8"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0.33</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725" w:type="dxa"/>
            <w:tcBorders>
              <w:top w:val="dotted" w:color="auto" w:sz="8" w:space="0"/>
              <w:left w:val="nil"/>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400</w:t>
            </w:r>
            <w:r>
              <w:rPr>
                <w:rFonts w:hint="eastAsia" w:cs="Times New Roman"/>
                <w:kern w:val="0"/>
                <w:sz w:val="21"/>
                <w:szCs w:val="20"/>
              </w:rPr>
              <w:t>天</w:t>
            </w:r>
          </w:p>
        </w:tc>
        <w:tc>
          <w:tcPr>
            <w:tcW w:w="3094"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w:t>
            </w:r>
          </w:p>
        </w:tc>
        <w:tc>
          <w:tcPr>
            <w:tcW w:w="2839"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w:t>
            </w:r>
          </w:p>
        </w:tc>
        <w:tc>
          <w:tcPr>
            <w:tcW w:w="1980" w:type="dxa"/>
            <w:tcBorders>
              <w:top w:val="dotted" w:color="auto" w:sz="8" w:space="0"/>
              <w:left w:val="dotted" w:color="auto" w:sz="8" w:space="0"/>
              <w:bottom w:val="single" w:color="auto" w:sz="12"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0.19</w:t>
            </w:r>
          </w:p>
        </w:tc>
      </w:tr>
    </w:tbl>
    <w:p>
      <w:pPr>
        <w:ind w:firstLine="480"/>
        <w:jc w:val="center"/>
        <w:rPr>
          <w:rFonts w:cs="Times New Roman"/>
          <w:sz w:val="21"/>
          <w:szCs w:val="20"/>
        </w:rPr>
      </w:pPr>
    </w:p>
    <w:p>
      <w:pPr>
        <w:ind w:firstLine="480"/>
        <w:jc w:val="center"/>
      </w:pPr>
      <w:r>
        <w:rPr>
          <w:rFonts w:hAnsi="宋体"/>
          <w:szCs w:val="24"/>
        </w:rPr>
        <w:t>a</w:t>
      </w:r>
      <w:r>
        <w:rPr>
          <w:rFonts w:hint="eastAsia" w:hAnsi="宋体"/>
          <w:szCs w:val="24"/>
        </w:rPr>
        <w:t>、泄漏</w:t>
      </w:r>
      <w:r>
        <w:rPr>
          <w:rFonts w:hAnsi="宋体"/>
          <w:szCs w:val="24"/>
        </w:rPr>
        <w:t>100</w:t>
      </w:r>
      <w:r>
        <w:rPr>
          <w:rFonts w:hint="eastAsia" w:hAnsi="宋体"/>
          <w:szCs w:val="24"/>
        </w:rPr>
        <w:t>天，地下水中石油类污染晕扩散平面图</w:t>
      </w:r>
    </w:p>
    <w:p>
      <w:pPr>
        <w:ind w:firstLine="480"/>
        <w:jc w:val="center"/>
      </w:pPr>
    </w:p>
    <w:p>
      <w:pPr>
        <w:ind w:firstLine="480"/>
        <w:jc w:val="center"/>
        <w:rPr>
          <w:rFonts w:hAnsi="宋体"/>
          <w:szCs w:val="24"/>
        </w:rPr>
      </w:pPr>
    </w:p>
    <w:p>
      <w:pPr>
        <w:ind w:firstLine="480"/>
        <w:jc w:val="center"/>
        <w:rPr>
          <w:sz w:val="21"/>
          <w:szCs w:val="20"/>
        </w:rPr>
      </w:pPr>
      <w:r>
        <w:rPr>
          <w:rFonts w:hAnsi="宋体"/>
          <w:szCs w:val="24"/>
        </w:rPr>
        <w:t>b</w:t>
      </w:r>
      <w:r>
        <w:rPr>
          <w:rFonts w:hint="eastAsia" w:hAnsi="宋体"/>
          <w:szCs w:val="24"/>
        </w:rPr>
        <w:t>、泄漏</w:t>
      </w:r>
      <w:r>
        <w:rPr>
          <w:rFonts w:hAnsi="宋体"/>
          <w:szCs w:val="24"/>
        </w:rPr>
        <w:t>100</w:t>
      </w:r>
      <w:r>
        <w:rPr>
          <w:rFonts w:hint="eastAsia" w:hAnsi="宋体"/>
          <w:szCs w:val="24"/>
        </w:rPr>
        <w:t>天，第</w:t>
      </w:r>
      <w:r>
        <w:rPr>
          <w:rFonts w:hAnsi="宋体"/>
          <w:szCs w:val="24"/>
        </w:rPr>
        <w:t>200</w:t>
      </w:r>
      <w:r>
        <w:rPr>
          <w:rFonts w:hint="eastAsia" w:hAnsi="宋体"/>
          <w:szCs w:val="24"/>
        </w:rPr>
        <w:t>天地下水中石油类污染晕扩散平面图</w:t>
      </w:r>
    </w:p>
    <w:p>
      <w:pPr>
        <w:ind w:firstLine="480"/>
        <w:jc w:val="center"/>
      </w:pPr>
    </w:p>
    <w:p>
      <w:pPr>
        <w:ind w:firstLine="480"/>
        <w:jc w:val="center"/>
      </w:pPr>
      <w:r>
        <w:rPr>
          <w:rFonts w:hAnsi="宋体"/>
          <w:szCs w:val="24"/>
        </w:rPr>
        <w:t>c</w:t>
      </w:r>
      <w:r>
        <w:rPr>
          <w:rFonts w:hint="eastAsia" w:hAnsi="宋体"/>
          <w:szCs w:val="24"/>
        </w:rPr>
        <w:t>、泄漏</w:t>
      </w:r>
      <w:r>
        <w:rPr>
          <w:rFonts w:hAnsi="宋体"/>
          <w:szCs w:val="24"/>
        </w:rPr>
        <w:t>100</w:t>
      </w:r>
      <w:r>
        <w:rPr>
          <w:rFonts w:hint="eastAsia" w:hAnsi="宋体"/>
          <w:szCs w:val="24"/>
        </w:rPr>
        <w:t>天，第</w:t>
      </w:r>
      <w:r>
        <w:rPr>
          <w:rFonts w:hAnsi="宋体"/>
          <w:szCs w:val="24"/>
        </w:rPr>
        <w:t>300</w:t>
      </w:r>
      <w:r>
        <w:rPr>
          <w:rFonts w:hint="eastAsia" w:hAnsi="宋体"/>
          <w:szCs w:val="24"/>
        </w:rPr>
        <w:t>天地下水中石油类污染晕扩散平面图</w:t>
      </w:r>
    </w:p>
    <w:p>
      <w:pPr>
        <w:ind w:firstLine="480"/>
        <w:jc w:val="center"/>
      </w:pPr>
    </w:p>
    <w:p>
      <w:pPr>
        <w:ind w:firstLine="480"/>
        <w:jc w:val="center"/>
        <w:rPr>
          <w:rFonts w:hAnsi="宋体"/>
          <w:szCs w:val="24"/>
        </w:rPr>
      </w:pPr>
      <w:r>
        <w:rPr>
          <w:rFonts w:hAnsi="宋体"/>
          <w:szCs w:val="24"/>
        </w:rPr>
        <w:t>d</w:t>
      </w:r>
      <w:r>
        <w:rPr>
          <w:rFonts w:hint="eastAsia" w:hAnsi="宋体"/>
          <w:szCs w:val="24"/>
        </w:rPr>
        <w:t>、泄漏</w:t>
      </w:r>
      <w:r>
        <w:rPr>
          <w:rFonts w:hAnsi="宋体"/>
          <w:szCs w:val="24"/>
        </w:rPr>
        <w:t>100</w:t>
      </w:r>
      <w:r>
        <w:rPr>
          <w:rFonts w:hint="eastAsia" w:hAnsi="宋体"/>
          <w:szCs w:val="24"/>
        </w:rPr>
        <w:t>天，第</w:t>
      </w:r>
      <w:r>
        <w:rPr>
          <w:rFonts w:hAnsi="宋体"/>
          <w:szCs w:val="24"/>
        </w:rPr>
        <w:t>400</w:t>
      </w:r>
      <w:r>
        <w:rPr>
          <w:rFonts w:hint="eastAsia" w:hAnsi="宋体"/>
          <w:szCs w:val="24"/>
        </w:rPr>
        <w:t>天地下水中石油类污染晕扩散平面图</w:t>
      </w:r>
    </w:p>
    <w:p>
      <w:pPr>
        <w:ind w:firstLine="480"/>
        <w:jc w:val="center"/>
        <w:rPr>
          <w:rFonts w:hAnsi="宋体"/>
          <w:szCs w:val="24"/>
        </w:rPr>
      </w:pPr>
      <w:r>
        <w:rPr>
          <w:rFonts w:hint="eastAsia" w:hAnsi="宋体"/>
          <w:szCs w:val="24"/>
        </w:rPr>
        <w:t>图</w:t>
      </w:r>
      <w:r>
        <w:rPr>
          <w:rFonts w:hint="eastAsia"/>
        </w:rPr>
        <w:t>6.2—</w:t>
      </w:r>
      <w:r>
        <w:rPr>
          <w:rFonts w:hAnsi="宋体"/>
          <w:szCs w:val="24"/>
        </w:rPr>
        <w:t xml:space="preserve">3 </w:t>
      </w:r>
      <w:r>
        <w:rPr>
          <w:rFonts w:hint="eastAsia" w:hAnsi="宋体"/>
          <w:szCs w:val="24"/>
        </w:rPr>
        <w:t>物化车间沉淀池短时泄漏地下水中石油类污染预测结果</w:t>
      </w:r>
    </w:p>
    <w:p>
      <w:pPr>
        <w:pStyle w:val="5"/>
      </w:pPr>
      <w:bookmarkStart w:id="402" w:name="_Toc13760211"/>
      <w:r>
        <w:rPr>
          <w:rFonts w:hint="eastAsia"/>
        </w:rPr>
        <w:t>6.2.4焚烧车间喷淋洗涤塔排水收集池短时泄漏</w:t>
      </w:r>
      <w:bookmarkEnd w:id="402"/>
    </w:p>
    <w:p>
      <w:pPr>
        <w:adjustRightInd w:val="0"/>
        <w:snapToGrid w:val="0"/>
        <w:ind w:firstLine="480"/>
        <w:rPr>
          <w:rFonts w:hAnsi="宋体"/>
          <w:szCs w:val="24"/>
        </w:rPr>
      </w:pPr>
      <w:r>
        <w:rPr>
          <w:rFonts w:hint="eastAsia" w:hAnsi="宋体"/>
          <w:szCs w:val="24"/>
        </w:rPr>
        <w:t>焚烧车间喷淋洗涤塔排水收集池短时泄漏在地下水中形成的汞污染晕与物化车间短时泄漏污染晕迁移情景相似。在泄漏</w:t>
      </w:r>
      <w:r>
        <w:rPr>
          <w:rFonts w:hAnsi="宋体"/>
          <w:szCs w:val="24"/>
        </w:rPr>
        <w:t>100</w:t>
      </w:r>
      <w:r>
        <w:rPr>
          <w:rFonts w:hint="eastAsia" w:hAnsi="宋体"/>
          <w:szCs w:val="24"/>
        </w:rPr>
        <w:t>天停止泄漏后，污染晕范围在地下水的稀释作用下逐渐减小，至第</w:t>
      </w:r>
      <w:r>
        <w:rPr>
          <w:rFonts w:hAnsi="宋体"/>
          <w:szCs w:val="24"/>
        </w:rPr>
        <w:t>600</w:t>
      </w:r>
      <w:r>
        <w:rPr>
          <w:rFonts w:hint="eastAsia" w:hAnsi="宋体"/>
          <w:szCs w:val="24"/>
        </w:rPr>
        <w:t>天，污染晕最大浓度减小至</w:t>
      </w:r>
      <w:r>
        <w:rPr>
          <w:rFonts w:hAnsi="宋体"/>
          <w:szCs w:val="24"/>
        </w:rPr>
        <w:t>0.000045mg/L</w:t>
      </w:r>
      <w:r>
        <w:rPr>
          <w:rFonts w:hint="eastAsia" w:hAnsi="宋体"/>
          <w:szCs w:val="24"/>
        </w:rPr>
        <w:t>，小于影响范围限值</w:t>
      </w:r>
      <w:r>
        <w:rPr>
          <w:rFonts w:hAnsi="宋体"/>
          <w:szCs w:val="24"/>
        </w:rPr>
        <w:t>(0.00005mg/L)</w:t>
      </w:r>
      <w:r>
        <w:rPr>
          <w:rFonts w:hint="eastAsia" w:hAnsi="宋体"/>
          <w:szCs w:val="24"/>
        </w:rPr>
        <w:t>，汞污染物对地下水的影响基本消失。短时泄漏汞污染晕最大影响范围直径为</w:t>
      </w:r>
      <w:r>
        <w:rPr>
          <w:rFonts w:hAnsi="宋体"/>
          <w:szCs w:val="24"/>
        </w:rPr>
        <w:t>62m</w:t>
      </w:r>
      <w:r>
        <w:rPr>
          <w:rFonts w:hint="eastAsia" w:hAnsi="宋体"/>
          <w:szCs w:val="24"/>
        </w:rPr>
        <w:t>，远远小于持续泄漏情景的</w:t>
      </w:r>
      <w:r>
        <w:rPr>
          <w:rFonts w:hAnsi="宋体"/>
          <w:szCs w:val="24"/>
        </w:rPr>
        <w:t>725m</w:t>
      </w:r>
      <w:r>
        <w:rPr>
          <w:rFonts w:hint="eastAsia" w:hAnsi="宋体"/>
          <w:szCs w:val="24"/>
        </w:rPr>
        <w:t>，且污染是短暂的，表明企业若能加强管理，发生泄漏及时切断污染物向含水层中的泄漏途径，可将泄漏引起的地下水污染降低至可接受的范围。</w:t>
      </w:r>
    </w:p>
    <w:p>
      <w:pPr>
        <w:adjustRightInd w:val="0"/>
        <w:snapToGrid w:val="0"/>
        <w:ind w:firstLine="480"/>
        <w:rPr>
          <w:sz w:val="21"/>
          <w:szCs w:val="20"/>
        </w:rPr>
      </w:pPr>
      <w:r>
        <w:rPr>
          <w:rFonts w:hint="eastAsia" w:hAnsi="宋体"/>
          <w:szCs w:val="24"/>
        </w:rPr>
        <w:t>表6.2—4焚烧车间喷淋洗涤塔排水收集池短时泄漏地下水中汞污染预测结果</w:t>
      </w:r>
    </w:p>
    <w:tbl>
      <w:tblPr>
        <w:tblStyle w:val="181"/>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1929"/>
        <w:gridCol w:w="1607"/>
        <w:gridCol w:w="1606"/>
        <w:gridCol w:w="1660"/>
        <w:gridCol w:w="1571"/>
        <w:gridCol w:w="1265"/>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929" w:type="dxa"/>
            <w:vMerge w:val="restart"/>
            <w:tcBorders>
              <w:top w:val="single" w:color="auto" w:sz="12" w:space="0"/>
              <w:left w:val="nil"/>
              <w:bottom w:val="single" w:color="auto" w:sz="12"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时间</w:t>
            </w:r>
          </w:p>
        </w:tc>
        <w:tc>
          <w:tcPr>
            <w:tcW w:w="3213" w:type="dxa"/>
            <w:gridSpan w:val="2"/>
            <w:tcBorders>
              <w:top w:val="single" w:color="auto" w:sz="12" w:space="0"/>
              <w:left w:val="dotted" w:color="auto" w:sz="8" w:space="0"/>
              <w:bottom w:val="dotted" w:color="auto" w:sz="4"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影响范围直径</w:t>
            </w:r>
            <w:r>
              <w:rPr>
                <w:rFonts w:cs="Times New Roman"/>
                <w:kern w:val="0"/>
                <w:sz w:val="21"/>
                <w:szCs w:val="20"/>
              </w:rPr>
              <w:t>(m)</w:t>
            </w:r>
          </w:p>
        </w:tc>
        <w:tc>
          <w:tcPr>
            <w:tcW w:w="3231" w:type="dxa"/>
            <w:gridSpan w:val="2"/>
            <w:tcBorders>
              <w:top w:val="single" w:color="auto" w:sz="12" w:space="0"/>
              <w:left w:val="dotted" w:color="auto" w:sz="8" w:space="0"/>
              <w:bottom w:val="dotted" w:color="auto" w:sz="4" w:space="0"/>
              <w:right w:val="dotted" w:color="auto" w:sz="4" w:space="0"/>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超标范围直径</w:t>
            </w:r>
            <w:r>
              <w:rPr>
                <w:rFonts w:cs="Times New Roman"/>
                <w:kern w:val="0"/>
                <w:sz w:val="21"/>
                <w:szCs w:val="20"/>
              </w:rPr>
              <w:t>(m)</w:t>
            </w:r>
          </w:p>
        </w:tc>
        <w:tc>
          <w:tcPr>
            <w:tcW w:w="1265" w:type="dxa"/>
            <w:vMerge w:val="restart"/>
            <w:tcBorders>
              <w:top w:val="single" w:color="auto" w:sz="12" w:space="0"/>
              <w:bottom w:val="single" w:color="auto" w:sz="12" w:space="0"/>
              <w:right w:val="nil"/>
              <w:insideV w:val="dotted" w:sz="4" w:space="0"/>
              <w:tl2br w:val="nil"/>
              <w:tr2bl w:val="nil"/>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最大浓度</w:t>
            </w:r>
            <w:r>
              <w:rPr>
                <w:rFonts w:cs="Times New Roman"/>
                <w:kern w:val="0"/>
                <w:sz w:val="21"/>
                <w:szCs w:val="20"/>
              </w:rPr>
              <w:t>(mg/L)</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929" w:type="dxa"/>
            <w:vMerge w:val="continue"/>
            <w:tcBorders>
              <w:top w:val="single" w:color="auto" w:sz="12" w:space="0"/>
              <w:left w:val="nil"/>
              <w:bottom w:val="single" w:color="auto" w:sz="12"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1607" w:type="dxa"/>
            <w:tcBorders>
              <w:top w:val="dotted" w:color="auto" w:sz="4" w:space="0"/>
              <w:left w:val="dotted" w:color="auto" w:sz="8"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平行水流方向</w:t>
            </w:r>
          </w:p>
        </w:tc>
        <w:tc>
          <w:tcPr>
            <w:tcW w:w="1606" w:type="dxa"/>
            <w:tcBorders>
              <w:top w:val="dotted" w:color="auto" w:sz="4" w:space="0"/>
              <w:left w:val="dotted" w:color="auto" w:sz="4"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垂直水流方向</w:t>
            </w:r>
          </w:p>
        </w:tc>
        <w:tc>
          <w:tcPr>
            <w:tcW w:w="1660" w:type="dxa"/>
            <w:tcBorders>
              <w:top w:val="dotted" w:color="auto" w:sz="4" w:space="0"/>
              <w:left w:val="dotted" w:color="auto" w:sz="8"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平行水流方向</w:t>
            </w:r>
          </w:p>
        </w:tc>
        <w:tc>
          <w:tcPr>
            <w:tcW w:w="15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hint="eastAsia" w:cs="Times New Roman"/>
                <w:kern w:val="0"/>
                <w:sz w:val="21"/>
                <w:szCs w:val="20"/>
              </w:rPr>
              <w:t>垂直水流方向</w:t>
            </w:r>
          </w:p>
        </w:tc>
        <w:tc>
          <w:tcPr>
            <w:tcW w:w="1265" w:type="dxa"/>
            <w:vMerge w:val="continue"/>
            <w:tcBorders>
              <w:top w:val="single" w:color="auto" w:sz="12" w:space="0"/>
              <w:left w:val="dotted" w:color="auto" w:sz="4" w:space="0"/>
              <w:bottom w:val="single" w:color="auto" w:sz="12" w:space="0"/>
              <w:right w:val="nil"/>
            </w:tcBorders>
            <w:vAlign w:val="center"/>
          </w:tcPr>
          <w:p>
            <w:pPr>
              <w:widowControl/>
              <w:spacing w:line="240" w:lineRule="atLeast"/>
              <w:ind w:firstLine="0" w:firstLineChars="0"/>
              <w:jc w:val="left"/>
              <w:rPr>
                <w:rFonts w:cs="Times New Roman"/>
                <w:kern w:val="0"/>
                <w:sz w:val="21"/>
                <w:szCs w:val="20"/>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929" w:type="dxa"/>
            <w:tcBorders>
              <w:top w:val="single" w:color="auto" w:sz="12"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100</w:t>
            </w:r>
            <w:r>
              <w:rPr>
                <w:rFonts w:hint="eastAsia" w:cs="Times New Roman"/>
                <w:kern w:val="0"/>
                <w:sz w:val="21"/>
                <w:szCs w:val="20"/>
              </w:rPr>
              <w:t>天</w:t>
            </w:r>
          </w:p>
        </w:tc>
        <w:tc>
          <w:tcPr>
            <w:tcW w:w="1607" w:type="dxa"/>
            <w:tcBorders>
              <w:top w:val="single" w:color="auto" w:sz="12" w:space="0"/>
              <w:left w:val="dotted" w:color="auto" w:sz="8"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-15~47</w:t>
            </w:r>
          </w:p>
        </w:tc>
        <w:tc>
          <w:tcPr>
            <w:tcW w:w="1606" w:type="dxa"/>
            <w:tcBorders>
              <w:top w:val="single" w:color="auto" w:sz="12" w:space="0"/>
              <w:left w:val="dotted" w:color="auto" w:sz="4"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-9~9</w:t>
            </w:r>
          </w:p>
        </w:tc>
        <w:tc>
          <w:tcPr>
            <w:tcW w:w="1660" w:type="dxa"/>
            <w:tcBorders>
              <w:top w:val="single" w:color="auto" w:sz="12" w:space="0"/>
              <w:left w:val="dotted" w:color="auto" w:sz="8"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-9~35</w:t>
            </w:r>
          </w:p>
        </w:tc>
        <w:tc>
          <w:tcPr>
            <w:tcW w:w="1571" w:type="dxa"/>
            <w:tcBorders>
              <w:top w:val="single" w:color="auto" w:sz="12" w:space="0"/>
              <w:left w:val="dotted" w:color="auto" w:sz="4"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-6~6</w:t>
            </w:r>
          </w:p>
        </w:tc>
        <w:tc>
          <w:tcPr>
            <w:tcW w:w="1265" w:type="dxa"/>
            <w:tcBorders>
              <w:top w:val="single" w:color="auto" w:sz="12" w:space="0"/>
              <w:left w:val="dotted" w:color="auto" w:sz="4" w:space="0"/>
              <w:bottom w:val="dotted" w:color="auto" w:sz="8"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0.29</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929" w:type="dxa"/>
            <w:tcBorders>
              <w:top w:val="dotted" w:color="auto" w:sz="8" w:space="0"/>
              <w:left w:val="nil"/>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400</w:t>
            </w:r>
            <w:r>
              <w:rPr>
                <w:rFonts w:hint="eastAsia" w:cs="Times New Roman"/>
                <w:kern w:val="0"/>
                <w:sz w:val="21"/>
                <w:szCs w:val="20"/>
              </w:rPr>
              <w:t>天</w:t>
            </w:r>
          </w:p>
        </w:tc>
        <w:tc>
          <w:tcPr>
            <w:tcW w:w="1607"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-5~26</w:t>
            </w:r>
          </w:p>
        </w:tc>
        <w:tc>
          <w:tcPr>
            <w:tcW w:w="1606"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-4~4</w:t>
            </w:r>
          </w:p>
        </w:tc>
        <w:tc>
          <w:tcPr>
            <w:tcW w:w="1660"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-1~1</w:t>
            </w:r>
          </w:p>
        </w:tc>
        <w:tc>
          <w:tcPr>
            <w:tcW w:w="1571" w:type="dxa"/>
            <w:tcBorders>
              <w:top w:val="dotted" w:color="auto" w:sz="8" w:space="0"/>
              <w:left w:val="dotted" w:color="auto" w:sz="4" w:space="0"/>
              <w:bottom w:val="dotted" w:color="auto" w:sz="8"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-1~1</w:t>
            </w:r>
          </w:p>
        </w:tc>
        <w:tc>
          <w:tcPr>
            <w:tcW w:w="1265" w:type="dxa"/>
            <w:tcBorders>
              <w:top w:val="dotted" w:color="auto" w:sz="8" w:space="0"/>
              <w:left w:val="dotted" w:color="auto" w:sz="4" w:space="0"/>
              <w:bottom w:val="dotted" w:color="auto" w:sz="8"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0.005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cantSplit/>
        </w:trPr>
        <w:tc>
          <w:tcPr>
            <w:tcW w:w="1929" w:type="dxa"/>
            <w:tcBorders>
              <w:top w:val="dotted" w:color="auto" w:sz="8" w:space="0"/>
              <w:left w:val="nil"/>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600</w:t>
            </w:r>
            <w:r>
              <w:rPr>
                <w:rFonts w:hint="eastAsia" w:cs="Times New Roman"/>
                <w:kern w:val="0"/>
                <w:sz w:val="21"/>
                <w:szCs w:val="20"/>
              </w:rPr>
              <w:t>天</w:t>
            </w:r>
          </w:p>
        </w:tc>
        <w:tc>
          <w:tcPr>
            <w:tcW w:w="1607" w:type="dxa"/>
            <w:tcBorders>
              <w:top w:val="dotted" w:color="auto" w:sz="8" w:space="0"/>
              <w:left w:val="dotted" w:color="auto" w:sz="8"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w:t>
            </w:r>
          </w:p>
        </w:tc>
        <w:tc>
          <w:tcPr>
            <w:tcW w:w="1606" w:type="dxa"/>
            <w:tcBorders>
              <w:top w:val="dotted" w:color="auto" w:sz="8" w:space="0"/>
              <w:left w:val="dotted" w:color="auto" w:sz="4" w:space="0"/>
              <w:bottom w:val="single" w:color="auto" w:sz="12" w:space="0"/>
              <w:right w:val="dotted" w:color="auto" w:sz="8" w:space="0"/>
            </w:tcBorders>
            <w:vAlign w:val="center"/>
          </w:tcPr>
          <w:p>
            <w:pPr>
              <w:spacing w:line="240" w:lineRule="atLeast"/>
              <w:ind w:firstLine="0" w:firstLineChars="0"/>
              <w:rPr>
                <w:rFonts w:cs="Times New Roman"/>
                <w:kern w:val="0"/>
                <w:sz w:val="21"/>
                <w:szCs w:val="20"/>
              </w:rPr>
            </w:pPr>
            <w:r>
              <w:rPr>
                <w:rFonts w:cs="Times New Roman"/>
                <w:kern w:val="0"/>
                <w:sz w:val="21"/>
                <w:szCs w:val="20"/>
              </w:rPr>
              <w:t>-</w:t>
            </w:r>
          </w:p>
        </w:tc>
        <w:tc>
          <w:tcPr>
            <w:tcW w:w="1660" w:type="dxa"/>
            <w:tcBorders>
              <w:top w:val="dotted" w:color="auto" w:sz="8" w:space="0"/>
              <w:left w:val="dotted" w:color="auto" w:sz="8"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w:t>
            </w:r>
          </w:p>
        </w:tc>
        <w:tc>
          <w:tcPr>
            <w:tcW w:w="1571" w:type="dxa"/>
            <w:tcBorders>
              <w:top w:val="dotted" w:color="auto" w:sz="8" w:space="0"/>
              <w:left w:val="dotted" w:color="auto" w:sz="4" w:space="0"/>
              <w:bottom w:val="single" w:color="auto" w:sz="12" w:space="0"/>
              <w:right w:val="dotted" w:color="auto" w:sz="4" w:space="0"/>
            </w:tcBorders>
            <w:vAlign w:val="center"/>
          </w:tcPr>
          <w:p>
            <w:pPr>
              <w:spacing w:line="240" w:lineRule="atLeast"/>
              <w:ind w:firstLine="0" w:firstLineChars="0"/>
              <w:rPr>
                <w:rFonts w:cs="Times New Roman"/>
                <w:kern w:val="0"/>
                <w:sz w:val="21"/>
                <w:szCs w:val="20"/>
              </w:rPr>
            </w:pPr>
            <w:r>
              <w:rPr>
                <w:rFonts w:cs="Times New Roman"/>
                <w:kern w:val="0"/>
                <w:sz w:val="21"/>
                <w:szCs w:val="20"/>
              </w:rPr>
              <w:t>-</w:t>
            </w:r>
          </w:p>
        </w:tc>
        <w:tc>
          <w:tcPr>
            <w:tcW w:w="1265" w:type="dxa"/>
            <w:tcBorders>
              <w:top w:val="dotted" w:color="auto" w:sz="8" w:space="0"/>
              <w:left w:val="dotted" w:color="auto" w:sz="4" w:space="0"/>
              <w:bottom w:val="single" w:color="auto" w:sz="12" w:space="0"/>
              <w:right w:val="nil"/>
            </w:tcBorders>
            <w:vAlign w:val="center"/>
          </w:tcPr>
          <w:p>
            <w:pPr>
              <w:spacing w:line="240" w:lineRule="atLeast"/>
              <w:ind w:firstLine="0" w:firstLineChars="0"/>
              <w:rPr>
                <w:rFonts w:cs="Times New Roman"/>
                <w:kern w:val="0"/>
                <w:sz w:val="21"/>
                <w:szCs w:val="20"/>
              </w:rPr>
            </w:pPr>
            <w:r>
              <w:rPr>
                <w:rFonts w:cs="Times New Roman"/>
                <w:kern w:val="0"/>
                <w:sz w:val="21"/>
                <w:szCs w:val="20"/>
              </w:rPr>
              <w:t>0.000045</w:t>
            </w:r>
          </w:p>
        </w:tc>
      </w:tr>
    </w:tbl>
    <w:p>
      <w:pPr>
        <w:ind w:firstLine="480"/>
        <w:jc w:val="center"/>
        <w:rPr>
          <w:rFonts w:cs="Times New Roman"/>
          <w:color w:val="FF0000"/>
          <w:sz w:val="21"/>
          <w:szCs w:val="20"/>
        </w:rPr>
      </w:pPr>
    </w:p>
    <w:p>
      <w:pPr>
        <w:ind w:firstLine="480"/>
        <w:jc w:val="center"/>
        <w:rPr>
          <w:color w:val="FF0000"/>
        </w:rPr>
      </w:pPr>
      <w:r>
        <w:rPr>
          <w:rFonts w:hAnsi="宋体"/>
          <w:szCs w:val="24"/>
        </w:rPr>
        <w:t>a</w:t>
      </w:r>
      <w:r>
        <w:rPr>
          <w:rFonts w:hint="eastAsia" w:hAnsi="宋体"/>
          <w:szCs w:val="24"/>
        </w:rPr>
        <w:t>、泄漏</w:t>
      </w:r>
      <w:r>
        <w:rPr>
          <w:rFonts w:hAnsi="宋体"/>
          <w:szCs w:val="24"/>
        </w:rPr>
        <w:t>100</w:t>
      </w:r>
      <w:r>
        <w:rPr>
          <w:rFonts w:hint="eastAsia" w:hAnsi="宋体"/>
          <w:szCs w:val="24"/>
        </w:rPr>
        <w:t>天地下水中汞污染晕扩散平面图</w:t>
      </w:r>
    </w:p>
    <w:p>
      <w:pPr>
        <w:ind w:firstLine="480"/>
        <w:jc w:val="center"/>
        <w:rPr>
          <w:color w:val="FF0000"/>
        </w:rPr>
      </w:pPr>
    </w:p>
    <w:p>
      <w:pPr>
        <w:ind w:firstLine="480"/>
        <w:jc w:val="center"/>
        <w:rPr>
          <w:color w:val="FF0000"/>
        </w:rPr>
      </w:pPr>
      <w:r>
        <w:rPr>
          <w:rFonts w:hAnsi="宋体"/>
          <w:szCs w:val="24"/>
        </w:rPr>
        <w:t>b</w:t>
      </w:r>
      <w:r>
        <w:rPr>
          <w:rFonts w:hint="eastAsia" w:hAnsi="宋体"/>
          <w:szCs w:val="24"/>
        </w:rPr>
        <w:t>、泄漏</w:t>
      </w:r>
      <w:r>
        <w:rPr>
          <w:rFonts w:hAnsi="宋体"/>
          <w:szCs w:val="24"/>
        </w:rPr>
        <w:t>100</w:t>
      </w:r>
      <w:r>
        <w:rPr>
          <w:rFonts w:hint="eastAsia" w:hAnsi="宋体"/>
          <w:szCs w:val="24"/>
        </w:rPr>
        <w:t>天后停止泄漏，第</w:t>
      </w:r>
      <w:r>
        <w:rPr>
          <w:rFonts w:hAnsi="宋体"/>
          <w:szCs w:val="24"/>
        </w:rPr>
        <w:t>400</w:t>
      </w:r>
      <w:r>
        <w:rPr>
          <w:rFonts w:hint="eastAsia" w:hAnsi="宋体"/>
          <w:szCs w:val="24"/>
        </w:rPr>
        <w:t>天地下水中汞污染晕扩散平面图</w:t>
      </w:r>
    </w:p>
    <w:p>
      <w:pPr>
        <w:ind w:firstLine="480"/>
        <w:jc w:val="center"/>
        <w:rPr>
          <w:rFonts w:hAnsi="宋体"/>
          <w:szCs w:val="24"/>
        </w:rPr>
      </w:pPr>
      <w:r>
        <w:rPr>
          <w:rFonts w:hAnsi="宋体"/>
          <w:szCs w:val="24"/>
        </w:rPr>
        <w:pict>
          <v:group id="_x0000_s1066" o:spid="_x0000_s1066" o:spt="203" style="height:24.55pt;width:37070.6pt;" coordorigin="-7,0" coordsize="741412,491034" editas="canvas">
            <o:lock v:ext="edit" aspectratio="f"/>
            <v:shape id="_x0000_s1067" o:spid="_x0000_s1067" o:spt="75" type="#_x0000_t75" style="position:absolute;left:-7;top:0;height:491034;width:741412;" filled="f" stroked="f" coordsize="21600,21600">
              <v:path/>
              <v:fill on="f" focussize="0,0"/>
              <v:stroke on="f"/>
              <v:imagedata o:title=""/>
              <o:lock v:ext="edit" aspectratio="t"/>
            </v:shape>
            <v:shape id="_x0000_s1068" o:spid="_x0000_s1068" o:spt="100" style="position:absolute;left:2206;top:799;height:574;width:2419;" fillcolor="#9DD3A0" filled="t" stroked="f" coordsize="2419,574" adj=",," path="m1050,569l1045,569,1015,568,985,567,955,565,925,563,895,561,866,559,836,557,806,555,776,552,746,549,717,545,687,542,670,540,657,538,627,535,597,531,567,527,538,523,508,518,478,513,462,510,448,507,418,501,388,495,359,488,329,480,327,480,299,472,269,463,239,452,235,450,210,443,180,433,150,423,143,421,120,411,90,394,86,391,60,375,42,361,31,349,14,332,1,302,0,302,0,272,1,271,14,242,31,224,42,213,60,199,86,183,90,180,120,162,143,153,150,151,180,141,210,131,235,123,239,122,269,111,299,102,327,94,329,93,359,86,388,78,418,73,448,67,462,64,478,61,508,56,538,51,567,46,597,43,627,39,657,36,670,34,687,32,717,29,746,25,776,22,806,19,836,17,866,15,895,12,925,11,955,9,985,7,1015,6,1045,5,1050,5,1074,4,1104,2,1134,2,1164,1,1194,0,1224,0,1253,0,1283,0,1313,0,1343,0,1373,1,1403,2,1432,3,1462,4,1479,5,1492,5,1522,7,1552,8,1581,10,1611,12,1641,14,1671,17,1701,19,1731,23,1760,26,1790,29,1820,33,1829,34,1850,37,1880,41,1910,46,1940,51,1969,56,1999,62,2008,64,2029,68,2059,75,2089,82,2119,90,2131,94,2148,99,2178,108,2208,118,2223,123,2238,129,2268,142,2293,153,2298,156,2327,172,2346,183,2357,192,2383,213,2387,218,2407,242,2417,267,2419,272,2419,302,2417,306,2407,332,2387,356,2382,361,2357,382,2346,391,2327,402,2298,418,2293,421,2268,432,2238,445,2224,450,2208,456,2178,466,2148,475,2131,480,2119,484,2089,491,2059,499,2029,505,2008,510,1999,511,1969,517,1940,523,1910,528,1880,533,1850,537,1829,540,1820,541,1790,544,1760,548,1731,551,1701,554,1671,557,1641,560,1611,562,1581,564,1552,566,1522,567,1492,569,1479,569,1462,570,1432,571,1403,572,1373,573,1343,573,1313,574,1283,574,1253,574,1224,574,1194,573,1164,573,1134,572,1104,571,1074,570,1050,569xm614,450l597,447,567,441,538,438,508,434,478,430,448,424,432,421,418,418,388,412,359,404,329,401,300,391,299,390,269,386,239,378,210,366,200,361,180,350,155,332,150,325,131,302,131,272,150,248,155,242,180,224,200,213,210,208,239,196,269,188,299,183,300,183,329,173,359,170,388,162,418,156,432,153,448,150,478,144,508,140,538,136,567,133,597,127,614,123,627,121,657,118,687,116,717,114,746,113,776,112,806,111,836,111,866,111,895,111,925,111,955,111,985,112,1015,113,1045,114,1074,115,1104,117,1134,119,1164,121,1194,123,1198,123,1224,126,1253,129,1283,132,1313,136,1343,140,1373,145,1403,150,1423,153,1432,155,1462,161,1492,168,1522,176,1547,183,1552,184,1581,195,1611,207,1625,213,1641,222,1671,241,1673,242,1696,272,1696,302,1673,332,1671,333,1641,352,1626,361,1611,367,1581,379,1552,389,1547,391,1522,398,1492,405,1462,412,1432,419,1423,421,1403,424,1373,429,1343,434,1313,438,1283,442,1253,445,1224,448,1198,450,1194,451,1164,453,1134,455,1104,457,1074,459,1045,460,1015,461,985,462,955,463,925,463,895,463,866,463,836,463,806,462,776,462,746,461,717,459,687,458,657,456,627,453,614,450xe">
              <v:path arrowok="t"/>
              <v:fill on="t" color2="#FFFFFF" focussize="0,0"/>
              <v:stroke on="f"/>
              <v:imagedata o:title=""/>
              <o:lock v:ext="edit" aspectratio="f"/>
            </v:shape>
            <v:shape id="_x0000_s1069" o:spid="_x0000_s1069" o:spt="100" style="position:absolute;left:2337;top:910;height:352;width:1564;" fillcolor="#7FC57C" filled="t" stroked="f" coordsize="1564,352" adj=",," path="m483,339l466,336,436,330,406,327,377,323,347,319,317,313,301,310,287,307,257,301,228,293,198,290,169,280,168,279,138,275,108,267,78,255,69,250,49,239,24,220,19,214,0,191,0,161,19,137,24,131,49,113,69,102,78,97,108,85,138,76,168,72,169,72,198,61,228,59,257,51,287,45,301,42,317,39,347,33,377,28,406,25,436,22,466,16,483,12,496,9,526,7,556,5,585,3,615,2,645,1,675,0,705,0,735,0,764,0,794,0,824,0,854,1,884,2,914,3,943,4,973,6,1003,7,1033,10,1063,12,1067,12,1093,15,1122,18,1152,21,1182,25,1212,29,1242,34,1272,39,1292,42,1301,44,1331,50,1361,57,1391,65,1416,72,1421,73,1450,84,1480,96,1494,102,1510,111,1540,130,1542,131,1564,161,1564,191,1542,220,1540,222,1510,241,1494,250,1480,256,1450,268,1421,278,1416,280,1391,287,1361,294,1331,301,1301,308,1292,310,1272,313,1242,318,1212,323,1182,327,1152,331,1122,334,1093,337,1067,339,1063,340,1033,342,1003,344,973,346,943,348,914,349,884,350,854,351,824,352,794,352,764,352,735,352,705,352,675,351,645,351,615,350,585,348,556,347,526,345,496,342,483,339xm404,280l377,279,347,276,317,269,287,266,257,253,242,250,228,250,198,248,168,240,138,235,108,222,105,220,78,197,72,191,72,161,78,155,106,131,108,130,138,116,168,112,198,104,228,102,242,102,257,99,287,86,317,83,347,76,377,73,404,72,406,72,436,70,466,68,496,67,526,66,556,67,585,68,615,69,645,70,675,65,705,63,735,66,764,69,789,72,794,73,824,77,854,82,884,87,914,93,943,100,952,102,973,109,1003,119,1033,131,1034,131,1063,156,1069,161,1069,191,1063,196,1034,220,1033,221,1003,232,973,243,952,250,943,252,914,259,884,265,854,270,824,275,794,279,789,280,764,283,735,286,705,288,675,287,645,281,615,283,585,284,556,285,526,286,496,284,466,284,436,282,406,280,404,280xe">
              <v:path arrowok="t"/>
              <v:fill on="t" color2="#FFFFFF" focussize="0,0"/>
              <v:stroke on="f"/>
              <v:imagedata o:title=""/>
              <o:lock v:ext="edit" aspectratio="f"/>
            </v:shape>
            <v:shape id="_x0000_s1070" o:spid="_x0000_s1070" o:spt="100" style="position:absolute;left:2409;top:973;height:225;width:997;" fillcolor="#78C278" filled="t" stroked="f" coordsize="997,225" adj=",," path="m332,217l305,216,275,213,245,206,215,203,185,190,170,187,156,187,126,185,96,177,66,172,36,159,33,157,6,134,0,128,0,98,6,92,34,68,36,67,66,53,96,49,126,41,156,39,170,39,185,36,215,23,245,20,275,13,305,10,332,9,334,9,364,7,394,5,424,4,454,3,484,4,513,5,543,6,573,7,603,2,633,0,663,3,692,6,717,9,722,10,752,14,782,19,812,24,842,30,871,37,880,39,901,46,931,56,961,68,962,68,991,93,997,98,997,128,991,133,962,157,961,158,931,169,901,180,880,187,871,189,842,196,812,202,782,207,752,212,722,216,717,217,692,220,663,223,633,225,603,224,573,218,543,220,513,221,484,222,454,223,424,221,394,221,364,219,334,217,332,217xm99,157l96,153,66,141,49,128,49,98,66,85,96,73,99,68,126,51,156,43,185,43,215,43,245,47,275,42,305,39,334,39,364,40,394,42,424,45,454,48,484,53,513,58,543,65,559,68,573,74,603,90,622,98,622,128,603,136,573,152,559,157,543,161,513,168,484,173,454,177,424,181,394,184,364,186,334,187,305,187,275,184,245,179,215,183,185,183,156,182,126,174,99,157xe">
              <v:path arrowok="t"/>
              <v:fill on="t" color2="#FFFFFF" focussize="0,0"/>
              <v:stroke on="f"/>
              <v:imagedata o:title=""/>
              <o:lock v:ext="edit" aspectratio="f"/>
            </v:shape>
            <v:shape id="_x0000_s1071" o:spid="_x0000_s1071" style="position:absolute;left:2458;top:1012;height:148;width:573;" fillcolor="#82C382" filled="t" stroked="f" coordsize="573,148" path="m50,118l47,114,17,102,0,89,0,59,17,46,47,34,50,29,77,12,107,4,136,4,166,4,196,8,226,3,256,0,285,0,315,1,345,3,375,6,405,9,435,14,464,19,494,26,510,29,524,35,554,51,573,59,573,89,554,97,524,113,510,118,494,122,464,129,435,134,405,138,375,142,345,145,315,147,285,148,256,148,226,145,196,140,166,144,136,144,107,143,77,135,50,118xe">
              <v:path arrowok="t"/>
              <v:fill on="t" color2="#FFFFFF" focussize="0,0"/>
              <v:stroke on="f"/>
              <v:imagedata o:title=""/>
              <o:lock v:ext="edit" aspectratio="f"/>
            </v:shape>
            <v:shape id="_x0000_s1072" o:spid="_x0000_s1072" o:spt="100" style="position:absolute;left:2715;top:1253;height:162;width:491;" fillcolor="#000000" filled="t" stroked="t" coordsize="4026,1326" adj=",," path="m284,951l169,939,245,204hdc214,228,175,250,127,272c79,294,37,310,0,319hal11,208hdc79,184,139,153,192,115c244,77,283,38,307,0hal381,8,284,951xm629,987l726,47,1405,117,1394,228,839,171,809,459,1329,512,1317,622,798,569,765,889,1341,948,1330,1059,629,987xm1471,789l1483,673,1837,709,1825,825,1471,789xm1940,654hdc1951,543,1972,454,2002,389c2031,324,2071,275,2120,243c2169,211,2227,198,2295,205c2346,210,2389,225,2425,249c2461,274,2489,306,2510,347c2531,388,2546,436,2554,493c2562,549,2562,624,2552,717c2541,827,2520,915,2491,980c2461,1046,2422,1095,2373,1127c2324,1159,2265,1172,2196,1165c2106,1155,2038,1116,1993,1045c1939,961,1921,830,1940,654haxm2058,666hdc2042,820,2050,925,2081,979c2111,1034,2153,1064,2206,1070c2259,1075,2306,1054,2348,1007c2389,959,2418,858,2434,705c2450,550,2442,445,2411,391c2380,336,2338,306,2284,300c2231,295,2187,313,2151,355c2105,408,2074,512,2058,666haxm2669,729hdc2681,618,2702,530,2731,464c2761,399,2801,350,2849,318c2898,286,2957,273,3025,280c3076,286,3119,300,3155,325c3191,349,3219,381,3240,422c3261,463,3275,512,3284,568c3292,624,3292,699,3282,792c3271,902,3250,990,3221,1056c3191,1121,3152,1170,3103,1202c3054,1235,2995,1247,2926,1240c2836,1231,2768,1191,2723,1121c2669,1036,2651,905,2669,729haxm2788,741hdc2772,895,2780,1000,2810,1055c2841,1110,2883,1140,2936,1145c2989,1151,3036,1130,3078,1082c3119,1034,3148,934,3164,780c3179,625,3172,521,3141,466c3110,411,3068,381,3014,376c2961,370,2917,388,2880,430c2835,483,2804,587,2788,741haxm3377,1022l3499,1024hdc3502,1084,3518,1130,3548,1163c3577,1196,3615,1215,3661,1220c3717,1226,3766,1210,3809,1172c3852,1134,3877,1080,3884,1011c3891,945,3877,891,3844,850c3811,808,3765,784,3705,777c3668,774,3634,779,3602,792c3570,806,3545,826,3525,851hal3418,826,3559,352,4026,401,4014,511,3640,472,3563,719hdc3623,686,3685,672,3746,679c3828,687,3895,723,3945,785c3996,848,4016,924,4007,1013c3998,1098,3966,1169,3910,1226c3842,1296,3756,1326,3652,1315c3566,1306,3499,1275,3450,1222c3401,1168,3376,1101,3377,1022haxe">
              <v:path arrowok="t"/>
              <v:fill on="t" color2="#FFFFFF" focussize="0,0"/>
              <v:stroke weight="0pt" color="#000000" joinstyle="round"/>
              <v:imagedata o:title=""/>
              <o:lock v:ext="edit" aspectratio="f"/>
            </v:shape>
            <v:line id="_x0000_s1073" o:spid="_x0000_s1073" o:spt="20" style="position:absolute;left:2624;top:1300;flip:x y;height:6;width:27;" filled="f" stroked="t" coordsize="21600,21600">
              <v:path arrowok="t"/>
              <v:fill on="f" focussize="0,0"/>
              <v:stroke weight="0pt" color="#000000" endcap="round"/>
              <v:imagedata o:title=""/>
              <o:lock v:ext="edit" aspectratio="f"/>
            </v:line>
            <v:shape id="_x0000_s1074" o:spid="_x0000_s1074" style="position:absolute;left:2206;top:799;height:574;width:2419;" filled="f" stroked="t" coordsize="2419,574" path="m418,501l388,495,359,488,329,480,327,480,299,472,269,463,239,452,235,450,210,443,180,433,150,423,143,421,120,411,90,394,86,391,60,375,42,361,31,349,14,332,1,302,0,302,0,272,1,271,14,242,31,224,42,213,60,199,86,183,90,180,120,162,143,153,150,151,180,141,210,131,235,123,239,122,269,111,299,102,327,94,329,93,359,86,388,78,418,73,448,67,462,64,478,61,508,56,538,51,567,46,597,43,627,39,657,36,670,34,687,32,717,29,746,25,776,22,806,19,836,17,866,15,895,12,925,11,955,9,985,7,1015,6,1045,5,1050,5,1074,4,1104,2,1134,2,1164,1,1194,0,1224,0,1253,0,1283,0,1313,0,1343,0,1373,1,1403,2,1432,3,1462,4,1479,5,1492,5,1522,7,1552,8,1581,10,1611,12,1641,14,1671,17,1701,19,1731,23,1760,26,1790,29,1820,33,1829,34,1850,37,1880,41,1910,46,1940,51,1969,56,1999,62,2008,64,2029,68,2059,75,2089,82,2119,90,2131,94,2148,99,2178,108,2208,118,2223,123,2238,129,2268,142,2293,153,2298,156,2327,172,2346,183,2357,192,2383,213,2387,218,2407,242,2417,267,2419,272,2419,302,2417,306,2407,332,2387,356,2382,361,2357,382,2346,391,2327,402,2298,418,2293,421,2268,432,2238,445,2224,450,2208,456,2178,466,2148,475,2131,480,2119,484,2089,491,2059,499,2029,505,2008,510,1999,511,1969,517,1940,523,1910,528,1880,533,1850,537,1829,540,1820,541,1790,544,1760,548,1731,551,1701,554,1671,557,1641,560,1611,562,1581,564,1552,566,1522,567,1492,569,1479,569,1462,570,1432,571,1403,572,1373,573,1343,573,1313,574,1283,574,1253,574,1224,574,1194,573,1164,573,1134,572,1104,571,1074,570,1050,569e">
              <v:path arrowok="t"/>
              <v:fill on="f" focussize="0,0"/>
              <v:stroke weight="0pt" color="#000000" endcap="round"/>
              <v:imagedata o:title=""/>
              <o:lock v:ext="edit" aspectratio="f"/>
            </v:shape>
            <v:shape id="_x0000_s1075" o:spid="_x0000_s1075" style="position:absolute;left:2337;top:910;height:352;width:1564;" filled="f" stroked="t" coordsize="1564,352" path="m483,339l466,336,436,330,406,327,377,323,347,319,317,313,301,310,287,307,257,301,228,293,198,290,169,280,168,279,138,275,108,267,78,255,69,250,49,239,24,220,19,214,0,191,0,161,19,137,24,131,49,113,69,102,78,97,108,85,138,76,168,72,169,72,198,61,228,59,257,51,287,45,301,42,317,39,347,33,377,28,406,25,436,22,466,16,483,12,496,9,526,7,556,5,585,3,615,2,645,1,675,0,705,0,735,0,764,0,794,0,824,0,854,1,884,2,914,3,943,4,973,6,1003,7,1033,10,1063,12,1067,12,1093,15,1122,18,1152,21,1182,25,1212,29,1242,34,1272,39,1292,42,1301,44,1331,50,1361,57,1391,65,1416,72,1421,73,1450,84,1480,96,1494,102,1510,111,1540,130,1542,131,1564,161,1564,191,1542,220,1540,222,1510,241,1494,250,1480,256,1450,268,1421,278,1416,280,1391,287,1361,294,1331,301,1301,308,1292,310,1272,313,1242,318,1212,323,1182,327,1152,331,1122,334,1093,337,1067,339,1063,340,1033,342,1003,344,973,346,943,348,914,349,884,350,854,351,824,352,794,352,764,352,735,352,705,352,675,351,645,351,615,350,585,348,556,347,526,345,496,342,483,339e">
              <v:path arrowok="t"/>
              <v:fill on="f" focussize="0,0"/>
              <v:stroke weight="0pt" color="#000000" endcap="round"/>
              <v:imagedata o:title=""/>
              <o:lock v:ext="edit" aspectratio="f"/>
            </v:shape>
            <v:shape id="_x0000_s1076" o:spid="_x0000_s1076" style="position:absolute;left:2409;top:973;height:225;width:997;" filled="f" stroked="t" coordsize="997,225" path="m332,217l305,216,275,213,245,206,215,203,185,190,170,187,156,187,126,185,96,177,66,172,36,159,33,157,6,134,0,128,0,98,6,92,34,68,36,67,66,53,96,49,126,41,156,39,170,39,185,36,215,23,245,20,275,13,305,10,332,9,334,9,364,7,394,5,424,4,454,3,484,4,513,5,543,6,573,7,603,2,633,0,663,3,692,6,717,9,722,10,752,14,782,19,812,24,842,30,871,37,880,39,901,46,931,56,961,68,962,68,991,93,997,98,997,128,991,133,962,157,961,158,931,169,901,180,880,187,871,189,842,196,812,202,782,207,752,212,722,216,717,217,692,220,663,223,633,225,603,224,573,218,543,220,513,221,484,222,454,223,424,221,394,221,364,219,334,217,332,217e">
              <v:path arrowok="t"/>
              <v:fill on="f" focussize="0,0"/>
              <v:stroke weight="0pt" color="#000000" endcap="round"/>
              <v:imagedata o:title=""/>
              <o:lock v:ext="edit" aspectratio="f"/>
            </v:shape>
            <v:shape id="_x0000_s1077" o:spid="_x0000_s1077" style="position:absolute;left:2458;top:1012;height:148;width:573;" filled="f" stroked="t" coordsize="573,148" path="m50,118l47,114,17,102,0,89,0,59,17,46,47,34,50,29,77,12,107,4,136,4,166,4,196,8,226,3,256,0,285,0,315,1,345,3,375,6,405,9,435,14,464,19,494,26,510,29,524,35,554,51,573,59,573,89,554,97,524,113,510,118,494,122,464,129,435,134,405,138,375,142,345,145,315,147,285,148,256,148,226,145,196,140,166,144,136,144,107,143,77,135,50,118e">
              <v:path arrowok="t"/>
              <v:fill on="f" focussize="0,0"/>
              <v:stroke weight="0pt" color="#000000" endcap="round"/>
              <v:imagedata o:title=""/>
              <o:lock v:ext="edit" aspectratio="f"/>
            </v:shape>
            <v:line id="_x0000_s1078" o:spid="_x0000_s1078" o:spt="20" style="position:absolute;left:596;top:2082;height:1;width:6950;" filled="f" stroked="t" coordsize="21600,21600">
              <v:path arrowok="t"/>
              <v:fill on="f" focussize="0,0"/>
              <v:stroke weight="0pt" color="#000000" endcap="round"/>
              <v:imagedata o:title=""/>
              <o:lock v:ext="edit" aspectratio="f"/>
            </v:line>
            <v:line id="_x0000_s1079" o:spid="_x0000_s1079" o:spt="20" style="position:absolute;left:596;top:2082;flip:y;height:87;width:1;" filled="f" stroked="t" coordsize="21600,21600">
              <v:path arrowok="t"/>
              <v:fill on="f" focussize="0,0"/>
              <v:stroke weight="0pt" color="#000000" endcap="round"/>
              <v:imagedata o:title=""/>
              <o:lock v:ext="edit" aspectratio="f"/>
            </v:line>
            <v:line id="_x0000_s1080" o:spid="_x0000_s1080" o:spt="20" style="position:absolute;left:1589;top:2082;flip:y;height:87;width:1;" filled="f" stroked="t" coordsize="21600,21600">
              <v:path arrowok="t"/>
              <v:fill on="f" focussize="0,0"/>
              <v:stroke weight="0pt" color="#000000" endcap="round"/>
              <v:imagedata o:title=""/>
              <o:lock v:ext="edit" aspectratio="f"/>
            </v:line>
            <v:line id="_x0000_s1081" o:spid="_x0000_s1081" o:spt="20" style="position:absolute;left:2582;top:2082;flip:y;height:87;width:1;" filled="f" stroked="t" coordsize="21600,21600">
              <v:path arrowok="t"/>
              <v:fill on="f" focussize="0,0"/>
              <v:stroke weight="0pt" color="#000000" endcap="round"/>
              <v:imagedata o:title=""/>
              <o:lock v:ext="edit" aspectratio="f"/>
            </v:line>
            <v:line id="_x0000_s1082" o:spid="_x0000_s1082" o:spt="20" style="position:absolute;left:3574;top:2082;flip:y;height:87;width:1;" filled="f" stroked="t" coordsize="21600,21600">
              <v:path arrowok="t"/>
              <v:fill on="f" focussize="0,0"/>
              <v:stroke weight="0pt" color="#000000" endcap="round"/>
              <v:imagedata o:title=""/>
              <o:lock v:ext="edit" aspectratio="f"/>
            </v:line>
            <v:line id="_x0000_s1083" o:spid="_x0000_s1083" o:spt="20" style="position:absolute;left:4567;top:2082;flip:y;height:87;width:1;" filled="f" stroked="t" coordsize="21600,21600">
              <v:path arrowok="t"/>
              <v:fill on="f" focussize="0,0"/>
              <v:stroke weight="0pt" color="#000000" endcap="round"/>
              <v:imagedata o:title=""/>
              <o:lock v:ext="edit" aspectratio="f"/>
            </v:line>
            <v:line id="_x0000_s1084" o:spid="_x0000_s1084" o:spt="20" style="position:absolute;left:5560;top:2082;flip:y;height:87;width:1;" filled="f" stroked="t" coordsize="21600,21600">
              <v:path arrowok="t"/>
              <v:fill on="f" focussize="0,0"/>
              <v:stroke weight="0pt" color="#000000" endcap="round"/>
              <v:imagedata o:title=""/>
              <o:lock v:ext="edit" aspectratio="f"/>
            </v:line>
            <v:line id="_x0000_s1085" o:spid="_x0000_s1085" o:spt="20" style="position:absolute;left:6553;top:2082;flip:y;height:87;width:1;" filled="f" stroked="t" coordsize="21600,21600">
              <v:path arrowok="t"/>
              <v:fill on="f" focussize="0,0"/>
              <v:stroke weight="0pt" color="#000000" endcap="round"/>
              <v:imagedata o:title=""/>
              <o:lock v:ext="edit" aspectratio="f"/>
            </v:line>
            <v:line id="_x0000_s1086" o:spid="_x0000_s1086" o:spt="20" style="position:absolute;left:7546;top:2082;flip:y;height:87;width:1;" filled="f" stroked="t" coordsize="21600,21600">
              <v:path arrowok="t"/>
              <v:fill on="f" focussize="0,0"/>
              <v:stroke weight="0pt" color="#000000" endcap="round"/>
              <v:imagedata o:title=""/>
              <o:lock v:ext="edit" aspectratio="f"/>
            </v:line>
            <v:rect id="_x0000_s1087" o:spid="_x0000_s1087" o:spt="1" style="position:absolute;left:480;top:2000;height:489034;width:552;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-20</w:t>
                    </w:r>
                  </w:p>
                </w:txbxContent>
              </v:textbox>
            </v:rect>
            <v:rect id="_x0000_s1088" o:spid="_x0000_s1088" o:spt="1" style="position:absolute;left:1472;top:2000;height:489034;width:552;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-10</w:t>
                    </w:r>
                  </w:p>
                </w:txbxContent>
              </v:textbox>
            </v:rect>
            <v:rect id="_x0000_s1089" o:spid="_x0000_s1089" o:spt="1" style="position:absolute;left:2537;top:2000;height:489034;width:409;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0</w:t>
                    </w:r>
                  </w:p>
                </w:txbxContent>
              </v:textbox>
            </v:rect>
            <v:rect id="_x0000_s1090" o:spid="_x0000_s1090" o:spt="1" style="position:absolute;left:3485;top:2000;height:489034;width:498;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10</w:t>
                    </w:r>
                  </w:p>
                </w:txbxContent>
              </v:textbox>
            </v:rect>
            <v:rect id="_x0000_s1091" o:spid="_x0000_s1091" o:spt="1" style="position:absolute;left:4478;top:2000;height:489034;width:498;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20</w:t>
                    </w:r>
                  </w:p>
                </w:txbxContent>
              </v:textbox>
            </v:rect>
            <v:rect id="_x0000_s1092" o:spid="_x0000_s1092" o:spt="1" style="position:absolute;left:5471;top:2000;height:489034;width:498;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30</w:t>
                    </w:r>
                  </w:p>
                </w:txbxContent>
              </v:textbox>
            </v:rect>
            <v:rect id="_x0000_s1093" o:spid="_x0000_s1093" o:spt="1" style="position:absolute;left:6463;top:2000;height:489034;width:498;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40</w:t>
                    </w:r>
                  </w:p>
                </w:txbxContent>
              </v:textbox>
            </v:rect>
            <v:rect id="_x0000_s1094" o:spid="_x0000_s1094" o:spt="1" style="position:absolute;left:7456;top:2000;height:489034;width:498;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50</w:t>
                    </w:r>
                  </w:p>
                </w:txbxContent>
              </v:textbox>
            </v:rect>
            <v:rect id="_x0000_s1095" o:spid="_x0000_s1095" o:spt="1" style="position:absolute;left:3941;top:2000;height:489034;width:578;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x/m</w:t>
                    </w:r>
                  </w:p>
                </w:txbxContent>
              </v:textbox>
            </v:rect>
            <v:line id="_x0000_s1096" o:spid="_x0000_s1096" o:spt="20" style="position:absolute;left:596;top:90;height:1;width:6950;" filled="f" stroked="t" coordsize="21600,21600">
              <v:path arrowok="t"/>
              <v:fill on="f" focussize="0,0"/>
              <v:stroke weight="0pt" color="#000000" endcap="round"/>
              <v:imagedata o:title=""/>
              <o:lock v:ext="edit" aspectratio="f"/>
            </v:line>
            <v:line id="_x0000_s1097" o:spid="_x0000_s1097" o:spt="20" style="position:absolute;left:596;top:3;flip:y;height:87;width:1;" filled="f" stroked="t" coordsize="21600,21600">
              <v:path arrowok="t"/>
              <v:fill on="f" focussize="0,0"/>
              <v:stroke weight="0pt" color="#000000" endcap="round"/>
              <v:imagedata o:title=""/>
              <o:lock v:ext="edit" aspectratio="f"/>
            </v:line>
            <v:line id="_x0000_s1098" o:spid="_x0000_s1098" o:spt="20" style="position:absolute;left:1589;top:3;flip:y;height:87;width:1;" filled="f" stroked="t" coordsize="21600,21600">
              <v:path arrowok="t"/>
              <v:fill on="f" focussize="0,0"/>
              <v:stroke weight="0pt" color="#000000" endcap="round"/>
              <v:imagedata o:title=""/>
              <o:lock v:ext="edit" aspectratio="f"/>
            </v:line>
            <v:line id="_x0000_s1099" o:spid="_x0000_s1099" o:spt="20" style="position:absolute;left:2582;top:3;flip:y;height:87;width:1;" filled="f" stroked="t" coordsize="21600,21600">
              <v:path arrowok="t"/>
              <v:fill on="f" focussize="0,0"/>
              <v:stroke weight="0pt" color="#000000" endcap="round"/>
              <v:imagedata o:title=""/>
              <o:lock v:ext="edit" aspectratio="f"/>
            </v:line>
            <v:line id="_x0000_s1100" o:spid="_x0000_s1100" o:spt="20" style="position:absolute;left:3574;top:3;flip:y;height:87;width:1;" filled="f" stroked="t" coordsize="21600,21600">
              <v:path arrowok="t"/>
              <v:fill on="f" focussize="0,0"/>
              <v:stroke weight="0pt" color="#000000" endcap="round"/>
              <v:imagedata o:title=""/>
              <o:lock v:ext="edit" aspectratio="f"/>
            </v:line>
            <v:line id="_x0000_s1101" o:spid="_x0000_s1101" o:spt="20" style="position:absolute;left:4567;top:3;flip:y;height:87;width:1;" filled="f" stroked="t" coordsize="21600,21600">
              <v:path arrowok="t"/>
              <v:fill on="f" focussize="0,0"/>
              <v:stroke weight="0pt" color="#000000" endcap="round"/>
              <v:imagedata o:title=""/>
              <o:lock v:ext="edit" aspectratio="f"/>
            </v:line>
            <v:line id="_x0000_s1102" o:spid="_x0000_s1102" o:spt="20" style="position:absolute;left:5560;top:3;flip:y;height:87;width:1;" filled="f" stroked="t" coordsize="21600,21600">
              <v:path arrowok="t"/>
              <v:fill on="f" focussize="0,0"/>
              <v:stroke weight="0pt" color="#000000" endcap="round"/>
              <v:imagedata o:title=""/>
              <o:lock v:ext="edit" aspectratio="f"/>
            </v:line>
            <v:line id="_x0000_s1103" o:spid="_x0000_s1103" o:spt="20" style="position:absolute;left:6553;top:3;flip:y;height:87;width:1;" filled="f" stroked="t" coordsize="21600,21600">
              <v:path arrowok="t"/>
              <v:fill on="f" focussize="0,0"/>
              <v:stroke weight="0pt" color="#000000" endcap="round"/>
              <v:imagedata o:title=""/>
              <o:lock v:ext="edit" aspectratio="f"/>
            </v:line>
            <v:line id="_x0000_s1104" o:spid="_x0000_s1104" o:spt="20" style="position:absolute;left:7546;top:3;flip:y;height:87;width:1;" filled="f" stroked="t" coordsize="21600,21600">
              <v:path arrowok="t"/>
              <v:fill on="f" focussize="0,0"/>
              <v:stroke weight="0pt" color="#000000" endcap="round"/>
              <v:imagedata o:title=""/>
              <o:lock v:ext="edit" aspectratio="f"/>
            </v:line>
            <v:line id="_x0000_s1105" o:spid="_x0000_s1105" o:spt="20" style="position:absolute;left:596;top:90;flip:y;height:1992;width:1;" filled="f" stroked="t" coordsize="21600,21600">
              <v:path arrowok="t"/>
              <v:fill on="f" focussize="0,0"/>
              <v:stroke weight="0pt" color="#000000" endcap="round"/>
              <v:imagedata o:title=""/>
              <o:lock v:ext="edit" aspectratio="f"/>
            </v:line>
            <v:line id="_x0000_s1106" o:spid="_x0000_s1106" o:spt="20" style="position:absolute;left:509;top:2082;flip:x;height:1;width:87;" filled="f" stroked="t" coordsize="21600,21600">
              <v:path arrowok="t"/>
              <v:fill on="f" focussize="0,0"/>
              <v:stroke weight="0pt" color="#000000" endcap="round"/>
              <v:imagedata o:title=""/>
              <o:lock v:ext="edit" aspectratio="f"/>
            </v:line>
            <v:line id="_x0000_s1107" o:spid="_x0000_s1107" o:spt="20" style="position:absolute;left:509;top:1584;flip:x;height:1;width:87;" filled="f" stroked="t" coordsize="21600,21600">
              <v:path arrowok="t"/>
              <v:fill on="f" focussize="0,0"/>
              <v:stroke weight="0pt" color="#000000" endcap="round"/>
              <v:imagedata o:title=""/>
              <o:lock v:ext="edit" aspectratio="f"/>
            </v:line>
            <v:line id="_x0000_s1108" o:spid="_x0000_s1108" o:spt="20" style="position:absolute;left:509;top:1086;flip:x;height:1;width:87;" filled="f" stroked="t" coordsize="21600,21600">
              <v:path arrowok="t"/>
              <v:fill on="f" focussize="0,0"/>
              <v:stroke weight="0pt" color="#000000" endcap="round"/>
              <v:imagedata o:title=""/>
              <o:lock v:ext="edit" aspectratio="f"/>
            </v:line>
            <v:line id="_x0000_s1109" o:spid="_x0000_s1109" o:spt="20" style="position:absolute;left:509;top:588;flip:x;height:1;width:87;" filled="f" stroked="t" coordsize="21600,21600">
              <v:path arrowok="t"/>
              <v:fill on="f" focussize="0,0"/>
              <v:stroke weight="0pt" color="#000000" endcap="round"/>
              <v:imagedata o:title=""/>
              <o:lock v:ext="edit" aspectratio="f"/>
            </v:line>
            <v:line id="_x0000_s1110" o:spid="_x0000_s1110" o:spt="20" style="position:absolute;left:509;top:90;flip:x;height:1;width:87;" filled="f" stroked="t" coordsize="21600,21600">
              <v:path arrowok="t"/>
              <v:fill on="f" focussize="0,0"/>
              <v:stroke weight="0pt" color="#000000" endcap="round"/>
              <v:imagedata o:title=""/>
              <o:lock v:ext="edit" aspectratio="f"/>
            </v:line>
            <v:rect id="_x0000_s1111" o:spid="_x0000_s1111" o:spt="1" style="position:absolute;left:260;top:2000;height:489034;width:552;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-10</w:t>
                    </w:r>
                  </w:p>
                </w:txbxContent>
              </v:textbox>
            </v:rect>
            <v:rect id="_x0000_s1112" o:spid="_x0000_s1112" o:spt="1" style="position:absolute;left:349;top:1000;height:489034;width:463;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-5</w:t>
                    </w:r>
                  </w:p>
                </w:txbxContent>
              </v:textbox>
            </v:rect>
            <v:rect id="_x0000_s1113" o:spid="_x0000_s1113" o:spt="1" style="position:absolute;left:403;top:1000;height:489034;width:409;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0</w:t>
                    </w:r>
                  </w:p>
                </w:txbxContent>
              </v:textbox>
            </v:rect>
            <v:rect id="_x0000_s1114" o:spid="_x0000_s1114" o:spt="1" style="position:absolute;left:403;top:0;height:489034;width:409;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5</w:t>
                    </w:r>
                  </w:p>
                </w:txbxContent>
              </v:textbox>
            </v:rect>
            <v:rect id="_x0000_s1115" o:spid="_x0000_s1115" o:spt="1" style="position:absolute;left:314;top:0;height:489034;width:498;mso-wrap-style:none;"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10</w:t>
                    </w:r>
                  </w:p>
                </w:txbxContent>
              </v:textbox>
            </v:rect>
            <v:rect id="_x0000_s1116" o:spid="_x0000_s1116" o:spt="1" style="position:absolute;left:-244322;top:245316;height:0;width:489;mso-wrap-style:none;rotation:-5898240f;"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y</w:t>
                    </w:r>
                  </w:p>
                </w:txbxContent>
              </v:textbox>
            </v:rect>
            <v:rect id="_x0000_s1117" o:spid="_x0000_s1117" o:spt="1" style="position:absolute;left:-244339;top:245334;height:0;width:489;mso-wrap-style:none;rotation:-5898240f;"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w:t>
                    </w:r>
                  </w:p>
                </w:txbxContent>
              </v:textbox>
            </v:rect>
            <v:rect id="_x0000_s1118" o:spid="_x0000_s1118" o:spt="1" style="position:absolute;left:-244297;top:245290;height:0;width:489;mso-wrap-style:none;rotation:-5898240f;" filled="f" stroked="f" coordsize="21600,21600">
              <v:path/>
              <v:fill on="f" focussize="0,0"/>
              <v:stroke on="f"/>
              <v:imagedata o:title=""/>
              <o:lock v:ext="edit" aspectratio="f"/>
              <v:textbox inset="0mm,0mm,0mm,0mm" style="mso-fit-shape-to-text:t;">
                <w:txbxContent>
                  <w:p>
                    <w:pPr>
                      <w:ind w:firstLine="320"/>
                    </w:pPr>
                    <w:r>
                      <w:rPr>
                        <w:rFonts w:ascii="Arial" w:hAnsi="Arial" w:cs="Arial"/>
                        <w:color w:val="000000"/>
                        <w:sz w:val="16"/>
                        <w:szCs w:val="16"/>
                      </w:rPr>
                      <w:t>m</w:t>
                    </w:r>
                  </w:p>
                </w:txbxContent>
              </v:textbox>
            </v:rect>
            <v:line id="_x0000_s1119" o:spid="_x0000_s1119" o:spt="20" style="position:absolute;left:7546;top:90;flip:y;height:1992;width:1;" filled="f" stroked="t" coordsize="21600,21600">
              <v:path arrowok="t"/>
              <v:fill on="f" focussize="0,0"/>
              <v:stroke weight="0pt" color="#000000" endcap="round"/>
              <v:imagedata o:title=""/>
              <o:lock v:ext="edit" aspectratio="f"/>
            </v:line>
            <v:line id="_x0000_s1120" o:spid="_x0000_s1120" o:spt="20" style="position:absolute;left:7546;top:2082;flip:x;height:1;width:87;" filled="f" stroked="t" coordsize="21600,21600">
              <v:path arrowok="t"/>
              <v:fill on="f" focussize="0,0"/>
              <v:stroke weight="0pt" color="#000000" endcap="round"/>
              <v:imagedata o:title=""/>
              <o:lock v:ext="edit" aspectratio="f"/>
            </v:line>
            <v:line id="_x0000_s1121" o:spid="_x0000_s1121" o:spt="20" style="position:absolute;left:7546;top:1584;flip:x;height:1;width:87;" filled="f" stroked="t" coordsize="21600,21600">
              <v:path arrowok="t"/>
              <v:fill on="f" focussize="0,0"/>
              <v:stroke weight="0pt" color="#000000" endcap="round"/>
              <v:imagedata o:title=""/>
              <o:lock v:ext="edit" aspectratio="f"/>
            </v:line>
            <v:line id="_x0000_s1122" o:spid="_x0000_s1122" o:spt="20" style="position:absolute;left:7546;top:1086;flip:x;height:1;width:87;" filled="f" stroked="t" coordsize="21600,21600">
              <v:path arrowok="t"/>
              <v:fill on="f" focussize="0,0"/>
              <v:stroke weight="0pt" color="#000000" endcap="round"/>
              <v:imagedata o:title=""/>
              <o:lock v:ext="edit" aspectratio="f"/>
            </v:line>
            <v:line id="_x0000_s1123" o:spid="_x0000_s1123" o:spt="20" style="position:absolute;left:7546;top:588;flip:x;height:1;width:87;" filled="f" stroked="t" coordsize="21600,21600">
              <v:path arrowok="t"/>
              <v:fill on="f" focussize="0,0"/>
              <v:stroke weight="0pt" color="#000000" endcap="round"/>
              <v:imagedata o:title=""/>
              <o:lock v:ext="edit" aspectratio="f"/>
            </v:line>
            <v:line id="_x0000_s1124" o:spid="_x0000_s1124" o:spt="20" style="position:absolute;left:7546;top:90;flip:x;height:1;width:87;" filled="f" stroked="t" coordsize="21600,21600">
              <v:path arrowok="t"/>
              <v:fill on="f" focussize="0,0"/>
              <v:stroke weight="0pt" color="#000000" endcap="round"/>
              <v:imagedata o:title=""/>
              <o:lock v:ext="edit" aspectratio="f"/>
            </v:line>
            <v:rect id="_x0000_s1125" o:spid="_x0000_s1125" o:spt="1" style="position:absolute;left:7883;top:1781;height:587;width:146;" fillcolor="#9DD3A0" filled="t" stroked="f" coordsize="21600,21600">
              <v:path/>
              <v:fill on="t" color2="#FFFFFF" focussize="0,0"/>
              <v:stroke on="f"/>
              <v:imagedata o:title=""/>
              <o:lock v:ext="edit" aspectratio="f"/>
            </v:rect>
            <v:rect id="_x0000_s1126" o:spid="_x0000_s1126" o:spt="1" style="position:absolute;left:7883;top:1781;height:587;width:146;" filled="f" stroked="t" coordsize="21600,21600">
              <v:path/>
              <v:fill on="f" focussize="0,0"/>
              <v:stroke weight="0pt" color="#000000" joinstyle="round" endcap="round"/>
              <v:imagedata o:title=""/>
              <o:lock v:ext="edit" aspectratio="f"/>
            </v:rect>
            <v:rect id="_x0000_s1127" o:spid="_x0000_s1127" o:spt="1" style="position:absolute;left:7883;top:1195;height:586;width:146;" fillcolor="#7FC57C" filled="t" stroked="f" coordsize="21600,21600">
              <v:path/>
              <v:fill on="t" color2="#FFFFFF" focussize="0,0"/>
              <v:stroke on="f"/>
              <v:imagedata o:title=""/>
              <o:lock v:ext="edit" aspectratio="f"/>
            </v:rect>
            <v:rect id="_x0000_s1128" o:spid="_x0000_s1128" o:spt="1" style="position:absolute;left:7883;top:1195;height:586;width:146;" filled="f" stroked="t" coordsize="21600,21600">
              <v:path/>
              <v:fill on="f" focussize="0,0"/>
              <v:stroke weight="0pt" color="#000000" joinstyle="round" endcap="round"/>
              <v:imagedata o:title=""/>
              <o:lock v:ext="edit" aspectratio="f"/>
            </v:rect>
            <v:rect id="_x0000_s1129" o:spid="_x0000_s1129" o:spt="1" style="position:absolute;left:7883;top:608;height:587;width:146;" fillcolor="#78C278" filled="t" stroked="f" coordsize="21600,21600">
              <v:path/>
              <v:fill on="t" color2="#FFFFFF" focussize="0,0"/>
              <v:stroke on="f"/>
              <v:imagedata o:title=""/>
              <o:lock v:ext="edit" aspectratio="f"/>
            </v:rect>
            <v:rect id="_x0000_s1130" o:spid="_x0000_s1130" o:spt="1" style="position:absolute;left:7883;top:608;height:587;width:146;" filled="f" stroked="t" coordsize="21600,21600">
              <v:path/>
              <v:fill on="f" focussize="0,0"/>
              <v:stroke weight="0pt" color="#000000" joinstyle="round" endcap="round"/>
              <v:imagedata o:title=""/>
              <o:lock v:ext="edit" aspectratio="f"/>
            </v:rect>
            <v:rect id="_x0000_s1131" o:spid="_x0000_s1131" o:spt="1" style="position:absolute;left:7883;top:22;height:586;width:146;" fillcolor="#82C382" filled="t" stroked="f" coordsize="21600,21600">
              <v:path/>
              <v:fill on="t" color2="#FFFFFF" focussize="0,0"/>
              <v:stroke on="f"/>
              <v:imagedata o:title=""/>
              <o:lock v:ext="edit" aspectratio="f"/>
            </v:rect>
            <v:rect id="_x0000_s1132" o:spid="_x0000_s1132" o:spt="1" style="position:absolute;left:7883;top:22;height:586;width:146;" filled="f" stroked="t" coordsize="21600,21600">
              <v:path/>
              <v:fill on="f" focussize="0,0"/>
              <v:stroke weight="0pt" color="#000000" joinstyle="round" endcap="round"/>
              <v:imagedata o:title=""/>
              <o:lock v:ext="edit" aspectratio="f"/>
            </v:rect>
            <v:rect id="_x0000_s1133" o:spid="_x0000_s1133" o:spt="1" style="position:absolute;left:8050;top:2000;height:489034;width:418;mso-wrap-style:none;" filled="f" stroked="f" coordsize="21600,21600">
              <v:path/>
              <v:fill on="f" focussize="0,0"/>
              <v:stroke on="f"/>
              <v:imagedata o:title=""/>
              <o:lock v:ext="edit" aspectratio="f"/>
              <v:textbox inset="0mm,0mm,0mm,0mm" style="mso-fit-shape-to-text:t;">
                <w:txbxContent>
                  <w:p>
                    <w:pPr>
                      <w:ind w:firstLine="160"/>
                    </w:pPr>
                    <w:r>
                      <w:rPr>
                        <w:rFonts w:ascii="Arial" w:hAnsi="Arial" w:cs="Arial"/>
                        <w:color w:val="000000"/>
                        <w:sz w:val="8"/>
                        <w:szCs w:val="8"/>
                      </w:rPr>
                      <w:t>1E-005</w:t>
                    </w:r>
                  </w:p>
                </w:txbxContent>
              </v:textbox>
            </v:rect>
            <v:rect id="_x0000_s1134" o:spid="_x0000_s1134" o:spt="1" style="position:absolute;left:8050;top:2000;height:489034;width:418;mso-wrap-style:none;" filled="f" stroked="f" coordsize="21600,21600">
              <v:path/>
              <v:fill on="f" focussize="0,0"/>
              <v:stroke on="f"/>
              <v:imagedata o:title=""/>
              <o:lock v:ext="edit" aspectratio="f"/>
              <v:textbox inset="0mm,0mm,0mm,0mm" style="mso-fit-shape-to-text:t;">
                <w:txbxContent>
                  <w:p>
                    <w:pPr>
                      <w:ind w:firstLine="160"/>
                    </w:pPr>
                    <w:r>
                      <w:rPr>
                        <w:rFonts w:ascii="Arial" w:hAnsi="Arial" w:cs="Arial"/>
                        <w:color w:val="000000"/>
                        <w:sz w:val="8"/>
                        <w:szCs w:val="8"/>
                      </w:rPr>
                      <w:t>2E-005</w:t>
                    </w:r>
                  </w:p>
                </w:txbxContent>
              </v:textbox>
            </v:rect>
            <v:rect id="_x0000_s1135" o:spid="_x0000_s1135" o:spt="1" style="position:absolute;left:8050;top:1000;height:489034;width:418;mso-wrap-style:none;" filled="f" stroked="f" coordsize="21600,21600">
              <v:path/>
              <v:fill on="f" focussize="0,0"/>
              <v:stroke on="f"/>
              <v:imagedata o:title=""/>
              <o:lock v:ext="edit" aspectratio="f"/>
              <v:textbox inset="0mm,0mm,0mm,0mm" style="mso-fit-shape-to-text:t;">
                <w:txbxContent>
                  <w:p>
                    <w:pPr>
                      <w:ind w:firstLine="160"/>
                    </w:pPr>
                    <w:r>
                      <w:rPr>
                        <w:rFonts w:ascii="Arial" w:hAnsi="Arial" w:cs="Arial"/>
                        <w:color w:val="000000"/>
                        <w:sz w:val="8"/>
                        <w:szCs w:val="8"/>
                      </w:rPr>
                      <w:t>3E-005</w:t>
                    </w:r>
                  </w:p>
                </w:txbxContent>
              </v:textbox>
            </v:rect>
            <v:rect id="_x0000_s1136" o:spid="_x0000_s1136" o:spt="1" style="position:absolute;left:8050;top:1000;height:489034;width:418;mso-wrap-style:none;" filled="f" stroked="f" coordsize="21600,21600">
              <v:path/>
              <v:fill on="f" focussize="0,0"/>
              <v:stroke on="f"/>
              <v:imagedata o:title=""/>
              <o:lock v:ext="edit" aspectratio="f"/>
              <v:textbox inset="0mm,0mm,0mm,0mm" style="mso-fit-shape-to-text:t;">
                <w:txbxContent>
                  <w:p>
                    <w:pPr>
                      <w:ind w:firstLine="160"/>
                    </w:pPr>
                    <w:r>
                      <w:rPr>
                        <w:rFonts w:ascii="Arial" w:hAnsi="Arial" w:cs="Arial"/>
                        <w:color w:val="000000"/>
                        <w:sz w:val="8"/>
                        <w:szCs w:val="8"/>
                      </w:rPr>
                      <w:t>4E-005</w:t>
                    </w:r>
                  </w:p>
                </w:txbxContent>
              </v:textbox>
            </v:rect>
            <w10:wrap type="none"/>
            <w10:anchorlock/>
          </v:group>
        </w:pict>
      </w:r>
    </w:p>
    <w:p>
      <w:pPr>
        <w:ind w:firstLine="480"/>
        <w:jc w:val="center"/>
        <w:rPr>
          <w:rFonts w:hAnsi="宋体"/>
          <w:szCs w:val="24"/>
        </w:rPr>
      </w:pPr>
      <w:r>
        <w:rPr>
          <w:rFonts w:hAnsi="宋体"/>
          <w:szCs w:val="24"/>
        </w:rPr>
        <w:t>c</w:t>
      </w:r>
      <w:r>
        <w:rPr>
          <w:rFonts w:hint="eastAsia" w:hAnsi="宋体"/>
          <w:szCs w:val="24"/>
        </w:rPr>
        <w:t>、泄漏</w:t>
      </w:r>
      <w:r>
        <w:rPr>
          <w:rFonts w:hAnsi="宋体"/>
          <w:szCs w:val="24"/>
        </w:rPr>
        <w:t>100</w:t>
      </w:r>
      <w:r>
        <w:rPr>
          <w:rFonts w:hint="eastAsia" w:hAnsi="宋体"/>
          <w:szCs w:val="24"/>
        </w:rPr>
        <w:t>天后停止泄漏，第</w:t>
      </w:r>
      <w:r>
        <w:rPr>
          <w:rFonts w:hAnsi="宋体"/>
          <w:szCs w:val="24"/>
        </w:rPr>
        <w:t>600</w:t>
      </w:r>
      <w:r>
        <w:rPr>
          <w:rFonts w:hint="eastAsia" w:hAnsi="宋体"/>
          <w:szCs w:val="24"/>
        </w:rPr>
        <w:t>天地下水中汞污染晕扩散平面图</w:t>
      </w:r>
    </w:p>
    <w:p>
      <w:pPr>
        <w:ind w:firstLine="480"/>
        <w:jc w:val="center"/>
        <w:rPr>
          <w:rFonts w:hAnsi="宋体"/>
          <w:szCs w:val="24"/>
        </w:rPr>
      </w:pPr>
      <w:r>
        <w:rPr>
          <w:rFonts w:hint="eastAsia" w:hAnsi="宋体"/>
          <w:szCs w:val="24"/>
        </w:rPr>
        <w:t>图</w:t>
      </w:r>
      <w:r>
        <w:rPr>
          <w:rFonts w:hint="eastAsia"/>
        </w:rPr>
        <w:t>6.2—</w:t>
      </w:r>
      <w:r>
        <w:rPr>
          <w:rFonts w:hAnsi="宋体"/>
          <w:szCs w:val="24"/>
        </w:rPr>
        <w:t xml:space="preserve">4 </w:t>
      </w:r>
      <w:r>
        <w:rPr>
          <w:rFonts w:hint="eastAsia" w:hAnsi="宋体"/>
          <w:szCs w:val="24"/>
        </w:rPr>
        <w:t>焚烧车间喷淋洗涤塔排水收集池短时泄漏地下水中汞污染预测结果</w:t>
      </w:r>
    </w:p>
    <w:p>
      <w:pPr>
        <w:adjustRightInd w:val="0"/>
        <w:snapToGrid w:val="0"/>
        <w:ind w:firstLine="480"/>
        <w:rPr>
          <w:rFonts w:asciiTheme="minorEastAsia" w:hAnsiTheme="minorEastAsia" w:eastAsiaTheme="minorEastAsia"/>
          <w:szCs w:val="24"/>
        </w:rPr>
      </w:pPr>
    </w:p>
    <w:p>
      <w:pPr>
        <w:pStyle w:val="4"/>
      </w:pPr>
      <w:bookmarkStart w:id="403" w:name="_Toc13760212"/>
      <w:r>
        <w:rPr>
          <w:rFonts w:hint="eastAsia"/>
        </w:rPr>
        <w:t>6.3地表水环境影响分析</w:t>
      </w:r>
      <w:bookmarkEnd w:id="403"/>
    </w:p>
    <w:p>
      <w:pPr>
        <w:pStyle w:val="161"/>
        <w:ind w:firstLine="480"/>
      </w:pPr>
      <w:r>
        <w:rPr>
          <w:rFonts w:hint="eastAsia"/>
        </w:rPr>
        <w:t>改扩建后项目全厂污水处理工艺没变化，改扩建后</w:t>
      </w:r>
      <w:r>
        <w:t>物化车间澄清池排水和沉淀池废水经“絮凝沉淀”处理后</w:t>
      </w:r>
      <w:r>
        <w:rPr>
          <w:rFonts w:hint="eastAsia"/>
        </w:rPr>
        <w:t>排水</w:t>
      </w:r>
      <w:r>
        <w:t>，与焚烧车间喷淋洗涤塔排水由本车间污水处理模块经“絮凝沉淀”处理后排水、冲洗废水、安全填埋场渗滤液</w:t>
      </w:r>
      <w:r>
        <w:rPr>
          <w:rFonts w:hint="eastAsia"/>
        </w:rPr>
        <w:t>、</w:t>
      </w:r>
      <w:r>
        <w:t>物化车间酸雾吸收塔排水</w:t>
      </w:r>
      <w:r>
        <w:rPr>
          <w:rFonts w:hint="eastAsia"/>
        </w:rPr>
        <w:t>、</w:t>
      </w:r>
      <w:r>
        <w:t>循环水系统排水</w:t>
      </w:r>
      <w:r>
        <w:rPr>
          <w:rFonts w:hint="eastAsia"/>
        </w:rPr>
        <w:t>、</w:t>
      </w:r>
      <w:r>
        <w:t>余热锅炉排水及软化水系统排水</w:t>
      </w:r>
      <w:r>
        <w:rPr>
          <w:rFonts w:hint="eastAsia"/>
        </w:rPr>
        <w:t>、</w:t>
      </w:r>
      <w:r>
        <w:t>污水处理站排浓水</w:t>
      </w:r>
      <w:r>
        <w:rPr>
          <w:rFonts w:hint="eastAsia"/>
        </w:rPr>
        <w:t>进入污水处理站</w:t>
      </w:r>
      <w:r>
        <w:t>采用“Fenton+强制循环蒸发”的方法进行处理，处理后的冷凝液与化验用水以及生活污水送至全厂污水处理站，经“絮凝沉淀+水解酸化+MBR+回用系统”处理后，出水部分回用至固化车间，其余回用至焚烧车间，浓水送至</w:t>
      </w:r>
      <w:r>
        <w:rPr>
          <w:rFonts w:hint="eastAsia"/>
        </w:rPr>
        <w:t>固化</w:t>
      </w:r>
      <w:r>
        <w:t>车间。本项目处理后的废水全部回用于各生产工段，全厂无废水外排。</w:t>
      </w:r>
    </w:p>
    <w:p>
      <w:pPr>
        <w:pStyle w:val="161"/>
        <w:ind w:firstLine="480"/>
      </w:pPr>
      <w:r>
        <w:rPr>
          <w:snapToGrid w:val="0"/>
        </w:rPr>
        <w:t>本项目</w:t>
      </w:r>
      <w:r>
        <w:rPr>
          <w:rFonts w:hint="eastAsia"/>
        </w:rPr>
        <w:t>正常生产时产生的废水主要有</w:t>
      </w:r>
      <w:r>
        <w:t>生活污水、冲洗废水、化验废水排水、填埋场渗滤液、生产污水</w:t>
      </w:r>
      <w:r>
        <w:rPr>
          <w:rFonts w:hint="eastAsia"/>
        </w:rPr>
        <w:t>和</w:t>
      </w:r>
      <w:r>
        <w:t>厂区污水处理站排水。</w:t>
      </w:r>
    </w:p>
    <w:p>
      <w:pPr>
        <w:pStyle w:val="739"/>
        <w:ind w:firstLine="480"/>
        <w:outlineLvl w:val="0"/>
      </w:pPr>
      <w:bookmarkStart w:id="404" w:name="_Toc13760213"/>
      <w:bookmarkStart w:id="405" w:name="_Toc13582183"/>
      <w:r>
        <w:rPr>
          <w:rFonts w:hint="eastAsia" w:hAnsi="宋体"/>
        </w:rPr>
        <w:t>⑴</w:t>
      </w:r>
      <w:r>
        <w:rPr>
          <w:rFonts w:hint="eastAsia"/>
        </w:rPr>
        <w:t>生活污水排水系统</w:t>
      </w:r>
      <w:bookmarkEnd w:id="404"/>
      <w:bookmarkEnd w:id="405"/>
    </w:p>
    <w:p>
      <w:pPr>
        <w:ind w:firstLine="480"/>
      </w:pPr>
      <w:r>
        <w:rPr>
          <w:rFonts w:hint="eastAsia"/>
        </w:rPr>
        <w:t>本系统主要用于收集各装置区建筑物内卫生间、厕所、浴室、餐厅等设施的生活污水。危废综合处置厂的生活污水收集经装置区内的化粪池预处理后，</w:t>
      </w:r>
      <w:r>
        <w:rPr>
          <w:rFonts w:hint="eastAsia"/>
          <w:szCs w:val="24"/>
        </w:rPr>
        <w:t>送至全厂污水处理站进行处理</w:t>
      </w:r>
      <w:r>
        <w:rPr>
          <w:rFonts w:hint="eastAsia"/>
        </w:rPr>
        <w:t>；安全填埋场产生的生活污水排入厂区设置的防渗化粪池，定期由吸污车进行清理运输至全厂污水处理站进行处理。全厂生活污水产生量为</w:t>
      </w:r>
      <w:r>
        <w:t>9.92m</w:t>
      </w:r>
      <w:r>
        <w:rPr>
          <w:vertAlign w:val="superscript"/>
        </w:rPr>
        <w:t>3</w:t>
      </w:r>
      <w:r>
        <w:t>/d</w:t>
      </w:r>
      <w:r>
        <w:rPr>
          <w:rFonts w:hint="eastAsia"/>
        </w:rPr>
        <w:t>。</w:t>
      </w:r>
    </w:p>
    <w:p>
      <w:pPr>
        <w:pStyle w:val="739"/>
        <w:ind w:firstLine="480"/>
        <w:outlineLvl w:val="0"/>
      </w:pPr>
      <w:bookmarkStart w:id="406" w:name="_Toc13582184"/>
      <w:bookmarkStart w:id="407" w:name="_Toc13760214"/>
      <w:r>
        <w:rPr>
          <w:rFonts w:hint="eastAsia" w:hAnsi="宋体"/>
        </w:rPr>
        <w:t>⑵</w:t>
      </w:r>
      <w:r>
        <w:rPr>
          <w:rFonts w:hint="eastAsia"/>
        </w:rPr>
        <w:t>化验废水排水系统</w:t>
      </w:r>
      <w:bookmarkEnd w:id="406"/>
      <w:bookmarkEnd w:id="407"/>
    </w:p>
    <w:p>
      <w:pPr>
        <w:ind w:firstLine="480"/>
      </w:pPr>
      <w:r>
        <w:rPr>
          <w:rFonts w:hint="eastAsia"/>
        </w:rPr>
        <w:t>项目设有分析中心，内设化验室对危险废物的成分、热值、重金属含量以及水质进行分析。由于化验室的特点，造成此部分水量复杂多变，污染物浓度较高，废水中主要污染物为</w:t>
      </w:r>
      <w:r>
        <w:t>COD</w:t>
      </w:r>
      <w:r>
        <w:rPr>
          <w:rFonts w:hint="eastAsia"/>
        </w:rPr>
        <w:t>、重金属、石油类等。实验室有毒的化学品废水为3</w:t>
      </w:r>
      <w:r>
        <w:t>.0m</w:t>
      </w:r>
      <w:r>
        <w:rPr>
          <w:vertAlign w:val="superscript"/>
        </w:rPr>
        <w:t>3</w:t>
      </w:r>
      <w:r>
        <w:t>/d</w:t>
      </w:r>
      <w:r>
        <w:rPr>
          <w:rFonts w:hint="eastAsia"/>
        </w:rPr>
        <w:t>，收集后送至本项目厂区污水处理站进行处理。</w:t>
      </w:r>
    </w:p>
    <w:p>
      <w:pPr>
        <w:pStyle w:val="739"/>
        <w:ind w:firstLine="480"/>
        <w:outlineLvl w:val="0"/>
      </w:pPr>
      <w:bookmarkStart w:id="408" w:name="_Toc13582185"/>
      <w:bookmarkStart w:id="409" w:name="_Toc13760215"/>
      <w:r>
        <w:rPr>
          <w:rFonts w:hint="eastAsia" w:hAnsi="宋体"/>
        </w:rPr>
        <w:t>⑶</w:t>
      </w:r>
      <w:r>
        <w:rPr>
          <w:rFonts w:hint="eastAsia"/>
        </w:rPr>
        <w:t>冲洗废水排水系统</w:t>
      </w:r>
      <w:bookmarkEnd w:id="408"/>
      <w:bookmarkEnd w:id="409"/>
    </w:p>
    <w:p>
      <w:pPr>
        <w:ind w:firstLine="480"/>
      </w:pPr>
      <w:r>
        <w:rPr>
          <w:rFonts w:hint="eastAsia"/>
        </w:rPr>
        <w:t>冲洗废水主要包括地面清洗水、洗车废水和容器冲洗水。由于运输中的抛洒和烟气污染物进入大气候的扩散沉降，厂内道路、场地冲洗排水中含有悬浮物和少量重金属；危险废物运输车辆卸料后必须冲洗才能出场，洗车废水中含有石油类、悬浮物、重金属、有机物等；场内包装桶需要清洗，废水中含有石油类、悬浮物、重金属、有机物等。危废综合处置厂的冲洗废水收集后直接送至全厂污水处理站，安全填埋场产生的冲洗废水排入安全填埋场洗车台处设置的容积为</w:t>
      </w:r>
      <w:r>
        <w:t>100m</w:t>
      </w:r>
      <w:r>
        <w:rPr>
          <w:vertAlign w:val="superscript"/>
        </w:rPr>
        <w:t>3</w:t>
      </w:r>
      <w:r>
        <w:rPr>
          <w:rFonts w:hint="eastAsia"/>
        </w:rPr>
        <w:t>的防渗暂存池，定期由吸污车进行清理运输至全厂污水处理站，先进行</w:t>
      </w:r>
      <w:r>
        <w:t>“Fenton+强制循环蒸发”</w:t>
      </w:r>
      <w:r>
        <w:rPr>
          <w:rFonts w:hint="eastAsia"/>
        </w:rPr>
        <w:t>处理，再</w:t>
      </w:r>
      <w:r>
        <w:t>经“絮凝沉淀+水解酸化+MBR+回用系统”处理</w:t>
      </w:r>
      <w:r>
        <w:rPr>
          <w:rFonts w:hint="eastAsia"/>
        </w:rPr>
        <w:t>。全厂冲洗废水产生量为30.0</w:t>
      </w:r>
      <w:r>
        <w:t>m</w:t>
      </w:r>
      <w:r>
        <w:rPr>
          <w:vertAlign w:val="superscript"/>
        </w:rPr>
        <w:t>3</w:t>
      </w:r>
      <w:r>
        <w:t>/d</w:t>
      </w:r>
      <w:r>
        <w:rPr>
          <w:rFonts w:hint="eastAsia"/>
        </w:rPr>
        <w:t>。</w:t>
      </w:r>
    </w:p>
    <w:p>
      <w:pPr>
        <w:pStyle w:val="739"/>
        <w:ind w:firstLine="480"/>
        <w:outlineLvl w:val="0"/>
      </w:pPr>
      <w:bookmarkStart w:id="410" w:name="_Toc13582186"/>
      <w:bookmarkStart w:id="411" w:name="_Toc13760216"/>
      <w:r>
        <w:rPr>
          <w:rFonts w:hint="eastAsia" w:hAnsi="宋体"/>
        </w:rPr>
        <w:t>⑷</w:t>
      </w:r>
      <w:r>
        <w:rPr>
          <w:rFonts w:hint="eastAsia"/>
        </w:rPr>
        <w:t>填埋场渗滤液排水系统</w:t>
      </w:r>
      <w:bookmarkEnd w:id="410"/>
      <w:bookmarkEnd w:id="411"/>
    </w:p>
    <w:p>
      <w:pPr>
        <w:pStyle w:val="161"/>
        <w:ind w:firstLine="480"/>
      </w:pPr>
      <w:r>
        <w:rPr>
          <w:rFonts w:hint="eastAsia"/>
        </w:rPr>
        <w:t>本项目全厂渗滤液产生量为</w:t>
      </w:r>
      <w:r>
        <w:t>8.6m</w:t>
      </w:r>
      <w:r>
        <w:rPr>
          <w:vertAlign w:val="superscript"/>
        </w:rPr>
        <w:t>3</w:t>
      </w:r>
      <w:r>
        <w:t>/d</w:t>
      </w:r>
      <w:r>
        <w:rPr>
          <w:rFonts w:hint="eastAsia"/>
        </w:rPr>
        <w:t>，该部分废水由罐车送至全厂污水处理站进行处理。先进行</w:t>
      </w:r>
      <w:r>
        <w:t>“Fenton+强制循环蒸发”</w:t>
      </w:r>
      <w:r>
        <w:rPr>
          <w:rFonts w:hint="eastAsia"/>
        </w:rPr>
        <w:t>处理，再</w:t>
      </w:r>
      <w:r>
        <w:t>经“絮凝沉淀+水解酸化+MBR+回用系统”处理</w:t>
      </w:r>
      <w:r>
        <w:rPr>
          <w:rFonts w:hint="eastAsia"/>
        </w:rPr>
        <w:t>。</w:t>
      </w:r>
    </w:p>
    <w:p>
      <w:pPr>
        <w:pStyle w:val="739"/>
        <w:ind w:firstLine="480"/>
        <w:outlineLvl w:val="0"/>
      </w:pPr>
      <w:bookmarkStart w:id="412" w:name="_Toc13760217"/>
      <w:bookmarkStart w:id="413" w:name="_Toc13582187"/>
      <w:r>
        <w:rPr>
          <w:rFonts w:hint="eastAsia" w:hAnsi="宋体"/>
        </w:rPr>
        <w:t>⑸</w:t>
      </w:r>
      <w:r>
        <w:t>生产污水</w:t>
      </w:r>
      <w:bookmarkEnd w:id="412"/>
      <w:bookmarkEnd w:id="413"/>
    </w:p>
    <w:p>
      <w:pPr>
        <w:pStyle w:val="161"/>
        <w:ind w:firstLine="480"/>
      </w:pPr>
      <w:r>
        <w:rPr>
          <w:rFonts w:hint="eastAsia"/>
        </w:rPr>
        <w:t>生产废水排水系统主要收集物化车间、软化水站、循环水系统、余热锅炉和焚烧车间的排水。</w:t>
      </w:r>
    </w:p>
    <w:p>
      <w:pPr>
        <w:pStyle w:val="161"/>
        <w:ind w:firstLine="480"/>
      </w:pPr>
      <w:r>
        <w:rPr>
          <w:rFonts w:hint="eastAsia"/>
        </w:rPr>
        <w:t>物化车间的酸雾吸收塔排水1.89</w:t>
      </w:r>
      <w:r>
        <w:t>m</w:t>
      </w:r>
      <w:r>
        <w:rPr>
          <w:vertAlign w:val="superscript"/>
        </w:rPr>
        <w:t>3</w:t>
      </w:r>
      <w:r>
        <w:t>/d</w:t>
      </w:r>
      <w:r>
        <w:rPr>
          <w:rFonts w:hint="eastAsia"/>
        </w:rPr>
        <w:t>送至污水处理站处理，澄清池排水41.948</w:t>
      </w:r>
      <w:r>
        <w:t>m</w:t>
      </w:r>
      <w:r>
        <w:rPr>
          <w:vertAlign w:val="superscript"/>
        </w:rPr>
        <w:t>3</w:t>
      </w:r>
      <w:r>
        <w:t>/d</w:t>
      </w:r>
      <w:r>
        <w:rPr>
          <w:rFonts w:hint="eastAsia"/>
        </w:rPr>
        <w:t>和沉淀池废水9.702</w:t>
      </w:r>
      <w:r>
        <w:t>m</w:t>
      </w:r>
      <w:r>
        <w:rPr>
          <w:vertAlign w:val="superscript"/>
        </w:rPr>
        <w:t>3</w:t>
      </w:r>
      <w:r>
        <w:t>/d</w:t>
      </w:r>
      <w:r>
        <w:rPr>
          <w:rFonts w:hint="eastAsia"/>
        </w:rPr>
        <w:t>经本车间污水处理模块处理、软化水站排污水3.63</w:t>
      </w:r>
      <w:r>
        <w:t>m</w:t>
      </w:r>
      <w:r>
        <w:rPr>
          <w:vertAlign w:val="superscript"/>
        </w:rPr>
        <w:t>3</w:t>
      </w:r>
      <w:r>
        <w:t>/d</w:t>
      </w:r>
      <w:r>
        <w:rPr>
          <w:rFonts w:hint="eastAsia"/>
        </w:rPr>
        <w:t>、循环水系统排污水12.00</w:t>
      </w:r>
      <w:r>
        <w:t>m</w:t>
      </w:r>
      <w:r>
        <w:rPr>
          <w:vertAlign w:val="superscript"/>
        </w:rPr>
        <w:t>3</w:t>
      </w:r>
      <w:r>
        <w:t>/d</w:t>
      </w:r>
      <w:r>
        <w:rPr>
          <w:rFonts w:hint="eastAsia"/>
        </w:rPr>
        <w:t>、余热锅炉排水11.50</w:t>
      </w:r>
      <w:r>
        <w:t>m</w:t>
      </w:r>
      <w:r>
        <w:rPr>
          <w:vertAlign w:val="superscript"/>
        </w:rPr>
        <w:t>3</w:t>
      </w:r>
      <w:r>
        <w:t>/d</w:t>
      </w:r>
      <w:r>
        <w:rPr>
          <w:rFonts w:hint="eastAsia"/>
        </w:rPr>
        <w:t>、喷淋洗涤塔排水排水29.00</w:t>
      </w:r>
      <w:r>
        <w:t>m</w:t>
      </w:r>
      <w:r>
        <w:rPr>
          <w:vertAlign w:val="superscript"/>
        </w:rPr>
        <w:t>3</w:t>
      </w:r>
      <w:r>
        <w:t>/d</w:t>
      </w:r>
      <w:r>
        <w:rPr>
          <w:rFonts w:hint="eastAsia"/>
        </w:rPr>
        <w:t>送至厂区污水处理站的强制蒸发系统；之后再</w:t>
      </w:r>
      <w:r>
        <w:t>经“絮凝沉淀+水解酸化+MBR+回用系统”处理后</w:t>
      </w:r>
      <w:r>
        <w:rPr>
          <w:rFonts w:hint="eastAsia"/>
        </w:rPr>
        <w:t>回用。</w:t>
      </w:r>
    </w:p>
    <w:p>
      <w:pPr>
        <w:pStyle w:val="739"/>
        <w:ind w:firstLine="480"/>
      </w:pPr>
      <w:r>
        <w:rPr>
          <w:rFonts w:hAnsi="宋体"/>
        </w:rPr>
        <w:t>⑹</w:t>
      </w:r>
      <w:r>
        <w:t>厂区污水处理站排水</w:t>
      </w:r>
    </w:p>
    <w:p>
      <w:pPr>
        <w:pStyle w:val="161"/>
        <w:ind w:firstLine="480"/>
      </w:pPr>
      <w:r>
        <w:rPr>
          <w:rFonts w:hint="eastAsia"/>
        </w:rPr>
        <w:t>厂区污水处理站收集处理强制蒸发系统的浓水、化验废水、冲洗废水、填埋场渗滤液、</w:t>
      </w:r>
      <w:r>
        <w:t>物化车间酸雾吸收塔排水</w:t>
      </w:r>
      <w:r>
        <w:rPr>
          <w:rFonts w:hint="eastAsia"/>
        </w:rPr>
        <w:t>、</w:t>
      </w:r>
      <w:r>
        <w:t>循环水系统排水</w:t>
      </w:r>
      <w:r>
        <w:rPr>
          <w:rFonts w:hint="eastAsia"/>
        </w:rPr>
        <w:t>、</w:t>
      </w:r>
      <w:r>
        <w:t>余热锅炉排水及软化水系统排水以及生活污水</w:t>
      </w:r>
      <w:r>
        <w:rPr>
          <w:rFonts w:hint="eastAsia"/>
        </w:rPr>
        <w:t>共151.19</w:t>
      </w:r>
      <w:r>
        <w:t>m</w:t>
      </w:r>
      <w:r>
        <w:rPr>
          <w:vertAlign w:val="superscript"/>
        </w:rPr>
        <w:t>3</w:t>
      </w:r>
      <w:r>
        <w:t>/d</w:t>
      </w:r>
      <w:r>
        <w:rPr>
          <w:rFonts w:hint="eastAsia"/>
        </w:rPr>
        <w:t>，处理后的厂区污水处理站出水部分回用至固化车间，部分回用至焚烧车间，排浓水送至固化车间。</w:t>
      </w:r>
    </w:p>
    <w:p>
      <w:pPr>
        <w:pStyle w:val="739"/>
        <w:ind w:firstLine="480"/>
        <w:outlineLvl w:val="0"/>
      </w:pPr>
      <w:bookmarkStart w:id="414" w:name="_Toc13582188"/>
      <w:bookmarkStart w:id="415" w:name="_Toc13760218"/>
      <w:r>
        <w:rPr>
          <w:rFonts w:hint="eastAsia" w:hAnsi="宋体"/>
        </w:rPr>
        <w:t>⑺</w:t>
      </w:r>
      <w:r>
        <w:rPr>
          <w:rFonts w:hint="eastAsia"/>
        </w:rPr>
        <w:t>污染雨水排水系统</w:t>
      </w:r>
      <w:bookmarkEnd w:id="414"/>
      <w:bookmarkEnd w:id="415"/>
    </w:p>
    <w:p>
      <w:pPr>
        <w:ind w:firstLine="480"/>
      </w:pPr>
      <w:r>
        <w:rPr>
          <w:rFonts w:hint="eastAsia"/>
        </w:rPr>
        <w:t>本系统主要用于收集装置污染区域内的地面初期雨水。</w:t>
      </w:r>
    </w:p>
    <w:p>
      <w:pPr>
        <w:ind w:firstLine="480"/>
        <w:rPr>
          <w:szCs w:val="24"/>
        </w:rPr>
      </w:pPr>
      <w:r>
        <w:rPr>
          <w:rFonts w:hint="eastAsia"/>
          <w:szCs w:val="24"/>
        </w:rPr>
        <w:t>装置污染区的初期污染雨水，应收集后排至厂区设置的一</w:t>
      </w:r>
      <w:r>
        <w:rPr>
          <w:rFonts w:cs="Times New Roman"/>
          <w:szCs w:val="24"/>
        </w:rPr>
        <w:t>座1406.25m</w:t>
      </w:r>
      <w:r>
        <w:rPr>
          <w:rFonts w:cs="Times New Roman"/>
          <w:szCs w:val="24"/>
          <w:vertAlign w:val="superscript"/>
        </w:rPr>
        <w:t>3</w:t>
      </w:r>
      <w:r>
        <w:rPr>
          <w:rFonts w:cs="Times New Roman"/>
          <w:szCs w:val="24"/>
        </w:rPr>
        <w:t>的</w:t>
      </w:r>
      <w:r>
        <w:rPr>
          <w:rFonts w:hint="eastAsia"/>
          <w:szCs w:val="24"/>
        </w:rPr>
        <w:t>事故及雨水池。装置污染区的后期清净雨水通过溢流井，自动切换到清净雨水系统。为保证消防工况下装置雨水管网排水能力的可靠性，各装置界区内的初期雨水管和雨水排出管应按事故及消防工况下的排水量校核管径。</w:t>
      </w:r>
    </w:p>
    <w:p>
      <w:pPr>
        <w:pStyle w:val="739"/>
        <w:ind w:firstLine="480"/>
        <w:outlineLvl w:val="0"/>
      </w:pPr>
      <w:bookmarkStart w:id="416" w:name="_Toc13760219"/>
      <w:bookmarkStart w:id="417" w:name="_Toc13582189"/>
      <w:r>
        <w:rPr>
          <w:rFonts w:hint="eastAsia" w:hAnsi="宋体"/>
        </w:rPr>
        <w:t>⑻</w:t>
      </w:r>
      <w:r>
        <w:rPr>
          <w:rFonts w:hint="eastAsia"/>
        </w:rPr>
        <w:t>雨水排水系统</w:t>
      </w:r>
      <w:bookmarkEnd w:id="416"/>
      <w:bookmarkEnd w:id="417"/>
    </w:p>
    <w:p>
      <w:pPr>
        <w:ind w:firstLine="480"/>
      </w:pPr>
      <w:r>
        <w:rPr>
          <w:rFonts w:hint="eastAsia"/>
        </w:rPr>
        <w:t>本系统收集全厂未污染的雨水，以重力流形式分散、就近排入全厂雨水排水管系统。该系统根据各装置的汇流面积，经计算确定集中以管道重力流排至全厂雨水排水系统。</w:t>
      </w:r>
    </w:p>
    <w:p>
      <w:pPr>
        <w:ind w:firstLine="480"/>
      </w:pPr>
      <w:r>
        <w:rPr>
          <w:rFonts w:hint="eastAsia"/>
        </w:rPr>
        <w:t>污染区和非污染区的雨水沟设计，应用雨水量和该装置消防排水量设计。</w:t>
      </w:r>
    </w:p>
    <w:p>
      <w:pPr>
        <w:pStyle w:val="739"/>
        <w:ind w:firstLine="480"/>
        <w:outlineLvl w:val="0"/>
      </w:pPr>
      <w:bookmarkStart w:id="418" w:name="_Toc13760220"/>
      <w:bookmarkStart w:id="419" w:name="_Toc13582190"/>
      <w:r>
        <w:rPr>
          <w:rFonts w:hint="eastAsia"/>
        </w:rPr>
        <w:t>⑼事故水收集系统</w:t>
      </w:r>
      <w:bookmarkEnd w:id="418"/>
      <w:bookmarkEnd w:id="419"/>
    </w:p>
    <w:p>
      <w:pPr>
        <w:ind w:firstLine="480"/>
      </w:pPr>
      <w:r>
        <w:rPr>
          <w:rFonts w:hint="eastAsia"/>
        </w:rPr>
        <w:t>本项目危废综合处置厂区设</w:t>
      </w:r>
      <w:r>
        <w:t>1</w:t>
      </w:r>
      <w:r>
        <w:rPr>
          <w:rFonts w:hint="eastAsia"/>
        </w:rPr>
        <w:t>座</w:t>
      </w:r>
      <w:r>
        <w:rPr>
          <w:rFonts w:cs="Times New Roman"/>
          <w:szCs w:val="24"/>
        </w:rPr>
        <w:t>1406.25m</w:t>
      </w:r>
      <w:r>
        <w:rPr>
          <w:rFonts w:cs="Times New Roman"/>
          <w:szCs w:val="24"/>
          <w:vertAlign w:val="superscript"/>
        </w:rPr>
        <w:t>3</w:t>
      </w:r>
      <w:r>
        <w:rPr>
          <w:rFonts w:hint="eastAsia"/>
        </w:rPr>
        <w:t>的全厂事故及雨水收集池。</w:t>
      </w:r>
    </w:p>
    <w:p>
      <w:pPr>
        <w:ind w:firstLine="480"/>
      </w:pPr>
      <w:r>
        <w:rPr>
          <w:rFonts w:hint="eastAsia"/>
        </w:rPr>
        <w:t>本项目危废综合处置厂区设置</w:t>
      </w:r>
      <w:r>
        <w:t>1</w:t>
      </w:r>
      <w:r>
        <w:rPr>
          <w:rFonts w:hint="eastAsia"/>
        </w:rPr>
        <w:t>座焚烧车间废水收集池，收集本项目焚烧车间非满负荷运行的情况下该车间未能回用的厂区排水。</w:t>
      </w:r>
    </w:p>
    <w:p>
      <w:pPr>
        <w:pStyle w:val="161"/>
        <w:ind w:firstLine="480"/>
      </w:pPr>
      <w:r>
        <w:rPr>
          <w:rFonts w:hint="eastAsia" w:hAnsi="宋体"/>
        </w:rPr>
        <w:t>由以上分析可知：在正常工况下，全厂排水经处理后均回用于各生产工段，不外排，对地表水环境影响甚微</w:t>
      </w:r>
      <w:r>
        <w:rPr>
          <w:rFonts w:hint="eastAsia"/>
        </w:rPr>
        <w:t>。</w:t>
      </w:r>
    </w:p>
    <w:p>
      <w:pPr>
        <w:pStyle w:val="161"/>
        <w:ind w:firstLine="480"/>
        <w:rPr>
          <w:rFonts w:asciiTheme="minorEastAsia" w:hAnsiTheme="minorEastAsia"/>
        </w:rPr>
      </w:pPr>
      <w:r>
        <w:rPr>
          <w:rFonts w:hint="eastAsia"/>
        </w:rPr>
        <w:t>在非正常工况下，主要为当发生污水处理厂运行不正常，污水经处理后的出水无法回用时，污水送回事故水池贮存，待恢复正常工况再进行处理回用。改扩建后全厂仍设置一座</w:t>
      </w:r>
      <w:r>
        <w:rPr>
          <w:rFonts w:cs="Times New Roman"/>
        </w:rPr>
        <w:t>1406.25m</w:t>
      </w:r>
      <w:r>
        <w:rPr>
          <w:rFonts w:cs="Times New Roman"/>
          <w:vertAlign w:val="superscript"/>
        </w:rPr>
        <w:t>3</w:t>
      </w:r>
      <w:r>
        <w:rPr>
          <w:rFonts w:hint="eastAsia"/>
        </w:rPr>
        <w:t>的全厂事故及雨水收集池。待恢复正常工况时，废水打回至厂区污水处理站，处理达标后回用。</w:t>
      </w:r>
    </w:p>
    <w:p>
      <w:pPr>
        <w:pStyle w:val="4"/>
      </w:pPr>
      <w:bookmarkStart w:id="420" w:name="_Toc3282186"/>
      <w:bookmarkStart w:id="421" w:name="_Toc13760221"/>
      <w:r>
        <w:rPr>
          <w:rFonts w:hint="eastAsia"/>
        </w:rPr>
        <w:t>6.4声环境</w:t>
      </w:r>
      <w:bookmarkEnd w:id="420"/>
      <w:r>
        <w:rPr>
          <w:rFonts w:hint="eastAsia"/>
        </w:rPr>
        <w:t>影响分析</w:t>
      </w:r>
      <w:bookmarkEnd w:id="421"/>
    </w:p>
    <w:p>
      <w:pPr>
        <w:pStyle w:val="739"/>
        <w:ind w:firstLine="480"/>
      </w:pPr>
      <w:bookmarkStart w:id="422" w:name="_Toc3282187"/>
      <w:r>
        <w:rPr>
          <w:rFonts w:hint="eastAsia"/>
        </w:rPr>
        <w:t>本项目改扩建后全厂主要噪声源及声学参数见表</w:t>
      </w:r>
      <w:r>
        <w:t>6.</w:t>
      </w:r>
      <w:r>
        <w:rPr>
          <w:rFonts w:hint="eastAsia"/>
        </w:rPr>
        <w:t>4—</w:t>
      </w:r>
      <w:r>
        <w:t>1</w:t>
      </w:r>
      <w:r>
        <w:rPr>
          <w:rFonts w:hint="eastAsia"/>
        </w:rPr>
        <w:t>。</w:t>
      </w:r>
    </w:p>
    <w:p>
      <w:pPr>
        <w:pStyle w:val="161"/>
        <w:ind w:firstLine="480"/>
      </w:pPr>
      <w:bookmarkStart w:id="423" w:name="_Hlk523133057"/>
    </w:p>
    <w:p>
      <w:pPr>
        <w:pStyle w:val="161"/>
        <w:ind w:firstLine="480"/>
      </w:pPr>
    </w:p>
    <w:p>
      <w:pPr>
        <w:pStyle w:val="161"/>
        <w:ind w:firstLine="480"/>
      </w:pPr>
      <w:r>
        <w:rPr>
          <w:rFonts w:hint="eastAsia"/>
        </w:rPr>
        <w:t>表</w:t>
      </w:r>
      <w:r>
        <w:t>6.</w:t>
      </w:r>
      <w:r>
        <w:rPr>
          <w:rFonts w:hint="eastAsia"/>
        </w:rPr>
        <w:t>4—</w:t>
      </w:r>
      <w:r>
        <w:t>1</w:t>
      </w:r>
      <w:r>
        <w:rPr>
          <w:rFonts w:hint="eastAsia"/>
        </w:rPr>
        <w:t xml:space="preserve">                    噪声源及声学参数表</w:t>
      </w:r>
    </w:p>
    <w:tbl>
      <w:tblPr>
        <w:tblStyle w:val="88"/>
        <w:tblW w:w="9638" w:type="dxa"/>
        <w:jc w:val="center"/>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Layout w:type="fixed"/>
        <w:tblCellMar>
          <w:top w:w="0" w:type="dxa"/>
          <w:left w:w="0" w:type="dxa"/>
          <w:bottom w:w="0" w:type="dxa"/>
          <w:right w:w="0" w:type="dxa"/>
        </w:tblCellMar>
      </w:tblPr>
      <w:tblGrid>
        <w:gridCol w:w="1975"/>
        <w:gridCol w:w="2264"/>
        <w:gridCol w:w="611"/>
        <w:gridCol w:w="1465"/>
        <w:gridCol w:w="2658"/>
        <w:gridCol w:w="665"/>
      </w:tblGrid>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tblHeader/>
          <w:jc w:val="center"/>
        </w:trPr>
        <w:tc>
          <w:tcPr>
            <w:tcW w:w="1975" w:type="dxa"/>
            <w:tcBorders>
              <w:top w:val="single" w:color="auto" w:sz="12" w:space="0"/>
              <w:left w:val="nil"/>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装置名称</w:t>
            </w:r>
          </w:p>
        </w:tc>
        <w:tc>
          <w:tcPr>
            <w:tcW w:w="2264" w:type="dxa"/>
            <w:tcBorders>
              <w:top w:val="single" w:color="auto" w:sz="12"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设备名称</w:t>
            </w:r>
          </w:p>
        </w:tc>
        <w:tc>
          <w:tcPr>
            <w:tcW w:w="611" w:type="dxa"/>
            <w:tcBorders>
              <w:top w:val="single" w:color="auto" w:sz="12" w:space="0"/>
              <w:left w:val="dotted" w:color="auto" w:sz="8"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属性</w:t>
            </w:r>
          </w:p>
        </w:tc>
        <w:tc>
          <w:tcPr>
            <w:tcW w:w="1465" w:type="dxa"/>
            <w:tcBorders>
              <w:top w:val="single" w:color="auto" w:sz="12" w:space="0"/>
              <w:left w:val="dotted" w:color="auto" w:sz="4"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声压级</w:t>
            </w:r>
            <w:r>
              <w:rPr>
                <w:sz w:val="21"/>
              </w:rPr>
              <w:t>dB(A)</w:t>
            </w:r>
          </w:p>
        </w:tc>
        <w:tc>
          <w:tcPr>
            <w:tcW w:w="2658" w:type="dxa"/>
            <w:tcBorders>
              <w:top w:val="single" w:color="auto" w:sz="12"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治理措施</w:t>
            </w:r>
          </w:p>
        </w:tc>
        <w:tc>
          <w:tcPr>
            <w:tcW w:w="665" w:type="dxa"/>
            <w:tcBorders>
              <w:top w:val="single" w:color="auto" w:sz="12" w:space="0"/>
              <w:left w:val="dotted" w:color="auto" w:sz="8" w:space="0"/>
              <w:bottom w:val="single" w:color="auto" w:sz="12" w:space="0"/>
              <w:right w:val="nil"/>
            </w:tcBorders>
            <w:vAlign w:val="center"/>
          </w:tcPr>
          <w:p>
            <w:pPr>
              <w:spacing w:line="240" w:lineRule="atLeast"/>
              <w:ind w:firstLine="0" w:firstLineChars="0"/>
              <w:jc w:val="center"/>
              <w:rPr>
                <w:sz w:val="21"/>
              </w:rPr>
            </w:pPr>
            <w:r>
              <w:rPr>
                <w:rFonts w:hint="eastAsia"/>
                <w:sz w:val="21"/>
              </w:rPr>
              <w:t>排放规律</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物化车间</w:t>
            </w: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螺旋搅拌机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低噪声设备，室内</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计量泵</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中和液输送泵</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板框压滤机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低噪声设备，室内</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其他泵类</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焚烧车间</w:t>
            </w: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液压抓斗</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低噪声设备，室内</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引风机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燃烧器助燃风机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固体助燃风机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冷却风机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热水循环泵</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补水泵</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增压管道泵</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除氧水泵</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锅炉给水泵</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蒸汽往复泵</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固化车间</w:t>
            </w:r>
          </w:p>
        </w:tc>
        <w:tc>
          <w:tcPr>
            <w:tcW w:w="2264" w:type="dxa"/>
            <w:tcBorders>
              <w:top w:val="dotted" w:color="auto" w:sz="8" w:space="0"/>
              <w:left w:val="dotted" w:color="auto" w:sz="8" w:space="0"/>
              <w:bottom w:val="dotted" w:color="auto" w:sz="8" w:space="0"/>
              <w:right w:val="dotted" w:color="auto" w:sz="8" w:space="0"/>
            </w:tcBorders>
            <w:vAlign w:val="center"/>
          </w:tcPr>
          <w:p>
            <w:pPr>
              <w:pStyle w:val="157"/>
              <w:spacing w:line="240" w:lineRule="atLeast"/>
              <w:jc w:val="center"/>
              <w:rPr>
                <w:rFonts w:ascii="Times New Roman"/>
                <w:color w:val="auto"/>
                <w:kern w:val="2"/>
                <w:sz w:val="21"/>
                <w:szCs w:val="21"/>
              </w:rPr>
            </w:pPr>
            <w:r>
              <w:rPr>
                <w:rFonts w:hint="eastAsia" w:ascii="Times New Roman"/>
                <w:color w:val="auto"/>
                <w:kern w:val="2"/>
                <w:sz w:val="21"/>
                <w:szCs w:val="21"/>
              </w:rPr>
              <w:t>破碎机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pStyle w:val="157"/>
              <w:spacing w:line="240" w:lineRule="atLeast"/>
              <w:jc w:val="center"/>
              <w:rPr>
                <w:rFonts w:ascii="Times New Roman"/>
                <w:color w:val="auto"/>
                <w:kern w:val="2"/>
                <w:sz w:val="21"/>
                <w:szCs w:val="21"/>
              </w:rPr>
            </w:pPr>
            <w:r>
              <w:rPr>
                <w:rFonts w:hint="eastAsia" w:ascii="Times New Roman"/>
                <w:color w:val="auto"/>
                <w:kern w:val="2"/>
                <w:sz w:val="21"/>
                <w:szCs w:val="21"/>
              </w:rPr>
              <w:t>电动桥式双梁起重机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送料翻桶机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低噪声设备，隔音、减震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单斗提升机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低噪声设备，隔音、减震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搅拌机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低噪声设备，隔音、减震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螺旋输送机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低噪声设备，隔音、减震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rFonts w:hint="eastAsia"/>
                <w:sz w:val="21"/>
              </w:rPr>
              <w:t>计量泵</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填埋场</w:t>
            </w:r>
          </w:p>
        </w:tc>
        <w:tc>
          <w:tcPr>
            <w:tcW w:w="226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推土机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间断</w:t>
            </w:r>
          </w:p>
        </w:tc>
        <w:tc>
          <w:tcPr>
            <w:tcW w:w="1465"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75~85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电机加罩</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压实机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间断</w:t>
            </w:r>
          </w:p>
        </w:tc>
        <w:tc>
          <w:tcPr>
            <w:tcW w:w="1465"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75~85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电机加罩</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吊车</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间断</w:t>
            </w:r>
          </w:p>
        </w:tc>
        <w:tc>
          <w:tcPr>
            <w:tcW w:w="1465" w:type="dxa"/>
            <w:tcBorders>
              <w:top w:val="dotted" w:color="auto" w:sz="8" w:space="0"/>
              <w:left w:val="dotted" w:color="auto" w:sz="4" w:space="0"/>
              <w:bottom w:val="dotted" w:color="auto" w:sz="8" w:space="0"/>
              <w:right w:val="dotted" w:color="auto" w:sz="8" w:space="0"/>
            </w:tcBorders>
            <w:vAlign w:val="center"/>
          </w:tcPr>
          <w:p>
            <w:pPr>
              <w:spacing w:line="240" w:lineRule="atLeast"/>
              <w:ind w:firstLine="0" w:firstLineChars="0"/>
              <w:jc w:val="center"/>
              <w:rPr>
                <w:sz w:val="21"/>
              </w:rPr>
            </w:pPr>
            <w:r>
              <w:rPr>
                <w:sz w:val="21"/>
              </w:rPr>
              <w:t>75~85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电机加罩</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泵类</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restart"/>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污水处理站</w:t>
            </w:r>
          </w:p>
        </w:tc>
        <w:tc>
          <w:tcPr>
            <w:tcW w:w="226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泵类</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dotted" w:color="auto" w:sz="8"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风机</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hAnsi="宋体"/>
                <w:sz w:val="21"/>
              </w:rPr>
              <w:t>罐区</w:t>
            </w:r>
          </w:p>
        </w:tc>
        <w:tc>
          <w:tcPr>
            <w:tcW w:w="226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泵类</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间断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restart"/>
            <w:tcBorders>
              <w:top w:val="dotted" w:color="auto" w:sz="8" w:space="0"/>
              <w:left w:val="nil"/>
              <w:bottom w:val="single" w:color="auto" w:sz="12" w:space="0"/>
              <w:right w:val="dotted" w:color="auto" w:sz="8" w:space="0"/>
            </w:tcBorders>
            <w:vAlign w:val="center"/>
          </w:tcPr>
          <w:p>
            <w:pPr>
              <w:spacing w:line="240" w:lineRule="atLeast"/>
              <w:ind w:firstLine="0" w:firstLineChars="0"/>
              <w:jc w:val="center"/>
              <w:rPr>
                <w:sz w:val="21"/>
              </w:rPr>
            </w:pPr>
            <w:r>
              <w:rPr>
                <w:rFonts w:hint="eastAsia" w:hAnsi="宋体"/>
                <w:sz w:val="21"/>
              </w:rPr>
              <w:t>循环水装置</w:t>
            </w:r>
          </w:p>
        </w:tc>
        <w:tc>
          <w:tcPr>
            <w:tcW w:w="2264"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泵类</w:t>
            </w:r>
          </w:p>
        </w:tc>
        <w:tc>
          <w:tcPr>
            <w:tcW w:w="611" w:type="dxa"/>
            <w:tcBorders>
              <w:top w:val="dotted" w:color="auto" w:sz="8" w:space="0"/>
              <w:left w:val="dotted" w:color="auto" w:sz="8" w:space="0"/>
              <w:bottom w:val="dotted" w:color="auto" w:sz="8"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dotted" w:color="auto" w:sz="8" w:space="0"/>
              <w:right w:val="dotted" w:color="auto" w:sz="8" w:space="0"/>
            </w:tcBorders>
            <w:vAlign w:val="center"/>
          </w:tcPr>
          <w:p>
            <w:pPr>
              <w:adjustRightInd w:val="0"/>
              <w:snapToGrid w:val="0"/>
              <w:spacing w:line="240" w:lineRule="atLeast"/>
              <w:ind w:firstLine="0" w:firstLineChars="0"/>
              <w:jc w:val="center"/>
              <w:rPr>
                <w:sz w:val="21"/>
              </w:rPr>
            </w:pPr>
            <w:r>
              <w:rPr>
                <w:sz w:val="21"/>
              </w:rPr>
              <w:t>80~85</w:t>
            </w:r>
          </w:p>
        </w:tc>
        <w:tc>
          <w:tcPr>
            <w:tcW w:w="2658"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低噪声设备，减震</w:t>
            </w:r>
          </w:p>
        </w:tc>
        <w:tc>
          <w:tcPr>
            <w:tcW w:w="665"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连续</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0" w:type="dxa"/>
            <w:bottom w:w="0" w:type="dxa"/>
            <w:right w:w="0" w:type="dxa"/>
          </w:tblCellMar>
        </w:tblPrEx>
        <w:trPr>
          <w:cantSplit/>
          <w:trHeight w:val="227" w:hRule="atLeast"/>
          <w:jc w:val="center"/>
        </w:trPr>
        <w:tc>
          <w:tcPr>
            <w:tcW w:w="1975" w:type="dxa"/>
            <w:vMerge w:val="continue"/>
            <w:tcBorders>
              <w:top w:val="dotted" w:color="auto" w:sz="8" w:space="0"/>
              <w:left w:val="nil"/>
              <w:bottom w:val="single" w:color="auto" w:sz="12" w:space="0"/>
              <w:right w:val="dotted" w:color="auto" w:sz="8" w:space="0"/>
            </w:tcBorders>
            <w:vAlign w:val="center"/>
          </w:tcPr>
          <w:p>
            <w:pPr>
              <w:widowControl/>
              <w:spacing w:line="240" w:lineRule="atLeast"/>
              <w:ind w:firstLine="0" w:firstLineChars="0"/>
              <w:jc w:val="left"/>
              <w:rPr>
                <w:sz w:val="21"/>
              </w:rPr>
            </w:pPr>
          </w:p>
        </w:tc>
        <w:tc>
          <w:tcPr>
            <w:tcW w:w="2264"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风机</w:t>
            </w:r>
          </w:p>
        </w:tc>
        <w:tc>
          <w:tcPr>
            <w:tcW w:w="611" w:type="dxa"/>
            <w:tcBorders>
              <w:top w:val="dotted" w:color="auto" w:sz="8" w:space="0"/>
              <w:left w:val="dotted" w:color="auto" w:sz="8"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连续</w:t>
            </w:r>
          </w:p>
        </w:tc>
        <w:tc>
          <w:tcPr>
            <w:tcW w:w="1465" w:type="dxa"/>
            <w:tcBorders>
              <w:top w:val="dotted" w:color="auto" w:sz="8" w:space="0"/>
              <w:left w:val="dotted" w:color="auto" w:sz="4" w:space="0"/>
              <w:bottom w:val="single" w:color="auto" w:sz="12" w:space="0"/>
              <w:right w:val="dotted" w:color="auto" w:sz="8" w:space="0"/>
            </w:tcBorders>
            <w:vAlign w:val="center"/>
          </w:tcPr>
          <w:p>
            <w:pPr>
              <w:adjustRightInd w:val="0"/>
              <w:snapToGrid w:val="0"/>
              <w:spacing w:line="240" w:lineRule="atLeast"/>
              <w:ind w:firstLine="0" w:firstLineChars="0"/>
              <w:jc w:val="center"/>
              <w:rPr>
                <w:sz w:val="21"/>
              </w:rPr>
            </w:pPr>
            <w:r>
              <w:rPr>
                <w:sz w:val="21"/>
              </w:rPr>
              <w:t>85~90</w:t>
            </w:r>
          </w:p>
        </w:tc>
        <w:tc>
          <w:tcPr>
            <w:tcW w:w="2658" w:type="dxa"/>
            <w:tcBorders>
              <w:top w:val="dotted" w:color="auto" w:sz="8"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隔音罩与消音器</w:t>
            </w:r>
          </w:p>
        </w:tc>
        <w:tc>
          <w:tcPr>
            <w:tcW w:w="665" w:type="dxa"/>
            <w:tcBorders>
              <w:top w:val="dotted" w:color="auto" w:sz="8" w:space="0"/>
              <w:left w:val="dotted" w:color="auto" w:sz="8" w:space="0"/>
              <w:bottom w:val="single" w:color="auto" w:sz="12" w:space="0"/>
              <w:right w:val="nil"/>
            </w:tcBorders>
            <w:vAlign w:val="center"/>
          </w:tcPr>
          <w:p>
            <w:pPr>
              <w:spacing w:line="240" w:lineRule="atLeast"/>
              <w:ind w:firstLine="0" w:firstLineChars="0"/>
              <w:jc w:val="center"/>
              <w:rPr>
                <w:sz w:val="21"/>
              </w:rPr>
            </w:pPr>
            <w:r>
              <w:rPr>
                <w:rFonts w:hint="eastAsia"/>
                <w:sz w:val="21"/>
              </w:rPr>
              <w:t>连续</w:t>
            </w:r>
          </w:p>
        </w:tc>
      </w:tr>
    </w:tbl>
    <w:p>
      <w:pPr>
        <w:pStyle w:val="161"/>
        <w:ind w:firstLine="480"/>
      </w:pPr>
    </w:p>
    <w:bookmarkEnd w:id="423"/>
    <w:p>
      <w:pPr>
        <w:pStyle w:val="5"/>
        <w:rPr>
          <w:rFonts w:hAnsi="宋体"/>
          <w:sz w:val="24"/>
        </w:rPr>
      </w:pPr>
      <w:bookmarkStart w:id="424" w:name="_Toc13760222"/>
      <w:bookmarkStart w:id="425" w:name="_Toc354065852"/>
      <w:bookmarkStart w:id="426" w:name="_Toc532546104"/>
      <w:r>
        <w:t>6.</w:t>
      </w:r>
      <w:r>
        <w:rPr>
          <w:rFonts w:hint="eastAsia"/>
        </w:rPr>
        <w:t>4.1预测模式</w:t>
      </w:r>
      <w:bookmarkEnd w:id="424"/>
      <w:bookmarkEnd w:id="425"/>
      <w:bookmarkEnd w:id="426"/>
    </w:p>
    <w:p>
      <w:pPr>
        <w:ind w:firstLine="480"/>
        <w:rPr>
          <w:kern w:val="0"/>
        </w:rPr>
      </w:pPr>
      <w:r>
        <w:rPr>
          <w:kern w:val="0"/>
        </w:rPr>
        <w:t>(1)</w:t>
      </w:r>
      <w:r>
        <w:rPr>
          <w:rFonts w:hint="eastAsia"/>
          <w:kern w:val="0"/>
        </w:rPr>
        <w:t>预测模式</w:t>
      </w:r>
    </w:p>
    <w:p>
      <w:pPr>
        <w:ind w:firstLine="480"/>
        <w:rPr>
          <w:kern w:val="0"/>
        </w:rPr>
      </w:pPr>
      <w:r>
        <w:rPr>
          <w:rFonts w:hint="eastAsia"/>
          <w:kern w:val="0"/>
        </w:rPr>
        <w:t>采用《环境影响评价技术导则</w:t>
      </w:r>
      <w:r>
        <w:rPr>
          <w:kern w:val="0"/>
        </w:rPr>
        <w:t>—</w:t>
      </w:r>
      <w:r>
        <w:rPr>
          <w:rFonts w:hint="eastAsia"/>
          <w:kern w:val="0"/>
        </w:rPr>
        <w:t>声环境》</w:t>
      </w:r>
      <w:r>
        <w:rPr>
          <w:kern w:val="0"/>
        </w:rPr>
        <w:t>(HJ/T2.4-2009)</w:t>
      </w:r>
      <w:r>
        <w:rPr>
          <w:rFonts w:hint="eastAsia"/>
          <w:kern w:val="0"/>
        </w:rPr>
        <w:t>中工业噪声预测模式。</w:t>
      </w:r>
    </w:p>
    <w:p>
      <w:pPr>
        <w:pStyle w:val="161"/>
        <w:ind w:firstLine="480"/>
        <w:outlineLvl w:val="0"/>
        <w:rPr>
          <w:kern w:val="0"/>
        </w:rPr>
      </w:pPr>
      <w:bookmarkStart w:id="427" w:name="_Toc82611025"/>
      <w:bookmarkStart w:id="428" w:name="_Toc82483142"/>
      <w:bookmarkStart w:id="429" w:name="_Toc13582193"/>
      <w:bookmarkStart w:id="430" w:name="_Toc13760223"/>
      <w:r>
        <w:rPr>
          <w:rFonts w:hint="eastAsia"/>
          <w:kern w:val="0"/>
        </w:rPr>
        <w:t>①</w:t>
      </w:r>
      <w:bookmarkEnd w:id="427"/>
      <w:bookmarkEnd w:id="428"/>
      <w:r>
        <w:rPr>
          <w:rFonts w:hint="eastAsia"/>
          <w:kern w:val="0"/>
        </w:rPr>
        <w:t>单个室外点声源在预测点产生的声级计算基本公式</w:t>
      </w:r>
      <w:bookmarkEnd w:id="429"/>
      <w:bookmarkEnd w:id="430"/>
    </w:p>
    <w:p>
      <w:pPr>
        <w:ind w:firstLine="480"/>
        <w:rPr>
          <w:kern w:val="0"/>
        </w:rPr>
      </w:pPr>
      <w:r>
        <w:rPr>
          <w:rFonts w:hint="eastAsia"/>
          <w:kern w:val="0"/>
        </w:rPr>
        <w:t>如已知声源的倍频带声功率级，预测点位置的倍频带声压级</w:t>
      </w:r>
      <w:r>
        <w:rPr>
          <w:kern w:val="0"/>
        </w:rPr>
        <w:t>Lp(r)</w:t>
      </w:r>
      <w:r>
        <w:rPr>
          <w:rFonts w:hint="eastAsia"/>
          <w:kern w:val="0"/>
        </w:rPr>
        <w:t>可按公式</w:t>
      </w:r>
      <w:r>
        <w:rPr>
          <w:kern w:val="0"/>
        </w:rPr>
        <w:t>(1)</w:t>
      </w:r>
      <w:r>
        <w:rPr>
          <w:rFonts w:hint="eastAsia"/>
          <w:kern w:val="0"/>
        </w:rPr>
        <w:t>计算：</w:t>
      </w:r>
    </w:p>
    <w:p>
      <w:pPr>
        <w:ind w:firstLine="480"/>
        <w:rPr>
          <w:kern w:val="0"/>
        </w:rPr>
      </w:pPr>
      <w:r>
        <w:rPr>
          <w:kern w:val="0"/>
        </w:rPr>
        <w:drawing>
          <wp:inline distT="0" distB="0" distL="0" distR="0">
            <wp:extent cx="1289685" cy="238760"/>
            <wp:effectExtent l="0" t="0" r="0" b="0"/>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noChangeArrowheads="1"/>
                    </pic:cNvPicPr>
                  </pic:nvPicPr>
                  <pic:blipFill>
                    <a:blip r:embed="rId48" cstate="print"/>
                    <a:srcRect/>
                    <a:stretch>
                      <a:fillRect/>
                    </a:stretch>
                  </pic:blipFill>
                  <pic:spPr>
                    <a:xfrm>
                      <a:off x="0" y="0"/>
                      <a:ext cx="1289685" cy="238760"/>
                    </a:xfrm>
                    <a:prstGeom prst="rect">
                      <a:avLst/>
                    </a:prstGeom>
                    <a:noFill/>
                    <a:ln w="9525">
                      <a:noFill/>
                      <a:miter lim="800000"/>
                      <a:headEnd/>
                      <a:tailEnd/>
                    </a:ln>
                  </pic:spPr>
                </pic:pic>
              </a:graphicData>
            </a:graphic>
          </wp:inline>
        </w:drawing>
      </w:r>
      <w:r>
        <w:rPr>
          <w:kern w:val="0"/>
        </w:rPr>
        <w:t xml:space="preserve">              (1)</w:t>
      </w:r>
    </w:p>
    <w:p>
      <w:pPr>
        <w:ind w:firstLine="480"/>
        <w:rPr>
          <w:kern w:val="0"/>
        </w:rPr>
      </w:pPr>
      <w:r>
        <w:rPr>
          <w:kern w:val="0"/>
        </w:rPr>
        <w:drawing>
          <wp:inline distT="0" distB="0" distL="0" distR="0">
            <wp:extent cx="2101850" cy="245745"/>
            <wp:effectExtent l="0" t="0" r="0" b="0"/>
            <wp:docPr id="1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4"/>
                    <pic:cNvPicPr>
                      <a:picLocks noChangeAspect="1" noChangeArrowheads="1"/>
                    </pic:cNvPicPr>
                  </pic:nvPicPr>
                  <pic:blipFill>
                    <a:blip r:embed="rId49" cstate="print"/>
                    <a:srcRect/>
                    <a:stretch>
                      <a:fillRect/>
                    </a:stretch>
                  </pic:blipFill>
                  <pic:spPr>
                    <a:xfrm>
                      <a:off x="0" y="0"/>
                      <a:ext cx="2101850" cy="245745"/>
                    </a:xfrm>
                    <a:prstGeom prst="rect">
                      <a:avLst/>
                    </a:prstGeom>
                    <a:noFill/>
                    <a:ln w="9525">
                      <a:noFill/>
                      <a:miter lim="800000"/>
                      <a:headEnd/>
                      <a:tailEnd/>
                    </a:ln>
                  </pic:spPr>
                </pic:pic>
              </a:graphicData>
            </a:graphic>
          </wp:inline>
        </w:drawing>
      </w:r>
    </w:p>
    <w:p>
      <w:pPr>
        <w:ind w:firstLine="480"/>
        <w:rPr>
          <w:kern w:val="0"/>
        </w:rPr>
      </w:pPr>
      <w:r>
        <w:rPr>
          <w:rFonts w:hint="eastAsia"/>
          <w:kern w:val="0"/>
        </w:rPr>
        <w:t>式中：</w:t>
      </w:r>
    </w:p>
    <w:p>
      <w:pPr>
        <w:ind w:firstLine="480"/>
        <w:rPr>
          <w:kern w:val="0"/>
        </w:rPr>
      </w:pPr>
      <w:r>
        <w:rPr>
          <w:kern w:val="0"/>
        </w:rPr>
        <w:t>Lw—</w:t>
      </w:r>
      <w:r>
        <w:rPr>
          <w:rFonts w:hint="eastAsia"/>
          <w:kern w:val="0"/>
        </w:rPr>
        <w:t>倍频带声功率级，</w:t>
      </w:r>
      <w:r>
        <w:rPr>
          <w:kern w:val="0"/>
        </w:rPr>
        <w:t>dB</w:t>
      </w:r>
      <w:r>
        <w:rPr>
          <w:rFonts w:hint="eastAsia"/>
          <w:kern w:val="0"/>
        </w:rPr>
        <w:t>；</w:t>
      </w:r>
    </w:p>
    <w:p>
      <w:pPr>
        <w:ind w:firstLine="480"/>
        <w:rPr>
          <w:kern w:val="0"/>
        </w:rPr>
      </w:pPr>
      <w:r>
        <w:rPr>
          <w:kern w:val="0"/>
        </w:rPr>
        <w:t>Dc—</w:t>
      </w:r>
      <w:r>
        <w:rPr>
          <w:rFonts w:hint="eastAsia"/>
          <w:kern w:val="0"/>
        </w:rPr>
        <w:t>指向性校正，</w:t>
      </w:r>
      <w:r>
        <w:rPr>
          <w:kern w:val="0"/>
        </w:rPr>
        <w:t>dB</w:t>
      </w:r>
      <w:r>
        <w:rPr>
          <w:rFonts w:hint="eastAsia"/>
          <w:kern w:val="0"/>
        </w:rPr>
        <w:t>，对辐射到自由空间的全向点声源，为</w:t>
      </w:r>
      <w:r>
        <w:rPr>
          <w:kern w:val="0"/>
        </w:rPr>
        <w:t>0</w:t>
      </w:r>
      <w:r>
        <w:rPr>
          <w:rFonts w:hint="eastAsia"/>
          <w:kern w:val="0"/>
        </w:rPr>
        <w:t>；</w:t>
      </w:r>
    </w:p>
    <w:p>
      <w:pPr>
        <w:ind w:firstLine="480"/>
        <w:rPr>
          <w:kern w:val="0"/>
        </w:rPr>
      </w:pPr>
      <w:r>
        <w:rPr>
          <w:rFonts w:hint="eastAsia"/>
          <w:kern w:val="0"/>
        </w:rPr>
        <w:t>倍频带衰减，</w:t>
      </w:r>
      <w:r>
        <w:rPr>
          <w:kern w:val="0"/>
        </w:rPr>
        <w:t>dB</w:t>
      </w:r>
      <w:r>
        <w:rPr>
          <w:rFonts w:hint="eastAsia"/>
          <w:kern w:val="0"/>
        </w:rPr>
        <w:t>；</w:t>
      </w:r>
    </w:p>
    <w:p>
      <w:pPr>
        <w:ind w:firstLine="480"/>
        <w:rPr>
          <w:kern w:val="0"/>
        </w:rPr>
      </w:pPr>
      <w:r>
        <w:rPr>
          <w:kern w:val="0"/>
        </w:rPr>
        <w:t>Adiv—</w:t>
      </w:r>
      <w:r>
        <w:rPr>
          <w:rFonts w:hint="eastAsia"/>
          <w:kern w:val="0"/>
        </w:rPr>
        <w:t>几何发散引起的倍频带衰减，</w:t>
      </w:r>
      <w:r>
        <w:rPr>
          <w:kern w:val="0"/>
        </w:rPr>
        <w:t>dB</w:t>
      </w:r>
      <w:r>
        <w:rPr>
          <w:rFonts w:hint="eastAsia"/>
          <w:kern w:val="0"/>
        </w:rPr>
        <w:t>；</w:t>
      </w:r>
    </w:p>
    <w:p>
      <w:pPr>
        <w:ind w:firstLine="480"/>
        <w:rPr>
          <w:kern w:val="0"/>
        </w:rPr>
      </w:pPr>
      <w:r>
        <w:rPr>
          <w:kern w:val="0"/>
        </w:rPr>
        <w:t>Aatm—</w:t>
      </w:r>
      <w:r>
        <w:rPr>
          <w:rFonts w:hint="eastAsia"/>
          <w:kern w:val="0"/>
        </w:rPr>
        <w:t>大气吸收引起的倍频带衰减，</w:t>
      </w:r>
      <w:r>
        <w:rPr>
          <w:kern w:val="0"/>
        </w:rPr>
        <w:t>dB</w:t>
      </w:r>
      <w:r>
        <w:rPr>
          <w:rFonts w:hint="eastAsia"/>
          <w:kern w:val="0"/>
        </w:rPr>
        <w:t>；</w:t>
      </w:r>
    </w:p>
    <w:p>
      <w:pPr>
        <w:ind w:firstLine="480"/>
        <w:rPr>
          <w:kern w:val="0"/>
        </w:rPr>
      </w:pPr>
      <w:r>
        <w:rPr>
          <w:kern w:val="0"/>
        </w:rPr>
        <w:t>Agr—</w:t>
      </w:r>
      <w:r>
        <w:rPr>
          <w:rFonts w:hint="eastAsia"/>
          <w:kern w:val="0"/>
        </w:rPr>
        <w:t>地面效应吸收引起的倍频带衰减，</w:t>
      </w:r>
      <w:r>
        <w:rPr>
          <w:kern w:val="0"/>
        </w:rPr>
        <w:t>dB</w:t>
      </w:r>
      <w:r>
        <w:rPr>
          <w:rFonts w:hint="eastAsia"/>
          <w:kern w:val="0"/>
        </w:rPr>
        <w:t>；</w:t>
      </w:r>
    </w:p>
    <w:p>
      <w:pPr>
        <w:ind w:firstLine="480"/>
        <w:rPr>
          <w:kern w:val="0"/>
        </w:rPr>
      </w:pPr>
      <w:r>
        <w:rPr>
          <w:kern w:val="0"/>
        </w:rPr>
        <w:t>Abar—</w:t>
      </w:r>
      <w:r>
        <w:rPr>
          <w:rFonts w:hint="eastAsia"/>
          <w:kern w:val="0"/>
        </w:rPr>
        <w:t>声屏障引起的倍频带衰减，</w:t>
      </w:r>
      <w:r>
        <w:rPr>
          <w:kern w:val="0"/>
        </w:rPr>
        <w:t>dB</w:t>
      </w:r>
      <w:r>
        <w:rPr>
          <w:rFonts w:hint="eastAsia"/>
          <w:kern w:val="0"/>
        </w:rPr>
        <w:t>；</w:t>
      </w:r>
    </w:p>
    <w:p>
      <w:pPr>
        <w:ind w:firstLine="480"/>
        <w:rPr>
          <w:kern w:val="0"/>
        </w:rPr>
      </w:pPr>
      <w:r>
        <w:rPr>
          <w:kern w:val="0"/>
        </w:rPr>
        <w:t>Amisc—</w:t>
      </w:r>
      <w:r>
        <w:rPr>
          <w:rFonts w:hint="eastAsia"/>
          <w:kern w:val="0"/>
        </w:rPr>
        <w:t>其他多方面效应引起的倍频带衰减，</w:t>
      </w:r>
      <w:r>
        <w:rPr>
          <w:kern w:val="0"/>
        </w:rPr>
        <w:t>dB</w:t>
      </w:r>
      <w:r>
        <w:rPr>
          <w:rFonts w:hint="eastAsia"/>
          <w:kern w:val="0"/>
        </w:rPr>
        <w:t>。</w:t>
      </w:r>
    </w:p>
    <w:p>
      <w:pPr>
        <w:ind w:firstLine="480"/>
        <w:rPr>
          <w:kern w:val="0"/>
        </w:rPr>
      </w:pPr>
      <w:r>
        <w:rPr>
          <w:rFonts w:hint="eastAsia"/>
          <w:kern w:val="0"/>
        </w:rPr>
        <w:t>如已知靠近声源处某点的倍频带声压级</w:t>
      </w:r>
      <w:r>
        <w:rPr>
          <w:kern w:val="0"/>
        </w:rPr>
        <w:t>Lp(r</w:t>
      </w:r>
      <w:r>
        <w:rPr>
          <w:kern w:val="0"/>
          <w:vertAlign w:val="subscript"/>
        </w:rPr>
        <w:t>0</w:t>
      </w:r>
      <w:r>
        <w:rPr>
          <w:kern w:val="0"/>
        </w:rPr>
        <w:t>)</w:t>
      </w:r>
      <w:r>
        <w:rPr>
          <w:rFonts w:hint="eastAsia"/>
          <w:kern w:val="0"/>
        </w:rPr>
        <w:t>时，相同方向预测点位置的倍频带声压级</w:t>
      </w:r>
      <w:r>
        <w:rPr>
          <w:kern w:val="0"/>
        </w:rPr>
        <w:t>Lp(r)</w:t>
      </w:r>
      <w:r>
        <w:rPr>
          <w:rFonts w:hint="eastAsia"/>
          <w:kern w:val="0"/>
        </w:rPr>
        <w:t>可按公式</w:t>
      </w:r>
      <w:r>
        <w:rPr>
          <w:kern w:val="0"/>
        </w:rPr>
        <w:t>(2)</w:t>
      </w:r>
      <w:r>
        <w:rPr>
          <w:rFonts w:hint="eastAsia"/>
          <w:kern w:val="0"/>
        </w:rPr>
        <w:t>计算：</w:t>
      </w:r>
    </w:p>
    <w:p>
      <w:pPr>
        <w:ind w:firstLine="480"/>
        <w:rPr>
          <w:kern w:val="0"/>
        </w:rPr>
      </w:pPr>
      <w:r>
        <w:rPr>
          <w:kern w:val="0"/>
        </w:rPr>
        <w:drawing>
          <wp:inline distT="0" distB="0" distL="0" distR="0">
            <wp:extent cx="1187450" cy="238760"/>
            <wp:effectExtent l="19050" t="0" r="0" b="0"/>
            <wp:docPr id="1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7"/>
                    <pic:cNvPicPr>
                      <a:picLocks noChangeAspect="1" noChangeArrowheads="1"/>
                    </pic:cNvPicPr>
                  </pic:nvPicPr>
                  <pic:blipFill>
                    <a:blip r:embed="rId50" cstate="print"/>
                    <a:srcRect/>
                    <a:stretch>
                      <a:fillRect/>
                    </a:stretch>
                  </pic:blipFill>
                  <pic:spPr>
                    <a:xfrm>
                      <a:off x="0" y="0"/>
                      <a:ext cx="1187450" cy="238760"/>
                    </a:xfrm>
                    <a:prstGeom prst="rect">
                      <a:avLst/>
                    </a:prstGeom>
                    <a:noFill/>
                    <a:ln w="9525">
                      <a:noFill/>
                      <a:miter lim="800000"/>
                      <a:headEnd/>
                      <a:tailEnd/>
                    </a:ln>
                  </pic:spPr>
                </pic:pic>
              </a:graphicData>
            </a:graphic>
          </wp:inline>
        </w:drawing>
      </w:r>
      <w:r>
        <w:rPr>
          <w:kern w:val="0"/>
        </w:rPr>
        <w:t xml:space="preserve">         (2)</w:t>
      </w:r>
    </w:p>
    <w:p>
      <w:pPr>
        <w:ind w:firstLine="480"/>
        <w:rPr>
          <w:kern w:val="0"/>
        </w:rPr>
      </w:pPr>
      <w:r>
        <w:rPr>
          <w:rFonts w:hint="eastAsia"/>
          <w:kern w:val="0"/>
        </w:rPr>
        <w:t>预测点的</w:t>
      </w:r>
      <w:r>
        <w:rPr>
          <w:kern w:val="0"/>
        </w:rPr>
        <w:t>A</w:t>
      </w:r>
      <w:r>
        <w:rPr>
          <w:rFonts w:hint="eastAsia"/>
          <w:kern w:val="0"/>
        </w:rPr>
        <w:t>声级</w:t>
      </w:r>
      <w:r>
        <w:rPr>
          <w:kern w:val="0"/>
        </w:rPr>
        <w:t>L</w:t>
      </w:r>
      <w:r>
        <w:rPr>
          <w:kern w:val="0"/>
          <w:vertAlign w:val="subscript"/>
        </w:rPr>
        <w:t>A</w:t>
      </w:r>
      <w:r>
        <w:rPr>
          <w:kern w:val="0"/>
        </w:rPr>
        <w:t>(r)</w:t>
      </w:r>
      <w:r>
        <w:rPr>
          <w:rFonts w:hint="eastAsia"/>
          <w:kern w:val="0"/>
        </w:rPr>
        <w:t>，可利用</w:t>
      </w:r>
      <w:r>
        <w:rPr>
          <w:kern w:val="0"/>
        </w:rPr>
        <w:t>8</w:t>
      </w:r>
      <w:r>
        <w:rPr>
          <w:rFonts w:hint="eastAsia"/>
          <w:kern w:val="0"/>
        </w:rPr>
        <w:t>个倍频带的声压级公式</w:t>
      </w:r>
      <w:r>
        <w:rPr>
          <w:kern w:val="0"/>
        </w:rPr>
        <w:t>(3)</w:t>
      </w:r>
      <w:r>
        <w:rPr>
          <w:rFonts w:hint="eastAsia"/>
          <w:kern w:val="0"/>
        </w:rPr>
        <w:t>计算：</w:t>
      </w:r>
    </w:p>
    <w:p>
      <w:pPr>
        <w:ind w:firstLine="480"/>
        <w:rPr>
          <w:kern w:val="0"/>
        </w:rPr>
      </w:pPr>
      <w:r>
        <w:rPr>
          <w:kern w:val="0"/>
        </w:rPr>
        <w:drawing>
          <wp:inline distT="0" distB="0" distL="0" distR="0">
            <wp:extent cx="1835785" cy="429895"/>
            <wp:effectExtent l="19050" t="0" r="0" b="0"/>
            <wp:docPr id="1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8"/>
                    <pic:cNvPicPr>
                      <a:picLocks noChangeAspect="1" noChangeArrowheads="1"/>
                    </pic:cNvPicPr>
                  </pic:nvPicPr>
                  <pic:blipFill>
                    <a:blip r:embed="rId51" cstate="print"/>
                    <a:srcRect/>
                    <a:stretch>
                      <a:fillRect/>
                    </a:stretch>
                  </pic:blipFill>
                  <pic:spPr>
                    <a:xfrm>
                      <a:off x="0" y="0"/>
                      <a:ext cx="1835785" cy="429895"/>
                    </a:xfrm>
                    <a:prstGeom prst="rect">
                      <a:avLst/>
                    </a:prstGeom>
                    <a:noFill/>
                    <a:ln w="9525">
                      <a:noFill/>
                      <a:miter lim="800000"/>
                      <a:headEnd/>
                      <a:tailEnd/>
                    </a:ln>
                  </pic:spPr>
                </pic:pic>
              </a:graphicData>
            </a:graphic>
          </wp:inline>
        </w:drawing>
      </w:r>
    </w:p>
    <w:p>
      <w:pPr>
        <w:ind w:firstLine="480"/>
        <w:rPr>
          <w:kern w:val="0"/>
          <w:lang w:val="zh-CN"/>
        </w:rPr>
      </w:pPr>
      <w:r>
        <w:rPr>
          <w:rFonts w:hint="eastAsia"/>
          <w:kern w:val="0"/>
          <w:lang w:val="zh-CN"/>
        </w:rPr>
        <w:t>式中：</w:t>
      </w:r>
    </w:p>
    <w:p>
      <w:pPr>
        <w:ind w:firstLine="480"/>
        <w:rPr>
          <w:kern w:val="0"/>
          <w:lang w:val="zh-CN"/>
        </w:rPr>
      </w:pPr>
      <w:r>
        <w:rPr>
          <w:kern w:val="0"/>
          <w:lang w:val="zh-CN"/>
        </w:rPr>
        <w:t>L</w:t>
      </w:r>
      <w:r>
        <w:rPr>
          <w:kern w:val="0"/>
          <w:vertAlign w:val="subscript"/>
          <w:lang w:val="zh-CN"/>
        </w:rPr>
        <w:t>Pi</w:t>
      </w:r>
      <w:r>
        <w:rPr>
          <w:kern w:val="0"/>
          <w:lang w:val="zh-CN"/>
        </w:rPr>
        <w:t>(r)—</w:t>
      </w:r>
      <w:r>
        <w:rPr>
          <w:rFonts w:hint="eastAsia"/>
          <w:kern w:val="0"/>
          <w:lang w:val="zh-CN"/>
        </w:rPr>
        <w:t>预测点</w:t>
      </w:r>
      <w:r>
        <w:rPr>
          <w:kern w:val="0"/>
          <w:lang w:val="zh-CN"/>
        </w:rPr>
        <w:t>(r)</w:t>
      </w:r>
      <w:r>
        <w:rPr>
          <w:rFonts w:hint="eastAsia"/>
          <w:kern w:val="0"/>
          <w:lang w:val="zh-CN"/>
        </w:rPr>
        <w:t>处，第</w:t>
      </w:r>
      <w:r>
        <w:rPr>
          <w:kern w:val="0"/>
          <w:lang w:val="zh-CN"/>
        </w:rPr>
        <w:t>i</w:t>
      </w:r>
      <w:r>
        <w:rPr>
          <w:rFonts w:hint="eastAsia"/>
          <w:kern w:val="0"/>
          <w:lang w:val="zh-CN"/>
        </w:rPr>
        <w:t>倍频带声压级，</w:t>
      </w:r>
      <w:r>
        <w:rPr>
          <w:kern w:val="0"/>
          <w:lang w:val="zh-CN"/>
        </w:rPr>
        <w:t>dB</w:t>
      </w:r>
      <w:r>
        <w:rPr>
          <w:rFonts w:hint="eastAsia"/>
          <w:kern w:val="0"/>
          <w:lang w:val="zh-CN"/>
        </w:rPr>
        <w:t>；</w:t>
      </w:r>
    </w:p>
    <w:p>
      <w:pPr>
        <w:ind w:firstLine="480"/>
        <w:rPr>
          <w:kern w:val="0"/>
          <w:lang w:val="zh-CN"/>
        </w:rPr>
      </w:pPr>
      <w:r>
        <w:rPr>
          <w:kern w:val="0"/>
        </w:rPr>
        <w:drawing>
          <wp:inline distT="0" distB="0" distL="0" distR="0">
            <wp:extent cx="143510" cy="163830"/>
            <wp:effectExtent l="19050" t="0" r="0" b="0"/>
            <wp:docPr id="1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5"/>
                    <pic:cNvPicPr>
                      <a:picLocks noChangeAspect="1" noChangeArrowheads="1"/>
                    </pic:cNvPicPr>
                  </pic:nvPicPr>
                  <pic:blipFill>
                    <a:blip r:embed="rId52" cstate="print"/>
                    <a:srcRect/>
                    <a:stretch>
                      <a:fillRect/>
                    </a:stretch>
                  </pic:blipFill>
                  <pic:spPr>
                    <a:xfrm>
                      <a:off x="0" y="0"/>
                      <a:ext cx="143510" cy="163830"/>
                    </a:xfrm>
                    <a:prstGeom prst="rect">
                      <a:avLst/>
                    </a:prstGeom>
                    <a:noFill/>
                    <a:ln w="9525">
                      <a:noFill/>
                      <a:miter lim="800000"/>
                      <a:headEnd/>
                      <a:tailEnd/>
                    </a:ln>
                  </pic:spPr>
                </pic:pic>
              </a:graphicData>
            </a:graphic>
          </wp:inline>
        </w:drawing>
      </w:r>
      <w:r>
        <w:rPr>
          <w:kern w:val="0"/>
          <w:lang w:val="zh-CN"/>
        </w:rPr>
        <w:t>L</w:t>
      </w:r>
      <w:r>
        <w:rPr>
          <w:kern w:val="0"/>
          <w:vertAlign w:val="subscript"/>
          <w:lang w:val="zh-CN"/>
        </w:rPr>
        <w:t>i</w:t>
      </w:r>
      <w:r>
        <w:rPr>
          <w:kern w:val="0"/>
          <w:lang w:val="zh-CN"/>
        </w:rPr>
        <w:t>—</w:t>
      </w:r>
      <w:r>
        <w:rPr>
          <w:rFonts w:hint="eastAsia"/>
          <w:kern w:val="0"/>
          <w:lang w:val="zh-CN"/>
        </w:rPr>
        <w:t>第</w:t>
      </w:r>
      <w:r>
        <w:rPr>
          <w:kern w:val="0"/>
          <w:lang w:val="zh-CN"/>
        </w:rPr>
        <w:t>i</w:t>
      </w:r>
      <w:r>
        <w:rPr>
          <w:rFonts w:hint="eastAsia"/>
          <w:kern w:val="0"/>
          <w:lang w:val="zh-CN"/>
        </w:rPr>
        <w:t>倍频带的</w:t>
      </w:r>
      <w:r>
        <w:rPr>
          <w:kern w:val="0"/>
          <w:lang w:val="zh-CN"/>
        </w:rPr>
        <w:t>A</w:t>
      </w:r>
      <w:r>
        <w:rPr>
          <w:rFonts w:hint="eastAsia"/>
          <w:kern w:val="0"/>
          <w:lang w:val="zh-CN"/>
        </w:rPr>
        <w:t>计权网络修正值，</w:t>
      </w:r>
      <w:r>
        <w:rPr>
          <w:kern w:val="0"/>
          <w:lang w:val="zh-CN"/>
        </w:rPr>
        <w:t>dB</w:t>
      </w:r>
      <w:r>
        <w:rPr>
          <w:rFonts w:hint="eastAsia"/>
          <w:kern w:val="0"/>
          <w:lang w:val="zh-CN"/>
        </w:rPr>
        <w:t>。</w:t>
      </w:r>
    </w:p>
    <w:p>
      <w:pPr>
        <w:ind w:firstLine="480"/>
        <w:rPr>
          <w:kern w:val="0"/>
        </w:rPr>
      </w:pPr>
      <w:r>
        <w:rPr>
          <w:rFonts w:hint="eastAsia"/>
          <w:kern w:val="0"/>
        </w:rPr>
        <w:t>在不能取得声源倍频带声功率级或倍频带声压级，只能获得</w:t>
      </w:r>
      <w:r>
        <w:rPr>
          <w:kern w:val="0"/>
        </w:rPr>
        <w:t>A</w:t>
      </w:r>
      <w:r>
        <w:rPr>
          <w:rFonts w:hint="eastAsia"/>
          <w:kern w:val="0"/>
        </w:rPr>
        <w:t>声功率级或某点的</w:t>
      </w:r>
      <w:r>
        <w:rPr>
          <w:kern w:val="0"/>
        </w:rPr>
        <w:t>A</w:t>
      </w:r>
      <w:r>
        <w:rPr>
          <w:rFonts w:hint="eastAsia"/>
          <w:kern w:val="0"/>
        </w:rPr>
        <w:t>声级时，可按公式</w:t>
      </w:r>
      <w:r>
        <w:rPr>
          <w:kern w:val="0"/>
        </w:rPr>
        <w:t>(4)</w:t>
      </w:r>
      <w:r>
        <w:rPr>
          <w:rFonts w:hint="eastAsia"/>
          <w:kern w:val="0"/>
        </w:rPr>
        <w:t>做近似计算：</w:t>
      </w:r>
    </w:p>
    <w:p>
      <w:pPr>
        <w:ind w:firstLine="480"/>
        <w:rPr>
          <w:kern w:val="0"/>
        </w:rPr>
      </w:pPr>
      <w:r>
        <w:rPr>
          <w:kern w:val="0"/>
        </w:rPr>
        <w:drawing>
          <wp:inline distT="0" distB="0" distL="0" distR="0">
            <wp:extent cx="1371600" cy="225425"/>
            <wp:effectExtent l="19050" t="0" r="0" b="0"/>
            <wp:docPr id="20"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4"/>
                    <pic:cNvPicPr>
                      <a:picLocks noChangeAspect="1" noChangeArrowheads="1"/>
                    </pic:cNvPicPr>
                  </pic:nvPicPr>
                  <pic:blipFill>
                    <a:blip r:embed="rId53" cstate="print"/>
                    <a:srcRect/>
                    <a:stretch>
                      <a:fillRect/>
                    </a:stretch>
                  </pic:blipFill>
                  <pic:spPr>
                    <a:xfrm>
                      <a:off x="0" y="0"/>
                      <a:ext cx="1371600" cy="225425"/>
                    </a:xfrm>
                    <a:prstGeom prst="rect">
                      <a:avLst/>
                    </a:prstGeom>
                    <a:noFill/>
                    <a:ln w="9525">
                      <a:noFill/>
                      <a:miter lim="800000"/>
                      <a:headEnd/>
                      <a:tailEnd/>
                    </a:ln>
                  </pic:spPr>
                </pic:pic>
              </a:graphicData>
            </a:graphic>
          </wp:inline>
        </w:drawing>
      </w:r>
      <w:r>
        <w:rPr>
          <w:kern w:val="0"/>
        </w:rPr>
        <w:t xml:space="preserve">        (4)</w:t>
      </w:r>
    </w:p>
    <w:p>
      <w:pPr>
        <w:ind w:firstLine="480"/>
        <w:rPr>
          <w:kern w:val="0"/>
        </w:rPr>
      </w:pPr>
      <w:r>
        <w:rPr>
          <w:rFonts w:hint="eastAsia"/>
          <w:kern w:val="0"/>
        </w:rPr>
        <w:t>或</w:t>
      </w:r>
      <w:r>
        <w:rPr>
          <w:kern w:val="0"/>
        </w:rPr>
        <w:drawing>
          <wp:inline distT="0" distB="0" distL="0" distR="0">
            <wp:extent cx="1207770" cy="225425"/>
            <wp:effectExtent l="19050" t="0" r="0" b="0"/>
            <wp:docPr id="2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3"/>
                    <pic:cNvPicPr>
                      <a:picLocks noChangeAspect="1" noChangeArrowheads="1"/>
                    </pic:cNvPicPr>
                  </pic:nvPicPr>
                  <pic:blipFill>
                    <a:blip r:embed="rId54" cstate="print"/>
                    <a:srcRect/>
                    <a:stretch>
                      <a:fillRect/>
                    </a:stretch>
                  </pic:blipFill>
                  <pic:spPr>
                    <a:xfrm>
                      <a:off x="0" y="0"/>
                      <a:ext cx="1207770" cy="225425"/>
                    </a:xfrm>
                    <a:prstGeom prst="rect">
                      <a:avLst/>
                    </a:prstGeom>
                    <a:noFill/>
                    <a:ln w="9525">
                      <a:noFill/>
                      <a:miter lim="800000"/>
                      <a:headEnd/>
                      <a:tailEnd/>
                    </a:ln>
                  </pic:spPr>
                </pic:pic>
              </a:graphicData>
            </a:graphic>
          </wp:inline>
        </w:drawing>
      </w:r>
      <w:r>
        <w:rPr>
          <w:kern w:val="0"/>
        </w:rPr>
        <w:t xml:space="preserve">       (5)</w:t>
      </w:r>
    </w:p>
    <w:p>
      <w:pPr>
        <w:ind w:firstLine="480"/>
        <w:rPr>
          <w:kern w:val="0"/>
        </w:rPr>
      </w:pPr>
      <w:r>
        <w:rPr>
          <w:kern w:val="0"/>
        </w:rPr>
        <w:t>A</w:t>
      </w:r>
      <w:r>
        <w:rPr>
          <w:rFonts w:hint="eastAsia"/>
          <w:kern w:val="0"/>
        </w:rPr>
        <w:t>可选择对</w:t>
      </w:r>
      <w:r>
        <w:rPr>
          <w:kern w:val="0"/>
        </w:rPr>
        <w:t>A</w:t>
      </w:r>
      <w:r>
        <w:rPr>
          <w:rFonts w:hint="eastAsia"/>
          <w:kern w:val="0"/>
        </w:rPr>
        <w:t>声级影响最大的倍频带计算，一般可选中心频率为</w:t>
      </w:r>
      <w:r>
        <w:rPr>
          <w:kern w:val="0"/>
        </w:rPr>
        <w:t>500Hz</w:t>
      </w:r>
      <w:r>
        <w:rPr>
          <w:rFonts w:hint="eastAsia"/>
          <w:kern w:val="0"/>
        </w:rPr>
        <w:t>的倍频带估算。</w:t>
      </w:r>
    </w:p>
    <w:p>
      <w:pPr>
        <w:pStyle w:val="161"/>
        <w:ind w:firstLine="480"/>
        <w:outlineLvl w:val="0"/>
        <w:rPr>
          <w:kern w:val="0"/>
        </w:rPr>
      </w:pPr>
      <w:bookmarkStart w:id="431" w:name="_Toc13760224"/>
      <w:bookmarkStart w:id="432" w:name="_Toc13582194"/>
      <w:r>
        <w:rPr>
          <w:rFonts w:hint="eastAsia"/>
          <w:kern w:val="0"/>
        </w:rPr>
        <w:t>②室内声源等效室外声源声功率级计算方法</w:t>
      </w:r>
      <w:bookmarkEnd w:id="431"/>
      <w:bookmarkEnd w:id="432"/>
    </w:p>
    <w:p>
      <w:pPr>
        <w:ind w:firstLine="480"/>
        <w:rPr>
          <w:kern w:val="0"/>
          <w:lang w:val="zh-CN"/>
        </w:rPr>
      </w:pPr>
      <w:r>
        <w:rPr>
          <w:rFonts w:hint="eastAsia"/>
          <w:kern w:val="0"/>
          <w:lang w:val="zh-CN"/>
        </w:rPr>
        <w:t>设靠近开口处</w:t>
      </w:r>
      <w:r>
        <w:rPr>
          <w:kern w:val="0"/>
          <w:lang w:val="zh-CN"/>
        </w:rPr>
        <w:t>(</w:t>
      </w:r>
      <w:r>
        <w:rPr>
          <w:rFonts w:hint="eastAsia"/>
          <w:kern w:val="0"/>
          <w:lang w:val="zh-CN"/>
        </w:rPr>
        <w:t>或窗户</w:t>
      </w:r>
      <w:r>
        <w:rPr>
          <w:kern w:val="0"/>
          <w:lang w:val="zh-CN"/>
        </w:rPr>
        <w:t>)</w:t>
      </w:r>
      <w:r>
        <w:rPr>
          <w:rFonts w:hint="eastAsia"/>
          <w:kern w:val="0"/>
          <w:lang w:val="zh-CN"/>
        </w:rPr>
        <w:t>室内，室外某倍频带的声压级分别为</w:t>
      </w:r>
      <w:r>
        <w:rPr>
          <w:kern w:val="0"/>
          <w:lang w:val="zh-CN"/>
        </w:rPr>
        <w:t>LP1</w:t>
      </w:r>
      <w:r>
        <w:rPr>
          <w:rFonts w:hint="eastAsia"/>
          <w:kern w:val="0"/>
          <w:lang w:val="zh-CN"/>
        </w:rPr>
        <w:t>和</w:t>
      </w:r>
      <w:r>
        <w:rPr>
          <w:kern w:val="0"/>
          <w:lang w:val="zh-CN"/>
        </w:rPr>
        <w:t>LP2</w:t>
      </w:r>
      <w:r>
        <w:rPr>
          <w:rFonts w:hint="eastAsia"/>
          <w:kern w:val="0"/>
          <w:lang w:val="zh-CN"/>
        </w:rPr>
        <w:t>。若声源所在室内声场为近似扩散声场，则室外倍频声压级可按下公式近似求出：</w:t>
      </w:r>
    </w:p>
    <w:p>
      <w:pPr>
        <w:ind w:firstLine="480"/>
        <w:rPr>
          <w:kern w:val="0"/>
          <w:lang w:val="zh-CN"/>
        </w:rPr>
      </w:pPr>
      <w:r>
        <w:rPr>
          <w:kern w:val="0"/>
        </w:rPr>
        <w:drawing>
          <wp:inline distT="0" distB="0" distL="0" distR="0">
            <wp:extent cx="1249045" cy="238760"/>
            <wp:effectExtent l="0" t="0" r="8255" b="0"/>
            <wp:docPr id="2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8"/>
                    <pic:cNvPicPr>
                      <a:picLocks noChangeAspect="1" noChangeArrowheads="1"/>
                    </pic:cNvPicPr>
                  </pic:nvPicPr>
                  <pic:blipFill>
                    <a:blip r:embed="rId55" cstate="print"/>
                    <a:srcRect/>
                    <a:stretch>
                      <a:fillRect/>
                    </a:stretch>
                  </pic:blipFill>
                  <pic:spPr>
                    <a:xfrm>
                      <a:off x="0" y="0"/>
                      <a:ext cx="1249045" cy="238760"/>
                    </a:xfrm>
                    <a:prstGeom prst="rect">
                      <a:avLst/>
                    </a:prstGeom>
                    <a:noFill/>
                    <a:ln w="9525">
                      <a:noFill/>
                      <a:miter lim="800000"/>
                      <a:headEnd/>
                      <a:tailEnd/>
                    </a:ln>
                  </pic:spPr>
                </pic:pic>
              </a:graphicData>
            </a:graphic>
          </wp:inline>
        </w:drawing>
      </w:r>
      <w:r>
        <w:rPr>
          <w:kern w:val="0"/>
          <w:lang w:val="zh-CN"/>
        </w:rPr>
        <w:t xml:space="preserve">              (6)</w:t>
      </w:r>
    </w:p>
    <w:p>
      <w:pPr>
        <w:ind w:firstLine="480"/>
        <w:rPr>
          <w:kern w:val="0"/>
          <w:lang w:val="zh-CN"/>
        </w:rPr>
      </w:pPr>
      <w:r>
        <w:rPr>
          <w:rFonts w:hint="eastAsia"/>
          <w:kern w:val="0"/>
          <w:lang w:val="zh-CN"/>
        </w:rPr>
        <w:t>式中：</w:t>
      </w:r>
    </w:p>
    <w:p>
      <w:pPr>
        <w:ind w:firstLine="480"/>
        <w:rPr>
          <w:kern w:val="0"/>
        </w:rPr>
      </w:pPr>
      <w:r>
        <w:rPr>
          <w:kern w:val="0"/>
        </w:rPr>
        <w:t>TL—</w:t>
      </w:r>
      <w:r>
        <w:rPr>
          <w:rFonts w:hint="eastAsia"/>
          <w:kern w:val="0"/>
        </w:rPr>
        <w:t>隔墙或窗户倍频带的隔声量，</w:t>
      </w:r>
      <w:r>
        <w:rPr>
          <w:kern w:val="0"/>
        </w:rPr>
        <w:t>dB</w:t>
      </w:r>
      <w:r>
        <w:rPr>
          <w:rFonts w:hint="eastAsia"/>
          <w:kern w:val="0"/>
        </w:rPr>
        <w:t>。</w:t>
      </w:r>
    </w:p>
    <w:p>
      <w:pPr>
        <w:pStyle w:val="161"/>
        <w:ind w:firstLine="480"/>
        <w:outlineLvl w:val="0"/>
        <w:rPr>
          <w:kern w:val="0"/>
        </w:rPr>
      </w:pPr>
      <w:bookmarkStart w:id="433" w:name="_Toc13760225"/>
      <w:bookmarkStart w:id="434" w:name="_Toc13582195"/>
      <w:r>
        <w:rPr>
          <w:rFonts w:hint="eastAsia"/>
          <w:kern w:val="0"/>
        </w:rPr>
        <w:t>③有限长线声源</w:t>
      </w:r>
      <w:r>
        <w:rPr>
          <w:kern w:val="0"/>
        </w:rPr>
        <w:t>P15</w:t>
      </w:r>
      <w:bookmarkEnd w:id="433"/>
      <w:bookmarkEnd w:id="434"/>
    </w:p>
    <w:p>
      <w:pPr>
        <w:ind w:firstLine="480"/>
        <w:rPr>
          <w:kern w:val="0"/>
          <w:lang w:val="zh-CN"/>
        </w:rPr>
      </w:pPr>
      <w:r>
        <w:rPr>
          <w:kern w:val="0"/>
        </w:rPr>
        <w:drawing>
          <wp:inline distT="0" distB="0" distL="0" distR="0">
            <wp:extent cx="2142490" cy="389255"/>
            <wp:effectExtent l="19050" t="0" r="0" b="0"/>
            <wp:docPr id="2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9"/>
                    <pic:cNvPicPr>
                      <a:picLocks noChangeAspect="1" noChangeArrowheads="1"/>
                    </pic:cNvPicPr>
                  </pic:nvPicPr>
                  <pic:blipFill>
                    <a:blip r:embed="rId56" cstate="print"/>
                    <a:srcRect/>
                    <a:stretch>
                      <a:fillRect/>
                    </a:stretch>
                  </pic:blipFill>
                  <pic:spPr>
                    <a:xfrm>
                      <a:off x="0" y="0"/>
                      <a:ext cx="2142490" cy="389255"/>
                    </a:xfrm>
                    <a:prstGeom prst="rect">
                      <a:avLst/>
                    </a:prstGeom>
                    <a:noFill/>
                    <a:ln w="9525">
                      <a:noFill/>
                      <a:miter lim="800000"/>
                      <a:headEnd/>
                      <a:tailEnd/>
                    </a:ln>
                  </pic:spPr>
                </pic:pic>
              </a:graphicData>
            </a:graphic>
          </wp:inline>
        </w:drawing>
      </w:r>
    </w:p>
    <w:p>
      <w:pPr>
        <w:pStyle w:val="161"/>
        <w:ind w:firstLine="480"/>
        <w:outlineLvl w:val="0"/>
        <w:rPr>
          <w:kern w:val="0"/>
        </w:rPr>
      </w:pPr>
      <w:bookmarkStart w:id="435" w:name="_Toc13582196"/>
      <w:bookmarkStart w:id="436" w:name="_Toc13760226"/>
      <w:r>
        <w:rPr>
          <w:rFonts w:hint="eastAsia"/>
          <w:kern w:val="0"/>
        </w:rPr>
        <w:t>面声源的几何发散衰减</w:t>
      </w:r>
      <w:r>
        <w:rPr>
          <w:kern w:val="0"/>
        </w:rPr>
        <w:t>P16</w:t>
      </w:r>
      <w:bookmarkEnd w:id="435"/>
      <w:bookmarkEnd w:id="436"/>
    </w:p>
    <w:p>
      <w:pPr>
        <w:ind w:firstLine="480"/>
        <w:rPr>
          <w:rFonts w:hAnsi="宋体"/>
          <w:kern w:val="0"/>
        </w:rPr>
      </w:pPr>
      <w:r>
        <w:rPr>
          <w:rFonts w:hint="eastAsia"/>
          <w:kern w:val="0"/>
        </w:rPr>
        <w:t>新导则垂直声源如下图所示</w:t>
      </w:r>
      <w:r>
        <w:rPr>
          <w:kern w:val="0"/>
        </w:rPr>
        <w:t>(</w:t>
      </w:r>
      <w:r>
        <w:rPr>
          <w:rFonts w:hint="eastAsia"/>
          <w:kern w:val="0"/>
        </w:rPr>
        <w:t>要求</w:t>
      </w:r>
      <w:r>
        <w:rPr>
          <w:kern w:val="0"/>
        </w:rPr>
        <w:t>b&gt;a</w:t>
      </w:r>
      <w:r>
        <w:rPr>
          <w:rFonts w:hint="eastAsia"/>
          <w:kern w:val="0"/>
        </w:rPr>
        <w:t>，图中虚线为实际衰减量</w:t>
      </w:r>
      <w:r>
        <w:rPr>
          <w:kern w:val="0"/>
        </w:rPr>
        <w:t>)</w:t>
      </w:r>
      <w:r>
        <w:rPr>
          <w:rFonts w:hint="eastAsia"/>
          <w:kern w:val="0"/>
        </w:rPr>
        <w:t>：</w:t>
      </w:r>
    </w:p>
    <w:p>
      <w:pPr>
        <w:ind w:firstLine="480"/>
        <w:rPr>
          <w:rFonts w:ascii="宋体"/>
          <w:color w:val="000000"/>
        </w:rPr>
      </w:pPr>
    </w:p>
    <w:p>
      <w:pPr>
        <w:ind w:firstLine="480"/>
        <w:rPr>
          <w:kern w:val="0"/>
        </w:rPr>
      </w:pPr>
      <w:r>
        <w:rPr>
          <w:rFonts w:hint="eastAsia"/>
        </w:rPr>
        <w:drawing>
          <wp:anchor distT="0" distB="0" distL="114300" distR="114300" simplePos="0" relativeHeight="251674624" behindDoc="0" locked="0" layoutInCell="1" allowOverlap="1">
            <wp:simplePos x="0" y="0"/>
            <wp:positionH relativeFrom="column">
              <wp:posOffset>512445</wp:posOffset>
            </wp:positionH>
            <wp:positionV relativeFrom="paragraph">
              <wp:posOffset>41275</wp:posOffset>
            </wp:positionV>
            <wp:extent cx="2667000" cy="2057400"/>
            <wp:effectExtent l="19050" t="0" r="0" b="0"/>
            <wp:wrapNone/>
            <wp:docPr id="40" name="图片 781" descr="H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81" descr="HJ2"/>
                    <pic:cNvPicPr>
                      <a:picLocks noChangeAspect="1" noChangeArrowheads="1"/>
                    </pic:cNvPicPr>
                  </pic:nvPicPr>
                  <pic:blipFill>
                    <a:blip r:embed="rId57" cstate="print"/>
                    <a:srcRect/>
                    <a:stretch>
                      <a:fillRect/>
                    </a:stretch>
                  </pic:blipFill>
                  <pic:spPr>
                    <a:xfrm>
                      <a:off x="0" y="0"/>
                      <a:ext cx="2667000" cy="2057400"/>
                    </a:xfrm>
                    <a:prstGeom prst="rect">
                      <a:avLst/>
                    </a:prstGeom>
                    <a:noFill/>
                  </pic:spPr>
                </pic:pic>
              </a:graphicData>
            </a:graphic>
          </wp:anchor>
        </w:drawing>
      </w:r>
    </w:p>
    <w:p>
      <w:pPr>
        <w:ind w:firstLine="480"/>
        <w:rPr>
          <w:kern w:val="0"/>
        </w:rPr>
      </w:pPr>
    </w:p>
    <w:p>
      <w:pPr>
        <w:ind w:firstLine="480"/>
        <w:rPr>
          <w:kern w:val="0"/>
        </w:rPr>
      </w:pPr>
    </w:p>
    <w:p>
      <w:pPr>
        <w:ind w:firstLine="480"/>
        <w:rPr>
          <w:kern w:val="0"/>
        </w:rPr>
      </w:pPr>
    </w:p>
    <w:p>
      <w:pPr>
        <w:ind w:firstLine="480"/>
        <w:rPr>
          <w:kern w:val="0"/>
        </w:rPr>
      </w:pPr>
    </w:p>
    <w:p>
      <w:pPr>
        <w:ind w:firstLine="480"/>
        <w:rPr>
          <w:kern w:val="0"/>
        </w:rPr>
      </w:pPr>
    </w:p>
    <w:p>
      <w:pPr>
        <w:ind w:firstLine="480"/>
        <w:rPr>
          <w:rFonts w:hAnsi="宋体"/>
          <w:kern w:val="0"/>
        </w:rPr>
      </w:pPr>
    </w:p>
    <w:p>
      <w:pPr>
        <w:ind w:firstLine="480"/>
        <w:rPr>
          <w:kern w:val="0"/>
        </w:rPr>
      </w:pPr>
    </w:p>
    <w:p>
      <w:pPr>
        <w:ind w:firstLine="480"/>
        <w:rPr>
          <w:kern w:val="0"/>
        </w:rPr>
      </w:pPr>
      <w:r>
        <w:rPr>
          <w:rFonts w:hint="eastAsia"/>
          <w:kern w:val="0"/>
        </w:rPr>
        <w:t>要求的简化算法为：</w:t>
      </w:r>
    </w:p>
    <w:p>
      <w:pPr>
        <w:ind w:firstLine="480"/>
        <w:rPr>
          <w:kern w:val="0"/>
        </w:rPr>
      </w:pPr>
      <w:r>
        <w:rPr>
          <w:kern w:val="0"/>
        </w:rPr>
        <w:t>r&lt;a/π</w:t>
      </w:r>
      <w:r>
        <w:rPr>
          <w:rFonts w:hint="eastAsia"/>
          <w:kern w:val="0"/>
        </w:rPr>
        <w:t>时，</w:t>
      </w:r>
      <w:r>
        <w:rPr>
          <w:kern w:val="0"/>
        </w:rPr>
        <w:t>A</w:t>
      </w:r>
      <w:r>
        <w:rPr>
          <w:kern w:val="0"/>
          <w:vertAlign w:val="subscript"/>
        </w:rPr>
        <w:t>div</w:t>
      </w:r>
      <w:r>
        <w:rPr>
          <w:kern w:val="0"/>
        </w:rPr>
        <w:t>≈0</w:t>
      </w:r>
      <w:r>
        <w:rPr>
          <w:rFonts w:hint="eastAsia"/>
          <w:kern w:val="0"/>
        </w:rPr>
        <w:t>；几乎不衰减</w:t>
      </w:r>
    </w:p>
    <w:p>
      <w:pPr>
        <w:ind w:firstLine="480"/>
        <w:rPr>
          <w:kern w:val="0"/>
        </w:rPr>
      </w:pPr>
      <w:r>
        <w:rPr>
          <w:kern w:val="0"/>
        </w:rPr>
        <w:t>a/π&lt;r&lt;b/π</w:t>
      </w:r>
      <w:r>
        <w:rPr>
          <w:rFonts w:hint="eastAsia"/>
          <w:kern w:val="0"/>
        </w:rPr>
        <w:t>时，距离加倍时</w:t>
      </w:r>
      <w:r>
        <w:rPr>
          <w:kern w:val="0"/>
        </w:rPr>
        <w:t>A</w:t>
      </w:r>
      <w:r>
        <w:rPr>
          <w:kern w:val="0"/>
          <w:vertAlign w:val="subscript"/>
        </w:rPr>
        <w:t>div</w:t>
      </w:r>
      <w:r>
        <w:rPr>
          <w:kern w:val="0"/>
        </w:rPr>
        <w:t>≈3</w:t>
      </w:r>
      <w:r>
        <w:rPr>
          <w:rFonts w:hint="eastAsia"/>
          <w:kern w:val="0"/>
        </w:rPr>
        <w:t>；类似线声源</w:t>
      </w:r>
      <w:r>
        <w:rPr>
          <w:kern w:val="0"/>
        </w:rPr>
        <w:t>(A</w:t>
      </w:r>
      <w:r>
        <w:rPr>
          <w:kern w:val="0"/>
          <w:vertAlign w:val="subscript"/>
        </w:rPr>
        <w:t>div</w:t>
      </w:r>
      <w:r>
        <w:rPr>
          <w:kern w:val="0"/>
        </w:rPr>
        <w:t>≈10lg(r/r</w:t>
      </w:r>
      <w:r>
        <w:rPr>
          <w:kern w:val="0"/>
          <w:vertAlign w:val="subscript"/>
        </w:rPr>
        <w:t>0</w:t>
      </w:r>
      <w:r>
        <w:rPr>
          <w:kern w:val="0"/>
        </w:rPr>
        <w:t>))</w:t>
      </w:r>
    </w:p>
    <w:p>
      <w:pPr>
        <w:ind w:firstLine="480"/>
        <w:rPr>
          <w:kern w:val="0"/>
        </w:rPr>
      </w:pPr>
      <w:r>
        <w:rPr>
          <w:kern w:val="0"/>
        </w:rPr>
        <w:t>r&gt;b/π</w:t>
      </w:r>
      <w:r>
        <w:rPr>
          <w:rFonts w:hint="eastAsia"/>
          <w:kern w:val="0"/>
        </w:rPr>
        <w:t>时，距离加倍时</w:t>
      </w:r>
      <w:r>
        <w:rPr>
          <w:kern w:val="0"/>
        </w:rPr>
        <w:t>A</w:t>
      </w:r>
      <w:r>
        <w:rPr>
          <w:kern w:val="0"/>
          <w:vertAlign w:val="subscript"/>
        </w:rPr>
        <w:t>div</w:t>
      </w:r>
      <w:r>
        <w:rPr>
          <w:kern w:val="0"/>
        </w:rPr>
        <w:t>≈6</w:t>
      </w:r>
      <w:r>
        <w:rPr>
          <w:rFonts w:hint="eastAsia"/>
          <w:kern w:val="0"/>
        </w:rPr>
        <w:t>；类似点声源</w:t>
      </w:r>
      <w:r>
        <w:rPr>
          <w:kern w:val="0"/>
        </w:rPr>
        <w:t>(A</w:t>
      </w:r>
      <w:r>
        <w:rPr>
          <w:kern w:val="0"/>
          <w:vertAlign w:val="subscript"/>
        </w:rPr>
        <w:t>div</w:t>
      </w:r>
      <w:r>
        <w:rPr>
          <w:kern w:val="0"/>
        </w:rPr>
        <w:t>≈20lg(r/r</w:t>
      </w:r>
      <w:r>
        <w:rPr>
          <w:kern w:val="0"/>
          <w:vertAlign w:val="subscript"/>
        </w:rPr>
        <w:t>0</w:t>
      </w:r>
      <w:r>
        <w:rPr>
          <w:kern w:val="0"/>
        </w:rPr>
        <w:t>))</w:t>
      </w:r>
    </w:p>
    <w:p>
      <w:pPr>
        <w:ind w:firstLine="480"/>
        <w:rPr>
          <w:kern w:val="0"/>
        </w:rPr>
      </w:pPr>
      <w:r>
        <w:rPr>
          <w:kern w:val="0"/>
        </w:rPr>
        <w:t>r&lt;a/π</w:t>
      </w:r>
      <w:r>
        <w:rPr>
          <w:rFonts w:hint="eastAsia"/>
          <w:kern w:val="0"/>
        </w:rPr>
        <w:t>时，</w:t>
      </w:r>
      <w:r>
        <w:rPr>
          <w:kern w:val="0"/>
        </w:rPr>
        <w:t>A</w:t>
      </w:r>
      <w:r>
        <w:rPr>
          <w:kern w:val="0"/>
          <w:vertAlign w:val="subscript"/>
        </w:rPr>
        <w:t>div</w:t>
      </w:r>
      <w:r>
        <w:rPr>
          <w:kern w:val="0"/>
        </w:rPr>
        <w:t>≈0</w:t>
      </w:r>
      <w:r>
        <w:rPr>
          <w:rFonts w:hint="eastAsia"/>
          <w:kern w:val="0"/>
        </w:rPr>
        <w:t>。</w:t>
      </w:r>
    </w:p>
    <w:p>
      <w:pPr>
        <w:pStyle w:val="161"/>
        <w:ind w:firstLine="480"/>
        <w:outlineLvl w:val="0"/>
        <w:rPr>
          <w:kern w:val="0"/>
        </w:rPr>
      </w:pPr>
      <w:bookmarkStart w:id="437" w:name="_Toc13582197"/>
      <w:bookmarkStart w:id="438" w:name="_Toc13760227"/>
      <w:r>
        <w:rPr>
          <w:rFonts w:hint="eastAsia"/>
          <w:kern w:val="0"/>
        </w:rPr>
        <w:t>⑤噪声贡献值计算</w:t>
      </w:r>
      <w:bookmarkEnd w:id="437"/>
      <w:bookmarkEnd w:id="438"/>
    </w:p>
    <w:p>
      <w:pPr>
        <w:ind w:firstLine="480"/>
        <w:rPr>
          <w:kern w:val="0"/>
          <w:lang w:val="zh-CN"/>
        </w:rPr>
      </w:pPr>
      <w:r>
        <w:rPr>
          <w:rFonts w:hint="eastAsia"/>
          <w:kern w:val="0"/>
          <w:lang w:val="zh-CN"/>
        </w:rPr>
        <w:t>设第</w:t>
      </w:r>
      <w:r>
        <w:rPr>
          <w:kern w:val="0"/>
          <w:lang w:val="zh-CN"/>
        </w:rPr>
        <w:t>i</w:t>
      </w:r>
      <w:r>
        <w:rPr>
          <w:rFonts w:hint="eastAsia"/>
          <w:kern w:val="0"/>
          <w:lang w:val="zh-CN"/>
        </w:rPr>
        <w:t>个室外声源在预测点产生的</w:t>
      </w:r>
      <w:r>
        <w:rPr>
          <w:kern w:val="0"/>
          <w:lang w:val="zh-CN"/>
        </w:rPr>
        <w:t>A</w:t>
      </w:r>
      <w:r>
        <w:rPr>
          <w:rFonts w:hint="eastAsia"/>
          <w:kern w:val="0"/>
          <w:lang w:val="zh-CN"/>
        </w:rPr>
        <w:t>声级为</w:t>
      </w:r>
      <w:r>
        <w:rPr>
          <w:kern w:val="0"/>
          <w:lang w:val="zh-CN"/>
        </w:rPr>
        <w:t>L</w:t>
      </w:r>
      <w:r>
        <w:rPr>
          <w:kern w:val="0"/>
          <w:vertAlign w:val="subscript"/>
          <w:lang w:val="zh-CN"/>
        </w:rPr>
        <w:t>Ai</w:t>
      </w:r>
      <w:r>
        <w:rPr>
          <w:rFonts w:hint="eastAsia"/>
          <w:kern w:val="0"/>
          <w:lang w:val="zh-CN"/>
        </w:rPr>
        <w:t>，在</w:t>
      </w:r>
      <w:r>
        <w:rPr>
          <w:kern w:val="0"/>
          <w:lang w:val="zh-CN"/>
        </w:rPr>
        <w:t>T</w:t>
      </w:r>
      <w:r>
        <w:rPr>
          <w:rFonts w:hint="eastAsia"/>
          <w:kern w:val="0"/>
          <w:lang w:val="zh-CN"/>
        </w:rPr>
        <w:t>时间内该声源工作时间为</w:t>
      </w:r>
      <w:r>
        <w:rPr>
          <w:kern w:val="0"/>
          <w:lang w:val="zh-CN"/>
        </w:rPr>
        <w:t>t</w:t>
      </w:r>
      <w:r>
        <w:rPr>
          <w:kern w:val="0"/>
          <w:vertAlign w:val="subscript"/>
          <w:lang w:val="zh-CN"/>
        </w:rPr>
        <w:t>i</w:t>
      </w:r>
      <w:r>
        <w:rPr>
          <w:rFonts w:hint="eastAsia"/>
          <w:kern w:val="0"/>
          <w:lang w:val="zh-CN"/>
        </w:rPr>
        <w:t>；第</w:t>
      </w:r>
      <w:r>
        <w:rPr>
          <w:kern w:val="0"/>
          <w:lang w:val="zh-CN"/>
        </w:rPr>
        <w:t>j</w:t>
      </w:r>
      <w:r>
        <w:rPr>
          <w:rFonts w:hint="eastAsia"/>
          <w:kern w:val="0"/>
          <w:lang w:val="zh-CN"/>
        </w:rPr>
        <w:t>个等效室外声源在预测点产生的</w:t>
      </w:r>
      <w:r>
        <w:rPr>
          <w:kern w:val="0"/>
          <w:lang w:val="zh-CN"/>
        </w:rPr>
        <w:t>A</w:t>
      </w:r>
      <w:r>
        <w:rPr>
          <w:rFonts w:hint="eastAsia"/>
          <w:kern w:val="0"/>
          <w:lang w:val="zh-CN"/>
        </w:rPr>
        <w:t>声级为</w:t>
      </w:r>
      <w:r>
        <w:rPr>
          <w:kern w:val="0"/>
          <w:lang w:val="zh-CN"/>
        </w:rPr>
        <w:t>L</w:t>
      </w:r>
      <w:r>
        <w:rPr>
          <w:kern w:val="0"/>
          <w:vertAlign w:val="subscript"/>
          <w:lang w:val="zh-CN"/>
        </w:rPr>
        <w:t>Aj</w:t>
      </w:r>
      <w:r>
        <w:rPr>
          <w:rFonts w:hint="eastAsia"/>
          <w:kern w:val="0"/>
          <w:lang w:val="zh-CN"/>
        </w:rPr>
        <w:t>，在</w:t>
      </w:r>
      <w:r>
        <w:rPr>
          <w:kern w:val="0"/>
          <w:lang w:val="zh-CN"/>
        </w:rPr>
        <w:t>T</w:t>
      </w:r>
      <w:r>
        <w:rPr>
          <w:rFonts w:hint="eastAsia"/>
          <w:kern w:val="0"/>
          <w:lang w:val="zh-CN"/>
        </w:rPr>
        <w:t>时间内该声源工作时间为</w:t>
      </w:r>
      <w:r>
        <w:rPr>
          <w:kern w:val="0"/>
          <w:lang w:val="zh-CN"/>
        </w:rPr>
        <w:t>t</w:t>
      </w:r>
      <w:r>
        <w:rPr>
          <w:kern w:val="0"/>
          <w:vertAlign w:val="subscript"/>
          <w:lang w:val="zh-CN"/>
        </w:rPr>
        <w:t>j</w:t>
      </w:r>
      <w:r>
        <w:rPr>
          <w:rFonts w:hint="eastAsia"/>
          <w:kern w:val="0"/>
          <w:lang w:val="zh-CN"/>
        </w:rPr>
        <w:t>；则拟建工程声源对预测点产生的贡献值为</w:t>
      </w:r>
      <w:r>
        <w:rPr>
          <w:kern w:val="0"/>
          <w:lang w:val="zh-CN"/>
        </w:rPr>
        <w:t>(Leqg)</w:t>
      </w:r>
      <w:r>
        <w:rPr>
          <w:rFonts w:hint="eastAsia"/>
          <w:kern w:val="0"/>
          <w:lang w:val="zh-CN"/>
        </w:rPr>
        <w:t>：</w:t>
      </w:r>
    </w:p>
    <w:p>
      <w:pPr>
        <w:ind w:firstLine="480"/>
        <w:rPr>
          <w:kern w:val="0"/>
        </w:rPr>
      </w:pPr>
      <w:r>
        <w:rPr>
          <w:kern w:val="0"/>
        </w:rPr>
        <w:drawing>
          <wp:inline distT="0" distB="0" distL="0" distR="0">
            <wp:extent cx="2668270" cy="504825"/>
            <wp:effectExtent l="19050" t="0" r="0" b="0"/>
            <wp:docPr id="2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9"/>
                    <pic:cNvPicPr>
                      <a:picLocks noChangeAspect="1" noChangeArrowheads="1"/>
                    </pic:cNvPicPr>
                  </pic:nvPicPr>
                  <pic:blipFill>
                    <a:blip r:embed="rId58" cstate="print"/>
                    <a:srcRect/>
                    <a:stretch>
                      <a:fillRect/>
                    </a:stretch>
                  </pic:blipFill>
                  <pic:spPr>
                    <a:xfrm>
                      <a:off x="0" y="0"/>
                      <a:ext cx="2668270" cy="504825"/>
                    </a:xfrm>
                    <a:prstGeom prst="rect">
                      <a:avLst/>
                    </a:prstGeom>
                    <a:noFill/>
                    <a:ln w="9525">
                      <a:noFill/>
                      <a:miter lim="800000"/>
                      <a:headEnd/>
                      <a:tailEnd/>
                    </a:ln>
                  </pic:spPr>
                </pic:pic>
              </a:graphicData>
            </a:graphic>
          </wp:inline>
        </w:drawing>
      </w:r>
    </w:p>
    <w:p>
      <w:pPr>
        <w:ind w:firstLine="480"/>
        <w:rPr>
          <w:kern w:val="0"/>
        </w:rPr>
      </w:pPr>
      <w:r>
        <w:rPr>
          <w:rFonts w:hint="eastAsia"/>
          <w:kern w:val="0"/>
        </w:rPr>
        <w:t>式中：</w:t>
      </w:r>
    </w:p>
    <w:p>
      <w:pPr>
        <w:ind w:firstLine="480"/>
        <w:rPr>
          <w:kern w:val="0"/>
        </w:rPr>
      </w:pPr>
      <w:r>
        <w:rPr>
          <w:kern w:val="0"/>
        </w:rPr>
        <w:t>t</w:t>
      </w:r>
      <w:r>
        <w:rPr>
          <w:kern w:val="0"/>
          <w:vertAlign w:val="subscript"/>
        </w:rPr>
        <w:t>j</w:t>
      </w:r>
      <w:r>
        <w:rPr>
          <w:kern w:val="0"/>
        </w:rPr>
        <w:t>—</w:t>
      </w:r>
      <w:r>
        <w:rPr>
          <w:rFonts w:hint="eastAsia"/>
          <w:kern w:val="0"/>
        </w:rPr>
        <w:t>在</w:t>
      </w:r>
      <w:r>
        <w:rPr>
          <w:kern w:val="0"/>
        </w:rPr>
        <w:t>T</w:t>
      </w:r>
      <w:r>
        <w:rPr>
          <w:rFonts w:hint="eastAsia"/>
          <w:kern w:val="0"/>
        </w:rPr>
        <w:t>时间内</w:t>
      </w:r>
      <w:r>
        <w:rPr>
          <w:kern w:val="0"/>
        </w:rPr>
        <w:t>j</w:t>
      </w:r>
      <w:r>
        <w:rPr>
          <w:rFonts w:hint="eastAsia"/>
          <w:kern w:val="0"/>
        </w:rPr>
        <w:t>声源工作时间，</w:t>
      </w:r>
      <w:r>
        <w:rPr>
          <w:kern w:val="0"/>
        </w:rPr>
        <w:t>s</w:t>
      </w:r>
      <w:r>
        <w:rPr>
          <w:rFonts w:hint="eastAsia"/>
          <w:kern w:val="0"/>
        </w:rPr>
        <w:t>；</w:t>
      </w:r>
    </w:p>
    <w:p>
      <w:pPr>
        <w:ind w:firstLine="480"/>
        <w:rPr>
          <w:kern w:val="0"/>
        </w:rPr>
      </w:pPr>
      <w:r>
        <w:rPr>
          <w:kern w:val="0"/>
        </w:rPr>
        <w:t>t</w:t>
      </w:r>
      <w:r>
        <w:rPr>
          <w:kern w:val="0"/>
          <w:vertAlign w:val="subscript"/>
        </w:rPr>
        <w:t>i</w:t>
      </w:r>
      <w:r>
        <w:rPr>
          <w:kern w:val="0"/>
        </w:rPr>
        <w:t>—</w:t>
      </w:r>
      <w:r>
        <w:rPr>
          <w:rFonts w:hint="eastAsia"/>
          <w:kern w:val="0"/>
        </w:rPr>
        <w:t>在</w:t>
      </w:r>
      <w:r>
        <w:rPr>
          <w:kern w:val="0"/>
        </w:rPr>
        <w:t>T</w:t>
      </w:r>
      <w:r>
        <w:rPr>
          <w:rFonts w:hint="eastAsia"/>
          <w:kern w:val="0"/>
        </w:rPr>
        <w:t>时间内</w:t>
      </w:r>
      <w:r>
        <w:rPr>
          <w:kern w:val="0"/>
        </w:rPr>
        <w:t>i</w:t>
      </w:r>
      <w:r>
        <w:rPr>
          <w:rFonts w:hint="eastAsia"/>
          <w:kern w:val="0"/>
        </w:rPr>
        <w:t>声源工作时间，</w:t>
      </w:r>
      <w:r>
        <w:rPr>
          <w:kern w:val="0"/>
        </w:rPr>
        <w:t>s</w:t>
      </w:r>
      <w:r>
        <w:rPr>
          <w:rFonts w:hint="eastAsia"/>
          <w:kern w:val="0"/>
        </w:rPr>
        <w:t>；</w:t>
      </w:r>
    </w:p>
    <w:p>
      <w:pPr>
        <w:ind w:firstLine="480"/>
        <w:rPr>
          <w:kern w:val="0"/>
        </w:rPr>
      </w:pPr>
      <w:r>
        <w:rPr>
          <w:kern w:val="0"/>
        </w:rPr>
        <w:t>T—</w:t>
      </w:r>
      <w:r>
        <w:rPr>
          <w:rFonts w:hint="eastAsia"/>
          <w:kern w:val="0"/>
        </w:rPr>
        <w:t>用于计算等效声级的时间，</w:t>
      </w:r>
      <w:r>
        <w:rPr>
          <w:kern w:val="0"/>
        </w:rPr>
        <w:t>s</w:t>
      </w:r>
      <w:r>
        <w:rPr>
          <w:rFonts w:hint="eastAsia"/>
          <w:kern w:val="0"/>
        </w:rPr>
        <w:t>；</w:t>
      </w:r>
    </w:p>
    <w:p>
      <w:pPr>
        <w:ind w:firstLine="480"/>
        <w:rPr>
          <w:kern w:val="0"/>
        </w:rPr>
      </w:pPr>
      <w:r>
        <w:rPr>
          <w:kern w:val="0"/>
        </w:rPr>
        <w:t>N—</w:t>
      </w:r>
      <w:r>
        <w:rPr>
          <w:rFonts w:hint="eastAsia"/>
          <w:kern w:val="0"/>
        </w:rPr>
        <w:t>室外声源个数；</w:t>
      </w:r>
    </w:p>
    <w:p>
      <w:pPr>
        <w:ind w:firstLine="480"/>
        <w:rPr>
          <w:kern w:val="0"/>
        </w:rPr>
      </w:pPr>
      <w:r>
        <w:rPr>
          <w:kern w:val="0"/>
        </w:rPr>
        <w:t>M—</w:t>
      </w:r>
      <w:r>
        <w:rPr>
          <w:rFonts w:hint="eastAsia"/>
          <w:kern w:val="0"/>
        </w:rPr>
        <w:t>等效室外声源个数。</w:t>
      </w:r>
    </w:p>
    <w:p>
      <w:pPr>
        <w:ind w:firstLine="480"/>
        <w:rPr>
          <w:kern w:val="0"/>
        </w:rPr>
      </w:pPr>
      <w:r>
        <w:rPr>
          <w:kern w:val="0"/>
        </w:rPr>
        <w:t>(2)</w:t>
      </w:r>
      <w:r>
        <w:rPr>
          <w:rFonts w:hint="eastAsia"/>
          <w:kern w:val="0"/>
        </w:rPr>
        <w:t>建立坐标系统</w:t>
      </w:r>
    </w:p>
    <w:p>
      <w:pPr>
        <w:ind w:firstLine="480"/>
        <w:rPr>
          <w:lang w:val="zh-CN"/>
        </w:rPr>
      </w:pPr>
      <w:r>
        <w:rPr>
          <w:rFonts w:hint="eastAsia"/>
          <w:kern w:val="0"/>
        </w:rPr>
        <w:t>本次环评中为了更准确、快速地进行噪声预测分析，采用了宁波环科院编制的</w:t>
      </w:r>
      <w:r>
        <w:rPr>
          <w:kern w:val="0"/>
        </w:rPr>
        <w:t>EIAN20</w:t>
      </w:r>
      <w:r>
        <w:rPr>
          <w:rFonts w:hint="eastAsia"/>
          <w:kern w:val="0"/>
        </w:rPr>
        <w:t>噪声预测评价软件。预测点高度为</w:t>
      </w:r>
      <w:r>
        <w:rPr>
          <w:kern w:val="0"/>
        </w:rPr>
        <w:t>1.2m</w:t>
      </w:r>
      <w:r>
        <w:rPr>
          <w:rFonts w:hint="eastAsia"/>
          <w:kern w:val="0"/>
        </w:rPr>
        <w:t>。预测区内测算点的间隔为</w:t>
      </w:r>
      <w:r>
        <w:rPr>
          <w:kern w:val="0"/>
        </w:rPr>
        <w:t>20m</w:t>
      </w:r>
      <w:r>
        <w:rPr>
          <w:rFonts w:hint="eastAsia"/>
          <w:kern w:val="0"/>
        </w:rPr>
        <w:t>。预测范围为厂界</w:t>
      </w:r>
      <w:r>
        <w:rPr>
          <w:kern w:val="0"/>
        </w:rPr>
        <w:t>200m</w:t>
      </w:r>
      <w:r>
        <w:rPr>
          <w:rFonts w:hint="eastAsia"/>
          <w:kern w:val="0"/>
        </w:rPr>
        <w:t>范围内。</w:t>
      </w:r>
    </w:p>
    <w:p>
      <w:pPr>
        <w:pStyle w:val="5"/>
        <w:rPr>
          <w:rFonts w:hAnsi="宋体"/>
        </w:rPr>
      </w:pPr>
      <w:bookmarkStart w:id="439" w:name="_Toc354065853"/>
      <w:bookmarkStart w:id="440" w:name="_Toc13760228"/>
      <w:bookmarkStart w:id="441" w:name="_Toc532546105"/>
      <w:r>
        <w:t>6.</w:t>
      </w:r>
      <w:r>
        <w:rPr>
          <w:rFonts w:hint="eastAsia"/>
        </w:rPr>
        <w:t>4.2噪声影响结果</w:t>
      </w:r>
      <w:bookmarkEnd w:id="439"/>
      <w:bookmarkEnd w:id="440"/>
      <w:bookmarkEnd w:id="441"/>
    </w:p>
    <w:p>
      <w:pPr>
        <w:pStyle w:val="161"/>
        <w:ind w:firstLine="480"/>
      </w:pPr>
      <w:r>
        <w:rPr>
          <w:rFonts w:hint="eastAsia"/>
        </w:rPr>
        <w:t>在正常运行情况下，改扩建后厂界噪声最大值在</w:t>
      </w:r>
      <w:r>
        <w:t>50.11-53.</w:t>
      </w:r>
      <w:r>
        <w:rPr>
          <w:rFonts w:hint="eastAsia"/>
        </w:rPr>
        <w:t>44</w:t>
      </w:r>
      <w:r>
        <w:t>dB(A)</w:t>
      </w:r>
      <w:r>
        <w:rPr>
          <w:rFonts w:hint="eastAsia"/>
        </w:rPr>
        <w:t>之间，各个厂界噪声均达到《工业企业厂界环境噪声排放标准》</w:t>
      </w:r>
      <w:r>
        <w:t>3</w:t>
      </w:r>
      <w:r>
        <w:rPr>
          <w:rFonts w:hint="eastAsia"/>
        </w:rPr>
        <w:t>类区标准要求，因此不会产生噪声扰民现象。</w:t>
      </w:r>
    </w:p>
    <w:p>
      <w:pPr>
        <w:pStyle w:val="161"/>
        <w:ind w:firstLine="480"/>
      </w:pPr>
      <w:r>
        <w:rPr>
          <w:rFonts w:hint="eastAsia"/>
        </w:rPr>
        <w:t>项目运营后，建设单位应对厂界噪声进行跟踪监测，如果出现噪声超标情况，采取改善设备隔声罩隔声性能、改善厂房隔声性能等措施，降低项目运营对周边环境的影响。</w:t>
      </w:r>
    </w:p>
    <w:p>
      <w:pPr>
        <w:pStyle w:val="161"/>
        <w:ind w:firstLine="480"/>
      </w:pPr>
      <w:r>
        <w:rPr>
          <w:rFonts w:hint="eastAsia"/>
        </w:rPr>
        <w:t>表</w:t>
      </w:r>
      <w:r>
        <w:t>6.</w:t>
      </w:r>
      <w:r>
        <w:rPr>
          <w:rFonts w:hint="eastAsia"/>
        </w:rPr>
        <w:t>4—</w:t>
      </w:r>
      <w:r>
        <w:t xml:space="preserve">2            </w:t>
      </w:r>
      <w:r>
        <w:rPr>
          <w:rFonts w:hint="eastAsia"/>
        </w:rPr>
        <w:t>各厂界噪声最大值预测结果</w:t>
      </w:r>
    </w:p>
    <w:tbl>
      <w:tblPr>
        <w:tblStyle w:val="88"/>
        <w:tblW w:w="9638" w:type="dxa"/>
        <w:tblInd w:w="0" w:type="dxa"/>
        <w:tblBorders>
          <w:top w:val="single" w:color="auto" w:sz="12" w:space="0"/>
          <w:left w:val="dotted" w:color="auto" w:sz="8" w:space="0"/>
          <w:bottom w:val="single" w:color="auto" w:sz="12" w:space="0"/>
          <w:right w:val="dotted" w:color="auto" w:sz="8" w:space="0"/>
          <w:insideH w:val="dotted" w:color="auto" w:sz="8" w:space="0"/>
          <w:insideV w:val="dotted" w:color="auto" w:sz="8" w:space="0"/>
        </w:tblBorders>
        <w:tblLayout w:type="fixed"/>
        <w:tblCellMar>
          <w:top w:w="0" w:type="dxa"/>
          <w:left w:w="0" w:type="dxa"/>
          <w:bottom w:w="0" w:type="dxa"/>
          <w:right w:w="0" w:type="dxa"/>
        </w:tblCellMar>
      </w:tblPr>
      <w:tblGrid>
        <w:gridCol w:w="2512"/>
        <w:gridCol w:w="1782"/>
        <w:gridCol w:w="1782"/>
        <w:gridCol w:w="1783"/>
        <w:gridCol w:w="1779"/>
      </w:tblGrid>
      <w:tr>
        <w:tblPrEx>
          <w:tblBorders>
            <w:top w:val="single" w:color="auto" w:sz="12" w:space="0"/>
            <w:left w:val="dotted" w:color="auto" w:sz="8" w:space="0"/>
            <w:bottom w:val="single" w:color="auto" w:sz="12" w:space="0"/>
            <w:right w:val="dotted" w:color="auto" w:sz="8" w:space="0"/>
            <w:insideH w:val="dotted" w:color="auto" w:sz="8" w:space="0"/>
            <w:insideV w:val="dotted" w:color="auto" w:sz="8" w:space="0"/>
          </w:tblBorders>
          <w:tblCellMar>
            <w:top w:w="0" w:type="dxa"/>
            <w:left w:w="0" w:type="dxa"/>
            <w:bottom w:w="0" w:type="dxa"/>
            <w:right w:w="0" w:type="dxa"/>
          </w:tblCellMar>
        </w:tblPrEx>
        <w:trPr>
          <w:trHeight w:val="20" w:hRule="atLeast"/>
        </w:trPr>
        <w:tc>
          <w:tcPr>
            <w:tcW w:w="2512" w:type="dxa"/>
            <w:tcBorders>
              <w:top w:val="single" w:color="auto" w:sz="12" w:space="0"/>
              <w:left w:val="nil"/>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项目</w:t>
            </w:r>
          </w:p>
        </w:tc>
        <w:tc>
          <w:tcPr>
            <w:tcW w:w="1782" w:type="dxa"/>
            <w:tcBorders>
              <w:top w:val="single" w:color="auto" w:sz="12"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东厂界</w:t>
            </w:r>
          </w:p>
        </w:tc>
        <w:tc>
          <w:tcPr>
            <w:tcW w:w="1782" w:type="dxa"/>
            <w:tcBorders>
              <w:top w:val="single" w:color="auto" w:sz="12"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西厂界</w:t>
            </w:r>
          </w:p>
        </w:tc>
        <w:tc>
          <w:tcPr>
            <w:tcW w:w="1783" w:type="dxa"/>
            <w:tcBorders>
              <w:top w:val="single" w:color="auto" w:sz="12" w:space="0"/>
              <w:left w:val="dotted" w:color="auto" w:sz="8" w:space="0"/>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南厂界</w:t>
            </w:r>
          </w:p>
        </w:tc>
        <w:tc>
          <w:tcPr>
            <w:tcW w:w="1779" w:type="dxa"/>
            <w:tcBorders>
              <w:top w:val="single" w:color="auto" w:sz="12" w:space="0"/>
              <w:left w:val="dotted" w:color="auto" w:sz="8" w:space="0"/>
              <w:bottom w:val="single" w:color="auto" w:sz="12" w:space="0"/>
              <w:right w:val="nil"/>
            </w:tcBorders>
            <w:vAlign w:val="center"/>
          </w:tcPr>
          <w:p>
            <w:pPr>
              <w:spacing w:line="240" w:lineRule="atLeast"/>
              <w:ind w:firstLine="0" w:firstLineChars="0"/>
              <w:jc w:val="center"/>
              <w:rPr>
                <w:sz w:val="21"/>
              </w:rPr>
            </w:pPr>
            <w:r>
              <w:rPr>
                <w:rFonts w:hint="eastAsia"/>
                <w:sz w:val="21"/>
              </w:rPr>
              <w:t>北厂界</w:t>
            </w:r>
          </w:p>
        </w:tc>
      </w:tr>
      <w:tr>
        <w:tblPrEx>
          <w:tblBorders>
            <w:top w:val="single" w:color="auto" w:sz="12" w:space="0"/>
            <w:left w:val="dotted" w:color="auto" w:sz="8" w:space="0"/>
            <w:bottom w:val="single" w:color="auto" w:sz="12" w:space="0"/>
            <w:right w:val="dotted" w:color="auto" w:sz="8" w:space="0"/>
            <w:insideH w:val="dotted" w:color="auto" w:sz="8" w:space="0"/>
            <w:insideV w:val="dotted" w:color="auto" w:sz="8" w:space="0"/>
          </w:tblBorders>
          <w:tblCellMar>
            <w:top w:w="0" w:type="dxa"/>
            <w:left w:w="0" w:type="dxa"/>
            <w:bottom w:w="0" w:type="dxa"/>
            <w:right w:w="0" w:type="dxa"/>
          </w:tblCellMar>
        </w:tblPrEx>
        <w:trPr>
          <w:trHeight w:val="20" w:hRule="atLeast"/>
        </w:trPr>
        <w:tc>
          <w:tcPr>
            <w:tcW w:w="2512" w:type="dxa"/>
            <w:tcBorders>
              <w:top w:val="single" w:color="auto" w:sz="12"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厂界最大噪声值</w:t>
            </w:r>
            <w:r>
              <w:rPr>
                <w:sz w:val="21"/>
              </w:rPr>
              <w:t>dB(A)</w:t>
            </w:r>
          </w:p>
        </w:tc>
        <w:tc>
          <w:tcPr>
            <w:tcW w:w="1782"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51</w:t>
            </w:r>
            <w:r>
              <w:rPr>
                <w:sz w:val="21"/>
              </w:rPr>
              <w:t>.19</w:t>
            </w:r>
          </w:p>
        </w:tc>
        <w:tc>
          <w:tcPr>
            <w:tcW w:w="1782"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sz w:val="21"/>
              </w:rPr>
              <w:t>52.14</w:t>
            </w:r>
          </w:p>
        </w:tc>
        <w:tc>
          <w:tcPr>
            <w:tcW w:w="1783" w:type="dxa"/>
            <w:tcBorders>
              <w:top w:val="single" w:color="auto" w:sz="12"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sz w:val="21"/>
              </w:rPr>
              <w:t>50.11</w:t>
            </w:r>
          </w:p>
        </w:tc>
        <w:tc>
          <w:tcPr>
            <w:tcW w:w="1779" w:type="dxa"/>
            <w:tcBorders>
              <w:top w:val="single" w:color="auto" w:sz="12" w:space="0"/>
              <w:left w:val="dotted" w:color="auto" w:sz="8" w:space="0"/>
              <w:bottom w:val="dotted" w:color="auto" w:sz="8" w:space="0"/>
              <w:right w:val="nil"/>
            </w:tcBorders>
            <w:vAlign w:val="center"/>
          </w:tcPr>
          <w:p>
            <w:pPr>
              <w:spacing w:line="240" w:lineRule="atLeast"/>
              <w:ind w:firstLine="0" w:firstLineChars="0"/>
              <w:jc w:val="center"/>
              <w:rPr>
                <w:sz w:val="21"/>
              </w:rPr>
            </w:pPr>
            <w:r>
              <w:rPr>
                <w:sz w:val="21"/>
              </w:rPr>
              <w:t>5</w:t>
            </w:r>
            <w:r>
              <w:rPr>
                <w:rFonts w:hint="eastAsia"/>
                <w:sz w:val="21"/>
              </w:rPr>
              <w:t>3</w:t>
            </w:r>
            <w:r>
              <w:rPr>
                <w:sz w:val="21"/>
              </w:rPr>
              <w:t>.44</w:t>
            </w:r>
          </w:p>
        </w:tc>
      </w:tr>
      <w:tr>
        <w:tblPrEx>
          <w:tblBorders>
            <w:top w:val="single" w:color="auto" w:sz="12" w:space="0"/>
            <w:left w:val="dotted" w:color="auto" w:sz="8" w:space="0"/>
            <w:bottom w:val="single" w:color="auto" w:sz="12" w:space="0"/>
            <w:right w:val="dotted" w:color="auto" w:sz="8" w:space="0"/>
            <w:insideH w:val="dotted" w:color="auto" w:sz="8" w:space="0"/>
            <w:insideV w:val="dotted" w:color="auto" w:sz="8" w:space="0"/>
          </w:tblBorders>
          <w:tblCellMar>
            <w:top w:w="0" w:type="dxa"/>
            <w:left w:w="0" w:type="dxa"/>
            <w:bottom w:w="0" w:type="dxa"/>
            <w:right w:w="0" w:type="dxa"/>
          </w:tblCellMar>
        </w:tblPrEx>
        <w:trPr>
          <w:trHeight w:val="20" w:hRule="atLeast"/>
        </w:trPr>
        <w:tc>
          <w:tcPr>
            <w:tcW w:w="2512" w:type="dxa"/>
            <w:tcBorders>
              <w:top w:val="dotted" w:color="auto" w:sz="8" w:space="0"/>
              <w:left w:val="nil"/>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达标情况</w:t>
            </w:r>
          </w:p>
        </w:tc>
        <w:tc>
          <w:tcPr>
            <w:tcW w:w="178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昼间达标</w:t>
            </w:r>
          </w:p>
          <w:p>
            <w:pPr>
              <w:spacing w:line="240" w:lineRule="atLeast"/>
              <w:ind w:firstLine="0" w:firstLineChars="0"/>
              <w:jc w:val="center"/>
              <w:rPr>
                <w:sz w:val="21"/>
              </w:rPr>
            </w:pPr>
            <w:r>
              <w:rPr>
                <w:rFonts w:hint="eastAsia"/>
                <w:sz w:val="21"/>
              </w:rPr>
              <w:t>夜间达标</w:t>
            </w:r>
          </w:p>
        </w:tc>
        <w:tc>
          <w:tcPr>
            <w:tcW w:w="1782"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昼间达标</w:t>
            </w:r>
          </w:p>
          <w:p>
            <w:pPr>
              <w:spacing w:line="240" w:lineRule="atLeast"/>
              <w:ind w:firstLine="0" w:firstLineChars="0"/>
              <w:jc w:val="center"/>
              <w:rPr>
                <w:sz w:val="21"/>
              </w:rPr>
            </w:pPr>
            <w:r>
              <w:rPr>
                <w:rFonts w:hint="eastAsia"/>
                <w:sz w:val="21"/>
              </w:rPr>
              <w:t>夜间达标</w:t>
            </w:r>
          </w:p>
        </w:tc>
        <w:tc>
          <w:tcPr>
            <w:tcW w:w="1783" w:type="dxa"/>
            <w:tcBorders>
              <w:top w:val="dotted" w:color="auto" w:sz="8" w:space="0"/>
              <w:left w:val="dotted" w:color="auto" w:sz="8" w:space="0"/>
              <w:bottom w:val="dotted" w:color="auto" w:sz="8" w:space="0"/>
              <w:right w:val="dotted" w:color="auto" w:sz="8" w:space="0"/>
            </w:tcBorders>
            <w:vAlign w:val="center"/>
          </w:tcPr>
          <w:p>
            <w:pPr>
              <w:spacing w:line="240" w:lineRule="atLeast"/>
              <w:ind w:firstLine="0" w:firstLineChars="0"/>
              <w:jc w:val="center"/>
              <w:rPr>
                <w:sz w:val="21"/>
              </w:rPr>
            </w:pPr>
            <w:r>
              <w:rPr>
                <w:rFonts w:hint="eastAsia"/>
                <w:sz w:val="21"/>
              </w:rPr>
              <w:t>昼间达标</w:t>
            </w:r>
          </w:p>
          <w:p>
            <w:pPr>
              <w:spacing w:line="240" w:lineRule="atLeast"/>
              <w:ind w:firstLine="0" w:firstLineChars="0"/>
              <w:jc w:val="center"/>
              <w:rPr>
                <w:sz w:val="21"/>
              </w:rPr>
            </w:pPr>
            <w:r>
              <w:rPr>
                <w:rFonts w:hint="eastAsia"/>
                <w:sz w:val="21"/>
              </w:rPr>
              <w:t>夜间达标</w:t>
            </w:r>
          </w:p>
        </w:tc>
        <w:tc>
          <w:tcPr>
            <w:tcW w:w="1779" w:type="dxa"/>
            <w:tcBorders>
              <w:top w:val="dotted" w:color="auto" w:sz="8" w:space="0"/>
              <w:left w:val="dotted" w:color="auto" w:sz="8" w:space="0"/>
              <w:bottom w:val="dotted" w:color="auto" w:sz="8" w:space="0"/>
              <w:right w:val="nil"/>
            </w:tcBorders>
            <w:vAlign w:val="center"/>
          </w:tcPr>
          <w:p>
            <w:pPr>
              <w:spacing w:line="240" w:lineRule="atLeast"/>
              <w:ind w:firstLine="0" w:firstLineChars="0"/>
              <w:jc w:val="center"/>
              <w:rPr>
                <w:sz w:val="21"/>
              </w:rPr>
            </w:pPr>
            <w:r>
              <w:rPr>
                <w:rFonts w:hint="eastAsia"/>
                <w:sz w:val="21"/>
              </w:rPr>
              <w:t>昼间达标</w:t>
            </w:r>
          </w:p>
          <w:p>
            <w:pPr>
              <w:spacing w:line="240" w:lineRule="atLeast"/>
              <w:ind w:firstLine="0" w:firstLineChars="0"/>
              <w:jc w:val="center"/>
              <w:rPr>
                <w:sz w:val="21"/>
              </w:rPr>
            </w:pPr>
            <w:r>
              <w:rPr>
                <w:rFonts w:hint="eastAsia"/>
                <w:sz w:val="21"/>
              </w:rPr>
              <w:t>夜间达标</w:t>
            </w:r>
          </w:p>
        </w:tc>
      </w:tr>
      <w:tr>
        <w:tblPrEx>
          <w:tblBorders>
            <w:top w:val="single" w:color="auto" w:sz="12" w:space="0"/>
            <w:left w:val="dotted" w:color="auto" w:sz="8" w:space="0"/>
            <w:bottom w:val="single" w:color="auto" w:sz="12" w:space="0"/>
            <w:right w:val="dotted" w:color="auto" w:sz="8" w:space="0"/>
            <w:insideH w:val="dotted" w:color="auto" w:sz="8" w:space="0"/>
            <w:insideV w:val="dotted" w:color="auto" w:sz="8" w:space="0"/>
          </w:tblBorders>
          <w:tblCellMar>
            <w:top w:w="0" w:type="dxa"/>
            <w:left w:w="0" w:type="dxa"/>
            <w:bottom w:w="0" w:type="dxa"/>
            <w:right w:w="0" w:type="dxa"/>
          </w:tblCellMar>
        </w:tblPrEx>
        <w:trPr>
          <w:trHeight w:val="20" w:hRule="atLeast"/>
        </w:trPr>
        <w:tc>
          <w:tcPr>
            <w:tcW w:w="2512" w:type="dxa"/>
            <w:tcBorders>
              <w:top w:val="dotted" w:color="auto" w:sz="8" w:space="0"/>
              <w:left w:val="nil"/>
              <w:bottom w:val="single" w:color="auto" w:sz="12" w:space="0"/>
              <w:right w:val="dotted" w:color="auto" w:sz="8" w:space="0"/>
            </w:tcBorders>
            <w:vAlign w:val="center"/>
          </w:tcPr>
          <w:p>
            <w:pPr>
              <w:spacing w:line="240" w:lineRule="atLeast"/>
              <w:ind w:firstLine="0" w:firstLineChars="0"/>
              <w:jc w:val="center"/>
              <w:rPr>
                <w:sz w:val="21"/>
              </w:rPr>
            </w:pPr>
            <w:r>
              <w:rPr>
                <w:rFonts w:hint="eastAsia"/>
                <w:sz w:val="21"/>
              </w:rPr>
              <w:t>执行标准</w:t>
            </w:r>
          </w:p>
        </w:tc>
        <w:tc>
          <w:tcPr>
            <w:tcW w:w="7126" w:type="dxa"/>
            <w:gridSpan w:val="4"/>
            <w:tcBorders>
              <w:top w:val="dotted" w:color="auto" w:sz="8" w:space="0"/>
              <w:left w:val="dotted" w:color="auto" w:sz="8" w:space="0"/>
              <w:bottom w:val="single" w:color="auto" w:sz="12" w:space="0"/>
              <w:right w:val="nil"/>
            </w:tcBorders>
            <w:vAlign w:val="center"/>
          </w:tcPr>
          <w:p>
            <w:pPr>
              <w:spacing w:line="240" w:lineRule="atLeast"/>
              <w:ind w:firstLine="0" w:firstLineChars="0"/>
              <w:jc w:val="center"/>
              <w:rPr>
                <w:sz w:val="21"/>
              </w:rPr>
            </w:pPr>
            <w:r>
              <w:rPr>
                <w:rFonts w:hint="eastAsia"/>
                <w:sz w:val="21"/>
              </w:rPr>
              <w:t>《工业企业厂界环境噪声排放标准》</w:t>
            </w:r>
            <w:r>
              <w:rPr>
                <w:sz w:val="21"/>
              </w:rPr>
              <w:t>(GB12348—2008) 3</w:t>
            </w:r>
            <w:r>
              <w:rPr>
                <w:rFonts w:hint="eastAsia"/>
                <w:sz w:val="21"/>
              </w:rPr>
              <w:t>类区标准。</w:t>
            </w:r>
          </w:p>
        </w:tc>
      </w:tr>
    </w:tbl>
    <w:p>
      <w:pPr>
        <w:pStyle w:val="161"/>
        <w:ind w:firstLine="480"/>
      </w:pPr>
      <w:bookmarkStart w:id="442" w:name="_Toc13760229"/>
    </w:p>
    <w:p>
      <w:pPr>
        <w:pStyle w:val="4"/>
      </w:pPr>
      <w:r>
        <w:rPr>
          <w:rFonts w:hint="eastAsia"/>
        </w:rPr>
        <w:t>6.5固体废物</w:t>
      </w:r>
      <w:bookmarkEnd w:id="422"/>
      <w:r>
        <w:rPr>
          <w:rFonts w:hint="eastAsia"/>
        </w:rPr>
        <w:t>影响分析</w:t>
      </w:r>
      <w:bookmarkEnd w:id="442"/>
    </w:p>
    <w:p>
      <w:pPr>
        <w:adjustRightInd w:val="0"/>
        <w:snapToGrid w:val="0"/>
        <w:ind w:firstLine="480"/>
        <w:rPr>
          <w:rFonts w:hAnsi="宋体"/>
          <w:snapToGrid w:val="0"/>
          <w:kern w:val="0"/>
        </w:rPr>
      </w:pPr>
      <w:r>
        <w:rPr>
          <w:rFonts w:hint="eastAsia" w:hAnsi="宋体"/>
          <w:snapToGrid w:val="0"/>
          <w:kern w:val="0"/>
        </w:rPr>
        <w:t>项目改扩建后危险废物的固废的处置方式没有变化，产生量变化。物化处理、焚烧处置、稳定化</w:t>
      </w:r>
      <w:r>
        <w:rPr>
          <w:rFonts w:hAnsi="宋体"/>
          <w:snapToGrid w:val="0"/>
          <w:kern w:val="0"/>
        </w:rPr>
        <w:t>/</w:t>
      </w:r>
      <w:r>
        <w:rPr>
          <w:rFonts w:hint="eastAsia" w:hAnsi="宋体"/>
          <w:snapToGrid w:val="0"/>
          <w:kern w:val="0"/>
        </w:rPr>
        <w:t>固化和安全填埋，危险废物处理处置过程亦会产生固体废物，</w:t>
      </w:r>
      <w:r>
        <w:rPr>
          <w:rFonts w:hint="eastAsia"/>
          <w:kern w:val="0"/>
        </w:rPr>
        <w:t>主要是有机废气净化器的废渣，物化车间澄清池的废渣、隔油池的废油和沉淀池的分闸，危险废物焚烧过程中产生的炉渣和飞灰，喷淋洗涤塔产生的滤渣，强制循环蒸发系统产生的盐泥和净化器废渣，厂区污水处理站产生的污泥</w:t>
      </w:r>
      <w:r>
        <w:rPr>
          <w:rFonts w:hint="eastAsia" w:hAnsi="宋体"/>
          <w:snapToGrid w:val="0"/>
          <w:kern w:val="0"/>
        </w:rPr>
        <w:t>。日常运营期间，还产生一定量生活垃圾。</w:t>
      </w:r>
    </w:p>
    <w:p>
      <w:pPr>
        <w:adjustRightInd w:val="0"/>
        <w:snapToGrid w:val="0"/>
        <w:ind w:firstLine="480"/>
        <w:rPr>
          <w:kern w:val="0"/>
        </w:rPr>
      </w:pPr>
      <w:r>
        <w:rPr>
          <w:kern w:val="0"/>
        </w:rPr>
        <w:t>(1)</w:t>
      </w:r>
      <w:r>
        <w:rPr>
          <w:rFonts w:hint="eastAsia"/>
          <w:kern w:val="0"/>
        </w:rPr>
        <w:t>本项目危废暂存库有机废气净化器产生的废物主要为废活性炭，送至回转窑进行焚烧处理</w:t>
      </w:r>
    </w:p>
    <w:p>
      <w:pPr>
        <w:adjustRightInd w:val="0"/>
        <w:snapToGrid w:val="0"/>
        <w:ind w:firstLine="480"/>
        <w:outlineLvl w:val="0"/>
        <w:rPr>
          <w:kern w:val="0"/>
        </w:rPr>
      </w:pPr>
      <w:bookmarkStart w:id="443" w:name="_Toc13760230"/>
      <w:r>
        <w:rPr>
          <w:kern w:val="0"/>
        </w:rPr>
        <w:t>(2)</w:t>
      </w:r>
      <w:r>
        <w:rPr>
          <w:rFonts w:hint="eastAsia"/>
          <w:kern w:val="0"/>
        </w:rPr>
        <w:t>物化车间澄清池废渣主要成分为碳酸钙等，送至固化车间经固化后安全填埋；</w:t>
      </w:r>
      <w:bookmarkEnd w:id="443"/>
    </w:p>
    <w:p>
      <w:pPr>
        <w:adjustRightInd w:val="0"/>
        <w:snapToGrid w:val="0"/>
        <w:ind w:firstLine="480"/>
        <w:rPr>
          <w:kern w:val="0"/>
        </w:rPr>
      </w:pPr>
      <w:r>
        <w:rPr>
          <w:kern w:val="0"/>
        </w:rPr>
        <w:t>(3)</w:t>
      </w:r>
      <w:r>
        <w:rPr>
          <w:rFonts w:hint="eastAsia"/>
          <w:kern w:val="0"/>
        </w:rPr>
        <w:t>物化车间隔油池废油送至回转窑进行焚烧处理；</w:t>
      </w:r>
    </w:p>
    <w:p>
      <w:pPr>
        <w:adjustRightInd w:val="0"/>
        <w:snapToGrid w:val="0"/>
        <w:ind w:firstLine="480"/>
        <w:outlineLvl w:val="0"/>
        <w:rPr>
          <w:kern w:val="0"/>
        </w:rPr>
      </w:pPr>
      <w:bookmarkStart w:id="444" w:name="_Toc13760231"/>
      <w:r>
        <w:rPr>
          <w:kern w:val="0"/>
        </w:rPr>
        <w:t>(4)</w:t>
      </w:r>
      <w:r>
        <w:rPr>
          <w:rFonts w:hint="eastAsia"/>
          <w:kern w:val="0"/>
        </w:rPr>
        <w:t>物化车间沉淀池废渣主要成分为含重沉淀物等，送至固化车间经固化后安全填埋；</w:t>
      </w:r>
      <w:bookmarkEnd w:id="444"/>
    </w:p>
    <w:p>
      <w:pPr>
        <w:adjustRightInd w:val="0"/>
        <w:snapToGrid w:val="0"/>
        <w:ind w:firstLine="480"/>
        <w:rPr>
          <w:kern w:val="0"/>
        </w:rPr>
      </w:pPr>
      <w:r>
        <w:rPr>
          <w:kern w:val="0"/>
        </w:rPr>
        <w:t>(5)</w:t>
      </w:r>
      <w:r>
        <w:rPr>
          <w:rFonts w:hint="eastAsia"/>
          <w:kern w:val="0"/>
        </w:rPr>
        <w:t>焚烧车间产生的焚烧炉渣、焚烧飞灰和喷淋洗涤塔滤渣主要成分为焚烧残渣及含重颗粒物等，送至固化车间经固化后安全填埋；</w:t>
      </w:r>
    </w:p>
    <w:p>
      <w:pPr>
        <w:adjustRightInd w:val="0"/>
        <w:snapToGrid w:val="0"/>
        <w:ind w:firstLine="480"/>
        <w:outlineLvl w:val="0"/>
        <w:rPr>
          <w:kern w:val="0"/>
        </w:rPr>
      </w:pPr>
      <w:bookmarkStart w:id="445" w:name="_Toc13760232"/>
      <w:r>
        <w:rPr>
          <w:kern w:val="0"/>
        </w:rPr>
        <w:t>(6)</w:t>
      </w:r>
      <w:r>
        <w:rPr>
          <w:rFonts w:hint="eastAsia"/>
          <w:kern w:val="0"/>
        </w:rPr>
        <w:t>污水处理站污泥送至固化车间经固化后安全填埋；</w:t>
      </w:r>
      <w:bookmarkEnd w:id="445"/>
    </w:p>
    <w:p>
      <w:pPr>
        <w:adjustRightInd w:val="0"/>
        <w:snapToGrid w:val="0"/>
        <w:ind w:firstLine="480"/>
        <w:rPr>
          <w:kern w:val="0"/>
        </w:rPr>
      </w:pPr>
      <w:r>
        <w:rPr>
          <w:kern w:val="0"/>
        </w:rPr>
        <w:t>(7)</w:t>
      </w:r>
      <w:r>
        <w:rPr>
          <w:rFonts w:hint="eastAsia"/>
          <w:kern w:val="0"/>
        </w:rPr>
        <w:t>强制循环蒸发系统产生盐泥主要成分为盐类及重金属，送至固化车间经固化后安全填埋；强制循环蒸发系统净化器产生的废物主要成分为废活性炭，送至回转窑进行焚烧处理；</w:t>
      </w:r>
    </w:p>
    <w:p>
      <w:pPr>
        <w:adjustRightInd w:val="0"/>
        <w:snapToGrid w:val="0"/>
        <w:ind w:firstLine="480"/>
        <w:rPr>
          <w:kern w:val="0"/>
        </w:rPr>
      </w:pPr>
      <w:r>
        <w:t>(8)</w:t>
      </w:r>
      <w:r>
        <w:rPr>
          <w:rFonts w:hint="eastAsia"/>
        </w:rPr>
        <w:t>生活垃圾由当地环卫部门进行统一处理。</w:t>
      </w:r>
    </w:p>
    <w:p>
      <w:pPr>
        <w:autoSpaceDE w:val="0"/>
        <w:autoSpaceDN w:val="0"/>
        <w:adjustRightInd w:val="0"/>
        <w:snapToGrid w:val="0"/>
        <w:ind w:firstLine="480"/>
      </w:pPr>
      <w:r>
        <w:rPr>
          <w:rFonts w:hint="eastAsia"/>
        </w:rPr>
        <w:t>由上可见，项目固废产生的固废大部分经本项目处理后送至安全填埋场进行填埋后，对周围环境及人体影响较小，不会造成二次污染，生活垃圾由环卫部门进行统一处理。可见本项目固废处置方式符合规范要求，处置方案可靠，对环境影响不大，是可行的。</w:t>
      </w:r>
    </w:p>
    <w:p>
      <w:pPr>
        <w:pStyle w:val="4"/>
      </w:pPr>
      <w:bookmarkStart w:id="446" w:name="_Toc13760233"/>
      <w:r>
        <w:rPr>
          <w:rFonts w:hint="eastAsia"/>
        </w:rPr>
        <w:t>6.6土壤环境影响分析</w:t>
      </w:r>
      <w:bookmarkEnd w:id="446"/>
    </w:p>
    <w:p>
      <w:pPr>
        <w:adjustRightInd w:val="0"/>
        <w:snapToGrid w:val="0"/>
        <w:ind w:firstLine="480"/>
        <w:rPr>
          <w:kern w:val="0"/>
        </w:rPr>
      </w:pPr>
      <w:r>
        <w:rPr>
          <w:rFonts w:hint="eastAsia"/>
          <w:kern w:val="0"/>
        </w:rPr>
        <w:t>改扩建的危废处理工艺与之前的环评没有变化，可能对土壤产生影响的环节主要为危险废物暂存库、废水处理车间和安全填埋场。</w:t>
      </w:r>
    </w:p>
    <w:p>
      <w:pPr>
        <w:adjustRightInd w:val="0"/>
        <w:snapToGrid w:val="0"/>
        <w:ind w:firstLine="480"/>
        <w:rPr>
          <w:kern w:val="0"/>
        </w:rPr>
      </w:pPr>
      <w:r>
        <w:rPr>
          <w:rFonts w:hint="eastAsia"/>
          <w:kern w:val="0"/>
        </w:rPr>
        <w:t>若危险废物贮存场所和废水处理车间发生泄露，可能会对周边的土壤环境造成不良影响。危险废物暂存库设施严格按照</w:t>
      </w:r>
      <w:r>
        <w:rPr>
          <w:kern w:val="0"/>
        </w:rPr>
        <w:t>(GB18597-2001)</w:t>
      </w:r>
      <w:r>
        <w:rPr>
          <w:rFonts w:hint="eastAsia"/>
          <w:kern w:val="0"/>
        </w:rPr>
        <w:t>有关规范设计，废水处理站各建构筑物按要求做好防渗措施，项目建成后，对周边土壤的影响较小。</w:t>
      </w:r>
    </w:p>
    <w:p>
      <w:pPr>
        <w:ind w:firstLine="480"/>
        <w:rPr>
          <w:rFonts w:asciiTheme="minorEastAsia" w:hAnsiTheme="minorEastAsia" w:eastAsiaTheme="minorEastAsia"/>
          <w:szCs w:val="24"/>
        </w:rPr>
      </w:pPr>
      <w:r>
        <w:rPr>
          <w:rFonts w:hint="eastAsia"/>
          <w:kern w:val="0"/>
        </w:rPr>
        <w:t>因此只要各个环节得到良好控制，可以将该项目对土壤的影响降至最低。</w:t>
      </w: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1906" w:h="16838"/>
          <w:pgMar w:top="1418" w:right="1134" w:bottom="1418" w:left="1134" w:header="851" w:footer="850" w:gutter="0"/>
          <w:cols w:space="425" w:num="1"/>
          <w:docGrid w:type="lines" w:linePitch="326" w:charSpace="0"/>
        </w:sectPr>
      </w:pPr>
    </w:p>
    <w:p>
      <w:pPr>
        <w:pStyle w:val="3"/>
        <w:spacing w:line="360" w:lineRule="auto"/>
      </w:pPr>
      <w:bookmarkStart w:id="447" w:name="_Toc13760234"/>
      <w:bookmarkStart w:id="448" w:name="_Toc503369004"/>
      <w:bookmarkStart w:id="449" w:name="_Toc354065863"/>
      <w:r>
        <w:rPr>
          <w:rFonts w:hint="eastAsia"/>
          <w:kern w:val="0"/>
        </w:rPr>
        <w:t>7污染防治对策</w:t>
      </w:r>
      <w:bookmarkEnd w:id="447"/>
      <w:bookmarkEnd w:id="448"/>
      <w:bookmarkEnd w:id="449"/>
    </w:p>
    <w:p>
      <w:pPr>
        <w:pStyle w:val="4"/>
        <w:spacing w:line="360" w:lineRule="auto"/>
        <w:rPr>
          <w:sz w:val="24"/>
          <w:szCs w:val="20"/>
        </w:rPr>
      </w:pPr>
      <w:bookmarkStart w:id="450" w:name="_Toc354065864"/>
      <w:bookmarkStart w:id="451" w:name="_Toc13760235"/>
      <w:bookmarkStart w:id="452" w:name="_Toc503369005"/>
      <w:r>
        <w:rPr>
          <w:rFonts w:hint="eastAsia"/>
          <w:lang w:val="zh-CN"/>
        </w:rPr>
        <w:t>7</w:t>
      </w:r>
      <w:r>
        <w:rPr>
          <w:lang w:val="zh-CN"/>
        </w:rPr>
        <w:t>.1</w:t>
      </w:r>
      <w:r>
        <w:rPr>
          <w:rFonts w:hint="eastAsia"/>
          <w:lang w:val="zh-CN"/>
        </w:rPr>
        <w:t>废气</w:t>
      </w:r>
      <w:bookmarkEnd w:id="450"/>
      <w:r>
        <w:rPr>
          <w:rFonts w:hint="eastAsia"/>
          <w:lang w:val="zh-CN"/>
        </w:rPr>
        <w:t>治理措施</w:t>
      </w:r>
      <w:bookmarkEnd w:id="451"/>
      <w:bookmarkEnd w:id="452"/>
    </w:p>
    <w:p>
      <w:pPr>
        <w:pStyle w:val="5"/>
        <w:spacing w:line="360" w:lineRule="auto"/>
      </w:pPr>
      <w:bookmarkStart w:id="453" w:name="_Toc354065865"/>
      <w:bookmarkStart w:id="454" w:name="_Toc503369006"/>
      <w:bookmarkStart w:id="455" w:name="_Toc13760236"/>
      <w:r>
        <w:rPr>
          <w:rFonts w:hint="eastAsia"/>
        </w:rPr>
        <w:t>7.1</w:t>
      </w:r>
      <w:r>
        <w:t>.1</w:t>
      </w:r>
      <w:bookmarkEnd w:id="453"/>
      <w:r>
        <w:rPr>
          <w:rFonts w:hint="eastAsia"/>
        </w:rPr>
        <w:t>危废暂存库</w:t>
      </w:r>
      <w:bookmarkEnd w:id="454"/>
      <w:bookmarkEnd w:id="455"/>
    </w:p>
    <w:p>
      <w:pPr>
        <w:pStyle w:val="178"/>
        <w:ind w:firstLine="480"/>
        <w:jc w:val="both"/>
        <w:rPr>
          <w:rFonts w:ascii="Times New Roman" w:hAnsi="Times New Roman"/>
        </w:rPr>
      </w:pPr>
      <w:r>
        <w:rPr>
          <w:rFonts w:hint="eastAsia" w:ascii="Times New Roman" w:hAnsi="Times New Roman"/>
        </w:rPr>
        <w:t>本项目各危废暂存库内为微负压，仓库内危废卸料、危废暂存及危废出料会挥发出少量有害气体，主要成分为</w:t>
      </w:r>
      <w:r>
        <w:rPr>
          <w:rFonts w:ascii="Times New Roman" w:hAnsi="Times New Roman"/>
        </w:rPr>
        <w:t>VOC</w:t>
      </w:r>
      <w:r>
        <w:rPr>
          <w:rFonts w:hint="eastAsia" w:ascii="Times New Roman" w:hAnsi="Times New Roman"/>
        </w:rPr>
        <w:t>、</w:t>
      </w:r>
      <w:r>
        <w:rPr>
          <w:rFonts w:ascii="Times New Roman" w:hAnsi="Times New Roman"/>
        </w:rPr>
        <w:t>H</w:t>
      </w:r>
      <w:r>
        <w:rPr>
          <w:rFonts w:ascii="Times New Roman" w:hAnsi="Times New Roman"/>
          <w:vertAlign w:val="subscript"/>
        </w:rPr>
        <w:t>2</w:t>
      </w:r>
      <w:r>
        <w:rPr>
          <w:rFonts w:ascii="Times New Roman" w:hAnsi="Times New Roman"/>
        </w:rPr>
        <w:t>S</w:t>
      </w:r>
      <w:r>
        <w:rPr>
          <w:rFonts w:hint="eastAsia" w:ascii="Times New Roman" w:hAnsi="Times New Roman"/>
        </w:rPr>
        <w:t>和</w:t>
      </w:r>
      <w:r>
        <w:rPr>
          <w:rFonts w:ascii="Times New Roman" w:hAnsi="Times New Roman"/>
        </w:rPr>
        <w:t>NH</w:t>
      </w:r>
      <w:r>
        <w:rPr>
          <w:rFonts w:ascii="Times New Roman" w:hAnsi="Times New Roman"/>
          <w:vertAlign w:val="subscript"/>
        </w:rPr>
        <w:t>3</w:t>
      </w:r>
      <w:r>
        <w:rPr>
          <w:rFonts w:hint="eastAsia" w:ascii="Times New Roman" w:hAnsi="Times New Roman"/>
        </w:rPr>
        <w:t>。</w:t>
      </w:r>
    </w:p>
    <w:p>
      <w:pPr>
        <w:pStyle w:val="178"/>
        <w:ind w:firstLine="480"/>
        <w:jc w:val="both"/>
        <w:rPr>
          <w:rFonts w:ascii="Times New Roman" w:hAnsi="Times New Roman"/>
        </w:rPr>
      </w:pPr>
      <w:r>
        <w:rPr>
          <w:rFonts w:hint="eastAsia" w:ascii="Times New Roman" w:hAnsi="Times New Roman"/>
        </w:rPr>
        <w:t>危废暂存仓库产生的废气经集气罩收集后，先利用</w:t>
      </w:r>
      <w:r>
        <w:rPr>
          <w:rFonts w:hint="eastAsia"/>
          <w:highlight w:val="yellow"/>
        </w:rPr>
        <w:t>液碱喷淋塔</w:t>
      </w:r>
      <w:r>
        <w:rPr>
          <w:rFonts w:hint="eastAsia"/>
        </w:rPr>
        <w:t>对酸雾进行吸收，再用</w:t>
      </w:r>
      <w:r>
        <w:rPr>
          <w:rFonts w:hint="eastAsia" w:ascii="Times New Roman" w:hAnsi="Times New Roman"/>
        </w:rPr>
        <w:t>排风设备送至紫外光系统进行处置，高能</w:t>
      </w:r>
      <w:r>
        <w:rPr>
          <w:rFonts w:ascii="Times New Roman" w:hAnsi="Times New Roman"/>
        </w:rPr>
        <w:t>UV</w:t>
      </w:r>
      <w:r>
        <w:rPr>
          <w:rFonts w:hint="eastAsia" w:ascii="Times New Roman" w:hAnsi="Times New Roman"/>
        </w:rPr>
        <w:t>紫外线光束及臭氧对</w:t>
      </w:r>
      <w:r>
        <w:rPr>
          <w:rFonts w:ascii="Times New Roman" w:hAnsi="Times New Roman"/>
        </w:rPr>
        <w:t>VOC</w:t>
      </w:r>
      <w:r>
        <w:rPr>
          <w:rFonts w:hint="eastAsia" w:ascii="Times New Roman" w:hAnsi="Times New Roman"/>
        </w:rPr>
        <w:t>及恶臭气体进行协同分解氧化反应，使臭气体物质降解为低分子化合物、水和二氧化碳。利用紫外光处理有机废气及恶臭废气净化技术是利用紫外光对有机危废进行分解氧化从而将其转化为水和二氧化碳的一种化学处理方法，化学反应过程非常复杂，暂存库废气进入到紫外光照射系统后，被不同波段的紫外光进行照射，废气中的氧气产生活性羟超氧阴离子自由基</w:t>
      </w:r>
      <w:r>
        <w:rPr>
          <w:rFonts w:ascii="Times New Roman" w:hAnsi="Times New Roman"/>
        </w:rPr>
        <w:t>(·O2-)</w:t>
      </w:r>
      <w:r>
        <w:rPr>
          <w:rFonts w:hint="eastAsia" w:ascii="Times New Roman" w:hAnsi="Times New Roman"/>
        </w:rPr>
        <w:t>，从而转化为一种具有安全化学能的活性物质，因此可以起到降解污染物的作用，相关的过程如下：</w:t>
      </w:r>
    </w:p>
    <w:p>
      <w:pPr>
        <w:pStyle w:val="178"/>
        <w:ind w:firstLine="480"/>
        <w:jc w:val="both"/>
        <w:rPr>
          <w:rFonts w:ascii="Times New Roman" w:hAnsi="Times New Roman"/>
          <w:lang w:val="pt-BR"/>
        </w:rPr>
      </w:pPr>
      <w:r>
        <w:rPr>
          <w:rFonts w:ascii="Times New Roman" w:hAnsi="Times New Roman"/>
          <w:lang w:val="pt-BR"/>
        </w:rPr>
        <w:t>UV+O</w:t>
      </w:r>
      <w:r>
        <w:rPr>
          <w:rFonts w:ascii="Times New Roman" w:hAnsi="Times New Roman"/>
          <w:vertAlign w:val="subscript"/>
          <w:lang w:val="pt-BR"/>
        </w:rPr>
        <w:t>2</w:t>
      </w:r>
      <w:r>
        <w:rPr>
          <w:rFonts w:ascii="Times New Roman" w:hAnsi="Times New Roman"/>
          <w:lang w:val="pt-BR"/>
        </w:rPr>
        <w:t>→O-+O</w:t>
      </w:r>
      <w:r>
        <w:rPr>
          <w:rFonts w:hint="eastAsia" w:hAnsi="宋体" w:cs="宋体"/>
          <w:lang w:val="pt-BR"/>
        </w:rPr>
        <w:t>※</w:t>
      </w:r>
      <w:r>
        <w:rPr>
          <w:rFonts w:ascii="Times New Roman" w:hAnsi="Times New Roman" w:cs="Times New Roman"/>
          <w:lang w:val="pt-BR"/>
        </w:rPr>
        <w:t>(</w:t>
      </w:r>
      <w:r>
        <w:rPr>
          <w:rFonts w:hint="eastAsia" w:ascii="Times New Roman" w:hAnsi="Times New Roman"/>
        </w:rPr>
        <w:t>活性氧</w:t>
      </w:r>
      <w:r>
        <w:rPr>
          <w:rFonts w:ascii="Times New Roman" w:hAnsi="Times New Roman"/>
          <w:lang w:val="pt-BR"/>
        </w:rPr>
        <w:t>)</w:t>
      </w:r>
    </w:p>
    <w:p>
      <w:pPr>
        <w:pStyle w:val="178"/>
        <w:ind w:firstLine="480"/>
        <w:jc w:val="both"/>
        <w:rPr>
          <w:rFonts w:ascii="Times New Roman" w:hAnsi="Times New Roman"/>
          <w:lang w:val="pt-BR"/>
        </w:rPr>
      </w:pPr>
      <w:r>
        <w:rPr>
          <w:rFonts w:ascii="Times New Roman" w:hAnsi="Times New Roman"/>
          <w:lang w:val="pt-BR"/>
        </w:rPr>
        <w:t>O</w:t>
      </w:r>
      <w:r>
        <w:rPr>
          <w:rFonts w:hint="eastAsia" w:hAnsi="宋体" w:cs="宋体"/>
          <w:lang w:val="pt-BR"/>
        </w:rPr>
        <w:t>※</w:t>
      </w:r>
      <w:r>
        <w:rPr>
          <w:rFonts w:ascii="Times New Roman" w:hAnsi="Times New Roman" w:cs="Times New Roman"/>
          <w:lang w:val="pt-BR"/>
        </w:rPr>
        <w:t>(</w:t>
      </w:r>
      <w:r>
        <w:rPr>
          <w:rFonts w:hint="eastAsia" w:ascii="Times New Roman" w:hAnsi="Times New Roman"/>
        </w:rPr>
        <w:t>活性氧</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→O</w:t>
      </w:r>
      <w:r>
        <w:rPr>
          <w:rFonts w:ascii="Times New Roman" w:hAnsi="Times New Roman"/>
          <w:vertAlign w:val="subscript"/>
          <w:lang w:val="pt-BR"/>
        </w:rPr>
        <w:t>3</w:t>
      </w:r>
    </w:p>
    <w:p>
      <w:pPr>
        <w:pStyle w:val="178"/>
        <w:ind w:firstLine="480"/>
        <w:jc w:val="both"/>
        <w:rPr>
          <w:rFonts w:ascii="Times New Roman" w:hAnsi="Times New Roman"/>
        </w:rPr>
      </w:pPr>
      <w:r>
        <w:rPr>
          <w:rFonts w:hint="eastAsia" w:ascii="Times New Roman" w:hAnsi="Times New Roman"/>
          <w:lang w:val="pt-BR"/>
        </w:rPr>
        <w:t>经紫外光设备处理后的气体送至</w:t>
      </w:r>
      <w:r>
        <w:rPr>
          <w:rFonts w:hint="eastAsia" w:ascii="Times New Roman" w:hAnsi="Times New Roman"/>
        </w:rPr>
        <w:t>活性炭纤维有机废气净化器。活性炭吸附塔采用卧式结构。活性炭吸附塔吸附饱和后，由人工更换新购活性炭，吸附剂采用微孔、中孔相结合的颗粒状活性炭。</w:t>
      </w:r>
    </w:p>
    <w:p>
      <w:pPr>
        <w:pStyle w:val="178"/>
        <w:ind w:firstLine="480"/>
        <w:jc w:val="both"/>
        <w:rPr>
          <w:rFonts w:ascii="Times New Roman" w:hAnsi="Times New Roman"/>
        </w:rPr>
      </w:pPr>
      <w:r>
        <w:rPr>
          <w:rFonts w:hint="eastAsia"/>
        </w:rPr>
        <w:t>液碱喷淋塔+</w:t>
      </w:r>
      <w:r>
        <w:rPr>
          <w:rFonts w:hint="eastAsia" w:ascii="Times New Roman" w:hAnsi="Times New Roman"/>
        </w:rPr>
        <w:t>紫外光系统</w:t>
      </w:r>
      <w:r>
        <w:rPr>
          <w:rFonts w:ascii="Times New Roman" w:hAnsi="Times New Roman"/>
        </w:rPr>
        <w:t>+</w:t>
      </w:r>
      <w:r>
        <w:rPr>
          <w:rFonts w:hint="eastAsia" w:ascii="Times New Roman" w:hAnsi="Times New Roman"/>
        </w:rPr>
        <w:t>活性炭纤维有机废气净化器的净化效率按</w:t>
      </w:r>
      <w:r>
        <w:rPr>
          <w:rFonts w:ascii="Times New Roman" w:hAnsi="Times New Roman"/>
        </w:rPr>
        <w:t>80%</w:t>
      </w:r>
      <w:r>
        <w:rPr>
          <w:rFonts w:hint="eastAsia" w:ascii="Times New Roman" w:hAnsi="Times New Roman"/>
        </w:rPr>
        <w:t>计，净化后的尾气</w:t>
      </w:r>
      <w:r>
        <w:rPr>
          <w:rFonts w:hint="eastAsia" w:ascii="Times New Roman" w:hAnsi="Times New Roman"/>
          <w:szCs w:val="24"/>
        </w:rPr>
        <w:t>排放量为12</w:t>
      </w:r>
      <w:r>
        <w:rPr>
          <w:rFonts w:ascii="Times New Roman" w:hAnsi="Times New Roman"/>
          <w:szCs w:val="24"/>
        </w:rPr>
        <w:t>000Nm</w:t>
      </w:r>
      <w:r>
        <w:rPr>
          <w:rFonts w:ascii="Times New Roman" w:hAnsi="Times New Roman"/>
          <w:szCs w:val="24"/>
          <w:vertAlign w:val="superscript"/>
        </w:rPr>
        <w:t>3</w:t>
      </w:r>
      <w:r>
        <w:rPr>
          <w:rFonts w:ascii="Times New Roman" w:hAnsi="Times New Roman"/>
          <w:szCs w:val="24"/>
        </w:rPr>
        <w:t>/h</w:t>
      </w:r>
      <w:r>
        <w:rPr>
          <w:rFonts w:hint="eastAsia" w:ascii="Times New Roman" w:hAnsi="Times New Roman"/>
          <w:szCs w:val="24"/>
        </w:rPr>
        <w:t>，主要污染物为</w:t>
      </w:r>
      <w:r>
        <w:rPr>
          <w:rFonts w:ascii="Times New Roman" w:hAnsi="Times New Roman"/>
          <w:szCs w:val="24"/>
        </w:rPr>
        <w:t>VOC 1.52mg/Nm</w:t>
      </w:r>
      <w:r>
        <w:rPr>
          <w:rFonts w:ascii="Times New Roman" w:hAnsi="Times New Roman"/>
          <w:szCs w:val="24"/>
          <w:vertAlign w:val="superscript"/>
        </w:rPr>
        <w:t>3</w:t>
      </w:r>
      <w:r>
        <w:rPr>
          <w:rFonts w:hint="eastAsia" w:ascii="Times New Roman" w:hAnsi="Times New Roman"/>
          <w:szCs w:val="24"/>
        </w:rPr>
        <w:t>，</w:t>
      </w:r>
      <w:r>
        <w:rPr>
          <w:rFonts w:ascii="Times New Roman" w:hAnsi="Times New Roman"/>
          <w:szCs w:val="24"/>
        </w:rPr>
        <w:t>H</w:t>
      </w:r>
      <w:r>
        <w:rPr>
          <w:rFonts w:ascii="Times New Roman" w:hAnsi="Times New Roman"/>
          <w:szCs w:val="24"/>
          <w:vertAlign w:val="subscript"/>
        </w:rPr>
        <w:t>2</w:t>
      </w:r>
      <w:r>
        <w:rPr>
          <w:rFonts w:ascii="Times New Roman" w:hAnsi="Times New Roman"/>
          <w:szCs w:val="24"/>
        </w:rPr>
        <w:t>S 0.08mg/Nm</w:t>
      </w:r>
      <w:r>
        <w:rPr>
          <w:rFonts w:ascii="Times New Roman" w:hAnsi="Times New Roman"/>
          <w:szCs w:val="24"/>
          <w:vertAlign w:val="superscript"/>
        </w:rPr>
        <w:t>3</w:t>
      </w:r>
      <w:r>
        <w:rPr>
          <w:rFonts w:hint="eastAsia" w:ascii="Times New Roman" w:hAnsi="Times New Roman"/>
          <w:szCs w:val="24"/>
        </w:rPr>
        <w:t>，</w:t>
      </w:r>
      <w:r>
        <w:rPr>
          <w:rFonts w:ascii="Times New Roman" w:hAnsi="Times New Roman"/>
          <w:szCs w:val="24"/>
        </w:rPr>
        <w:t>NH</w:t>
      </w:r>
      <w:r>
        <w:rPr>
          <w:rFonts w:ascii="Times New Roman" w:hAnsi="Times New Roman"/>
          <w:szCs w:val="24"/>
          <w:vertAlign w:val="subscript"/>
        </w:rPr>
        <w:t>3</w:t>
      </w:r>
      <w:r>
        <w:rPr>
          <w:rFonts w:ascii="Times New Roman" w:hAnsi="Times New Roman"/>
          <w:szCs w:val="24"/>
        </w:rPr>
        <w:t xml:space="preserve"> 2.40mg/Nm</w:t>
      </w:r>
      <w:r>
        <w:rPr>
          <w:rFonts w:ascii="Times New Roman" w:hAnsi="Times New Roman"/>
          <w:szCs w:val="24"/>
          <w:vertAlign w:val="superscript"/>
        </w:rPr>
        <w:t>3</w:t>
      </w:r>
      <w:r>
        <w:rPr>
          <w:rFonts w:hint="eastAsia" w:ascii="Times New Roman" w:hAnsi="Times New Roman"/>
        </w:rPr>
        <w:t>，可达到</w:t>
      </w:r>
      <w:r>
        <w:rPr>
          <w:rFonts w:hint="eastAsia" w:ascii="Times New Roman" w:hAnsi="宋体"/>
        </w:rPr>
        <w:t>《恶臭污染物排放标准》</w:t>
      </w:r>
      <w:r>
        <w:rPr>
          <w:rFonts w:ascii="Times New Roman" w:hAnsi="Times New Roman"/>
        </w:rPr>
        <w:t>(GB14554-93)</w:t>
      </w:r>
      <w:r>
        <w:rPr>
          <w:rFonts w:hint="eastAsia" w:ascii="Times New Roman" w:hAnsi="宋体"/>
        </w:rPr>
        <w:t>表</w:t>
      </w:r>
      <w:r>
        <w:rPr>
          <w:rFonts w:ascii="Times New Roman" w:hAnsi="Times New Roman"/>
        </w:rPr>
        <w:t>2</w:t>
      </w:r>
      <w:r>
        <w:rPr>
          <w:rFonts w:hint="eastAsia" w:ascii="Times New Roman" w:hAnsi="Times New Roman"/>
        </w:rPr>
        <w:t>限值和《工业企业挥发性有机物排放控制标准》</w:t>
      </w:r>
      <w:r>
        <w:rPr>
          <w:rFonts w:ascii="Times New Roman" w:hAnsi="Times New Roman"/>
        </w:rPr>
        <w:t>(DB13/2322-2016)</w:t>
      </w:r>
      <w:r>
        <w:rPr>
          <w:rFonts w:hint="eastAsia" w:ascii="Times New Roman" w:hAnsi="Times New Roman"/>
        </w:rPr>
        <w:t>表</w:t>
      </w:r>
      <w:r>
        <w:rPr>
          <w:rFonts w:ascii="Times New Roman" w:hAnsi="Times New Roman"/>
        </w:rPr>
        <w:t>1</w:t>
      </w:r>
      <w:r>
        <w:rPr>
          <w:rFonts w:hint="eastAsia" w:ascii="Times New Roman" w:hAnsi="Times New Roman"/>
        </w:rPr>
        <w:t>中其他行业非甲烷总烃排放限值。净化后的尾气经由</w:t>
      </w:r>
      <w:r>
        <w:rPr>
          <w:rFonts w:ascii="Times New Roman" w:hAnsi="Times New Roman"/>
        </w:rPr>
        <w:t>1</w:t>
      </w:r>
      <w:r>
        <w:rPr>
          <w:rFonts w:hint="eastAsia" w:ascii="Times New Roman" w:hAnsi="Times New Roman"/>
        </w:rPr>
        <w:t>根</w:t>
      </w:r>
      <w:r>
        <w:rPr>
          <w:rFonts w:ascii="Times New Roman" w:hAnsi="Times New Roman"/>
        </w:rPr>
        <w:t>20m</w:t>
      </w:r>
      <w:r>
        <w:rPr>
          <w:rFonts w:hint="eastAsia" w:ascii="Times New Roman" w:hAnsi="Times New Roman"/>
        </w:rPr>
        <w:t>高排气筒外排。本项目设置</w:t>
      </w:r>
      <w:r>
        <w:rPr>
          <w:rFonts w:ascii="Times New Roman" w:hAnsi="Times New Roman"/>
        </w:rPr>
        <w:t>2</w:t>
      </w:r>
      <w:r>
        <w:rPr>
          <w:rFonts w:hint="eastAsia" w:ascii="Times New Roman" w:hAnsi="Times New Roman"/>
        </w:rPr>
        <w:t>套活性炭纤维有机废气净化器，一备一用，防止当其中一套净化器发生故障时废气散排情况的发生。</w:t>
      </w:r>
    </w:p>
    <w:p>
      <w:pPr>
        <w:pStyle w:val="5"/>
        <w:spacing w:line="360" w:lineRule="auto"/>
      </w:pPr>
      <w:bookmarkStart w:id="456" w:name="_Toc503369007"/>
      <w:bookmarkStart w:id="457" w:name="_Toc13760237"/>
      <w:r>
        <w:rPr>
          <w:rFonts w:hint="eastAsia"/>
        </w:rPr>
        <w:t>7.1.2物化车间</w:t>
      </w:r>
      <w:bookmarkEnd w:id="456"/>
      <w:bookmarkEnd w:id="457"/>
    </w:p>
    <w:p>
      <w:pPr>
        <w:pStyle w:val="178"/>
        <w:ind w:firstLine="480"/>
        <w:jc w:val="both"/>
        <w:rPr>
          <w:rFonts w:ascii="Times New Roman" w:hAnsi="Times New Roman"/>
        </w:rPr>
      </w:pPr>
      <w:r>
        <w:rPr>
          <w:rFonts w:hint="eastAsia" w:ascii="Times New Roman" w:hAnsi="Times New Roman"/>
        </w:rPr>
        <w:t>物化处理车间所产生的废气主要为废酸、碱处理工段酸碱中和过程中产生的酸雾。本项目在物化车间设一座酸性气体吸收塔，废气经收集管道进入吸收塔处理后经</w:t>
      </w:r>
      <w:r>
        <w:rPr>
          <w:rFonts w:ascii="Times New Roman" w:hAnsi="Times New Roman"/>
        </w:rPr>
        <w:t>20m</w:t>
      </w:r>
      <w:r>
        <w:rPr>
          <w:rFonts w:hint="eastAsia" w:ascii="Times New Roman" w:hAnsi="Times New Roman"/>
        </w:rPr>
        <w:t>排气筒达标排放。吸收净化塔采用两级喷淋净化塔，内设两层填料，塔顶设除雾器层，酸性气体使用浓度为</w:t>
      </w:r>
      <w:r>
        <w:rPr>
          <w:rFonts w:ascii="Times New Roman" w:hAnsi="Times New Roman"/>
        </w:rPr>
        <w:t>20%NaOH</w:t>
      </w:r>
      <w:r>
        <w:rPr>
          <w:rFonts w:hint="eastAsia" w:ascii="Times New Roman" w:hAnsi="Times New Roman"/>
        </w:rPr>
        <w:t>溶液进行喷淋吸收，通过高</w:t>
      </w:r>
      <w:r>
        <w:rPr>
          <w:rFonts w:ascii="Times New Roman" w:hAnsi="Times New Roman"/>
        </w:rPr>
        <w:t>20m</w:t>
      </w:r>
      <w:r>
        <w:rPr>
          <w:rFonts w:hint="eastAsia" w:ascii="Times New Roman" w:hAnsi="Times New Roman"/>
        </w:rPr>
        <w:t>的烟囱进行排放，酸雾吸收塔的吸收效率按</w:t>
      </w:r>
      <w:r>
        <w:rPr>
          <w:rFonts w:ascii="Times New Roman" w:hAnsi="Times New Roman"/>
        </w:rPr>
        <w:t>95%</w:t>
      </w:r>
      <w:r>
        <w:rPr>
          <w:rFonts w:hint="eastAsia" w:ascii="Times New Roman" w:hAnsi="Times New Roman"/>
        </w:rPr>
        <w:t>计，</w:t>
      </w:r>
      <w:r>
        <w:rPr>
          <w:rFonts w:hint="eastAsia" w:ascii="Times New Roman" w:hAnsi="Times New Roman"/>
          <w:szCs w:val="24"/>
        </w:rPr>
        <w:t>中和反应池排气量为130</w:t>
      </w:r>
      <w:r>
        <w:rPr>
          <w:rFonts w:ascii="Times New Roman" w:hAnsi="Times New Roman"/>
          <w:szCs w:val="24"/>
        </w:rPr>
        <w:t>00Nm</w:t>
      </w:r>
      <w:r>
        <w:rPr>
          <w:rFonts w:ascii="Times New Roman" w:hAnsi="Times New Roman"/>
          <w:szCs w:val="24"/>
          <w:vertAlign w:val="superscript"/>
        </w:rPr>
        <w:t>3</w:t>
      </w:r>
      <w:r>
        <w:rPr>
          <w:rFonts w:ascii="Times New Roman" w:hAnsi="Times New Roman"/>
          <w:szCs w:val="24"/>
        </w:rPr>
        <w:t>/h</w:t>
      </w:r>
      <w:r>
        <w:rPr>
          <w:rFonts w:hint="eastAsia" w:ascii="Times New Roman" w:hAnsi="Times New Roman"/>
          <w:szCs w:val="24"/>
        </w:rPr>
        <w:t>，主要污染物为</w:t>
      </w:r>
      <w:r>
        <w:rPr>
          <w:rFonts w:ascii="Times New Roman" w:hAnsi="Times New Roman"/>
          <w:szCs w:val="24"/>
        </w:rPr>
        <w:t>HCl 5mg/Nm</w:t>
      </w:r>
      <w:r>
        <w:rPr>
          <w:rFonts w:ascii="Times New Roman" w:hAnsi="Times New Roman"/>
          <w:szCs w:val="24"/>
          <w:vertAlign w:val="superscript"/>
        </w:rPr>
        <w:t>3</w:t>
      </w:r>
      <w:r>
        <w:rPr>
          <w:rFonts w:hint="eastAsia" w:ascii="Times New Roman" w:hAnsi="Times New Roman"/>
          <w:szCs w:val="24"/>
        </w:rPr>
        <w:t>，硫酸雾</w:t>
      </w:r>
      <w:r>
        <w:rPr>
          <w:rFonts w:ascii="Times New Roman" w:hAnsi="Times New Roman"/>
          <w:szCs w:val="24"/>
        </w:rPr>
        <w:t xml:space="preserve"> 42.5mg/Nm</w:t>
      </w:r>
      <w:r>
        <w:rPr>
          <w:rFonts w:ascii="Times New Roman" w:hAnsi="Times New Roman"/>
          <w:szCs w:val="24"/>
          <w:vertAlign w:val="superscript"/>
        </w:rPr>
        <w:t>3</w:t>
      </w:r>
      <w:r>
        <w:rPr>
          <w:rFonts w:hint="eastAsia" w:ascii="Times New Roman" w:hAnsi="Times New Roman"/>
          <w:szCs w:val="24"/>
        </w:rPr>
        <w:t>，</w:t>
      </w:r>
      <w:r>
        <w:rPr>
          <w:rFonts w:ascii="Times New Roman" w:hAnsi="Times New Roman"/>
          <w:szCs w:val="24"/>
        </w:rPr>
        <w:t>HF 5mg/Nm</w:t>
      </w:r>
      <w:r>
        <w:rPr>
          <w:rFonts w:ascii="Times New Roman" w:hAnsi="Times New Roman"/>
          <w:szCs w:val="24"/>
          <w:vertAlign w:val="superscript"/>
        </w:rPr>
        <w:t>3</w:t>
      </w:r>
      <w:r>
        <w:rPr>
          <w:rFonts w:hint="eastAsia" w:ascii="Times New Roman" w:hAnsi="Times New Roman"/>
          <w:szCs w:val="24"/>
        </w:rPr>
        <w:t>可达到</w:t>
      </w:r>
      <w:r>
        <w:rPr>
          <w:rFonts w:hint="eastAsia" w:ascii="Times New Roman" w:hAnsi="宋体"/>
        </w:rPr>
        <w:t>《大气污染物综合排放标准》</w:t>
      </w:r>
      <w:r>
        <w:rPr>
          <w:rFonts w:ascii="Times New Roman" w:hAnsi="Times New Roman"/>
        </w:rPr>
        <w:t>(GB16297-1996)</w:t>
      </w:r>
      <w:r>
        <w:rPr>
          <w:rFonts w:hint="eastAsia" w:ascii="Times New Roman" w:hAnsi="宋体"/>
        </w:rPr>
        <w:t>表</w:t>
      </w:r>
      <w:r>
        <w:rPr>
          <w:rFonts w:ascii="Times New Roman" w:hAnsi="Times New Roman"/>
        </w:rPr>
        <w:t>2</w:t>
      </w:r>
      <w:r>
        <w:rPr>
          <w:rFonts w:hint="eastAsia" w:ascii="Times New Roman" w:hAnsi="宋体"/>
        </w:rPr>
        <w:t>二级标准</w:t>
      </w:r>
      <w:r>
        <w:rPr>
          <w:rFonts w:hint="eastAsia" w:ascii="Times New Roman" w:hAnsi="Times New Roman"/>
          <w:szCs w:val="24"/>
        </w:rPr>
        <w:t>。</w:t>
      </w:r>
      <w:r>
        <w:rPr>
          <w:rFonts w:hint="eastAsia" w:ascii="Times New Roman" w:hAnsi="Times New Roman"/>
        </w:rPr>
        <w:t>由于酸碱中和反应迅速，且喷淋塔对酸雾去除率高，因此外排的气体中酸雾含量低。</w:t>
      </w:r>
    </w:p>
    <w:p>
      <w:pPr>
        <w:pStyle w:val="178"/>
        <w:ind w:firstLine="480"/>
      </w:pPr>
      <w:r>
        <w:rPr>
          <w:rFonts w:hint="eastAsia"/>
        </w:rPr>
        <w:t>物化车间设置一套碱液洗涤塔，由集气罩、废气喷淋塔和废气排放系统组成。酸雾由抽负压的集气罩收集至酸雾吸收塔，以稀碱液(氢氧化钠溶液)作为吸收剂进行吸收净化处理，在酸雾吸收塔中烟气中的酸性气体与氢氧化钠溶液进行充分反应以达到除去酸性气体的目的。</w:t>
      </w:r>
    </w:p>
    <w:p>
      <w:pPr>
        <w:pStyle w:val="5"/>
      </w:pPr>
      <w:bookmarkStart w:id="458" w:name="_Toc354065868"/>
      <w:bookmarkStart w:id="459" w:name="_Toc13760238"/>
      <w:bookmarkStart w:id="460" w:name="_Toc503369008"/>
      <w:r>
        <w:rPr>
          <w:rFonts w:hint="eastAsia"/>
        </w:rPr>
        <w:t>7.</w:t>
      </w:r>
      <w:r>
        <w:t>1.</w:t>
      </w:r>
      <w:bookmarkEnd w:id="458"/>
      <w:r>
        <w:t>3</w:t>
      </w:r>
      <w:r>
        <w:rPr>
          <w:rFonts w:hint="eastAsia"/>
        </w:rPr>
        <w:t>焚烧车间</w:t>
      </w:r>
      <w:bookmarkEnd w:id="459"/>
      <w:bookmarkEnd w:id="460"/>
    </w:p>
    <w:p>
      <w:pPr>
        <w:pStyle w:val="161"/>
        <w:ind w:firstLine="480"/>
      </w:pPr>
      <w:r>
        <w:rPr>
          <w:rFonts w:hint="eastAsia"/>
        </w:rPr>
        <w:t>废气污染物源强主要针对焚烧废气进行，焚烧炉设计规模为100</w:t>
      </w:r>
      <w:r>
        <w:t>t/d</w:t>
      </w:r>
      <w:r>
        <w:rPr>
          <w:rFonts w:hint="eastAsia"/>
        </w:rPr>
        <w:t>，焚烧烟气量为</w:t>
      </w:r>
      <w:r>
        <w:t>1</w:t>
      </w:r>
      <w:r>
        <w:rPr>
          <w:rFonts w:hint="eastAsia"/>
        </w:rPr>
        <w:t>400</w:t>
      </w:r>
      <w:r>
        <w:t>0Nm</w:t>
      </w:r>
      <w:r>
        <w:rPr>
          <w:vertAlign w:val="superscript"/>
        </w:rPr>
        <w:t>3</w:t>
      </w:r>
      <w:r>
        <w:t>/h</w:t>
      </w:r>
      <w:r>
        <w:rPr>
          <w:rFonts w:hint="eastAsia"/>
        </w:rPr>
        <w:t>。</w:t>
      </w:r>
    </w:p>
    <w:p>
      <w:pPr>
        <w:pStyle w:val="161"/>
        <w:ind w:firstLine="480"/>
      </w:pPr>
      <w:r>
        <w:rPr>
          <w:rFonts w:hint="eastAsia"/>
        </w:rPr>
        <w:t>焚烧炉系统废气排放主要是废物焚烧后产生的烟气，焚烧烟气污染物排放具有不稳定、不均衡性，污染物视焚烧废物和焚烧条件而定，主要有酸性组分</w:t>
      </w:r>
      <w:r>
        <w:t>(SO</w:t>
      </w:r>
      <w:r>
        <w:rPr>
          <w:vertAlign w:val="subscript"/>
        </w:rPr>
        <w:t>2</w:t>
      </w:r>
      <w:r>
        <w:rPr>
          <w:rFonts w:hint="eastAsia"/>
        </w:rPr>
        <w:t>、</w:t>
      </w:r>
      <w:r>
        <w:t>NOx</w:t>
      </w:r>
      <w:r>
        <w:rPr>
          <w:rFonts w:hint="eastAsia"/>
        </w:rPr>
        <w:t>、</w:t>
      </w:r>
      <w:r>
        <w:t>HCl</w:t>
      </w:r>
      <w:r>
        <w:rPr>
          <w:rFonts w:hint="eastAsia"/>
        </w:rPr>
        <w:t>、</w:t>
      </w:r>
      <w:r>
        <w:t>HF</w:t>
      </w:r>
      <w:r>
        <w:rPr>
          <w:rFonts w:hint="eastAsia"/>
        </w:rPr>
        <w:t>、</w:t>
      </w:r>
      <w:r>
        <w:t>CO)</w:t>
      </w:r>
      <w:r>
        <w:rPr>
          <w:rFonts w:hint="eastAsia"/>
        </w:rPr>
        <w:t>、烟尘、挥发性重金属，二噁英类物质等。可燃危废经回转窑焚烧产生的烟气先进入二燃室进行充分燃烧，后进入余热锅炉回收热量，焚烧产生的烟气经由“</w:t>
      </w:r>
      <w:r>
        <w:t>SNCR</w:t>
      </w:r>
      <w:r>
        <w:rPr>
          <w:rFonts w:hint="eastAsia"/>
        </w:rPr>
        <w:t>脱硝系统</w:t>
      </w:r>
      <w:r>
        <w:t>+</w:t>
      </w:r>
      <w:r>
        <w:rPr>
          <w:rFonts w:hint="eastAsia"/>
        </w:rPr>
        <w:t>余热锅炉</w:t>
      </w:r>
      <w:r>
        <w:t>+</w:t>
      </w:r>
      <w:r>
        <w:rPr>
          <w:rFonts w:hint="eastAsia"/>
        </w:rPr>
        <w:t>急冷脱酸塔</w:t>
      </w:r>
      <w:r>
        <w:t>+</w:t>
      </w:r>
      <w:r>
        <w:rPr>
          <w:rFonts w:hint="eastAsia"/>
        </w:rPr>
        <w:t>干式反应器</w:t>
      </w:r>
      <w:r>
        <w:t>+</w:t>
      </w:r>
      <w:r>
        <w:rPr>
          <w:rFonts w:hint="eastAsia"/>
        </w:rPr>
        <w:t>袋式除尘器</w:t>
      </w:r>
      <w:r>
        <w:t>+</w:t>
      </w:r>
      <w:r>
        <w:rPr>
          <w:rFonts w:hint="eastAsia"/>
        </w:rPr>
        <w:t>喷淋洗涤塔</w:t>
      </w:r>
      <w:r>
        <w:t>+</w:t>
      </w:r>
      <w:r>
        <w:rPr>
          <w:rFonts w:hint="eastAsia"/>
        </w:rPr>
        <w:t>湿电除尘”组成的烟气处理系统处理后，经50</w:t>
      </w:r>
      <w:r>
        <w:t>m</w:t>
      </w:r>
      <w:r>
        <w:rPr>
          <w:rFonts w:hint="eastAsia"/>
        </w:rPr>
        <w:t>高的烟囱排放。焚烧废气量为</w:t>
      </w:r>
      <w:r>
        <w:t>1</w:t>
      </w:r>
      <w:r>
        <w:rPr>
          <w:rFonts w:hint="eastAsia"/>
        </w:rPr>
        <w:t>400</w:t>
      </w:r>
      <w:r>
        <w:t>0Nm</w:t>
      </w:r>
      <w:r>
        <w:rPr>
          <w:vertAlign w:val="superscript"/>
        </w:rPr>
        <w:t>3</w:t>
      </w:r>
      <w:r>
        <w:t>/h</w:t>
      </w:r>
      <w:r>
        <w:rPr>
          <w:rFonts w:hint="eastAsia"/>
        </w:rPr>
        <w:t>，主要污染物为烟尘</w:t>
      </w:r>
      <w:r>
        <w:t xml:space="preserve"> 30mg/Nm</w:t>
      </w:r>
      <w:r>
        <w:rPr>
          <w:vertAlign w:val="superscript"/>
        </w:rPr>
        <w:t>3</w:t>
      </w:r>
      <w:r>
        <w:rPr>
          <w:rFonts w:hint="eastAsia"/>
        </w:rPr>
        <w:t>，</w:t>
      </w:r>
      <w:r>
        <w:t>SO</w:t>
      </w:r>
      <w:r>
        <w:rPr>
          <w:vertAlign w:val="subscript"/>
        </w:rPr>
        <w:t>2</w:t>
      </w:r>
      <w:r>
        <w:t>100mg/Nm</w:t>
      </w:r>
      <w:r>
        <w:rPr>
          <w:vertAlign w:val="superscript"/>
        </w:rPr>
        <w:t>3</w:t>
      </w:r>
      <w:r>
        <w:rPr>
          <w:rFonts w:hint="eastAsia"/>
        </w:rPr>
        <w:t>，</w:t>
      </w:r>
      <w:r>
        <w:t>NOx 240mg/Nm</w:t>
      </w:r>
      <w:r>
        <w:rPr>
          <w:vertAlign w:val="superscript"/>
        </w:rPr>
        <w:t>3</w:t>
      </w:r>
      <w:r>
        <w:rPr>
          <w:rFonts w:hint="eastAsia"/>
        </w:rPr>
        <w:t>，</w:t>
      </w:r>
      <w:r>
        <w:t>HCl 30mg/Nm</w:t>
      </w:r>
      <w:r>
        <w:rPr>
          <w:vertAlign w:val="superscript"/>
        </w:rPr>
        <w:t>3</w:t>
      </w:r>
      <w:r>
        <w:rPr>
          <w:rFonts w:hint="eastAsia"/>
        </w:rPr>
        <w:t>，</w:t>
      </w:r>
      <w:r>
        <w:t>HF 6mg/Nm</w:t>
      </w:r>
      <w:r>
        <w:rPr>
          <w:vertAlign w:val="superscript"/>
        </w:rPr>
        <w:t>3</w:t>
      </w:r>
      <w:r>
        <w:rPr>
          <w:rFonts w:hint="eastAsia"/>
        </w:rPr>
        <w:t>，</w:t>
      </w:r>
      <w:r>
        <w:t>CO 50mg/Nm</w:t>
      </w:r>
      <w:r>
        <w:rPr>
          <w:vertAlign w:val="superscript"/>
        </w:rPr>
        <w:t>3</w:t>
      </w:r>
      <w:r>
        <w:rPr>
          <w:rFonts w:hint="eastAsia"/>
        </w:rPr>
        <w:t>，汞及其化合物</w:t>
      </w:r>
      <w:r>
        <w:t xml:space="preserve"> 0.05mg/Nm</w:t>
      </w:r>
      <w:r>
        <w:rPr>
          <w:vertAlign w:val="superscript"/>
        </w:rPr>
        <w:t>3</w:t>
      </w:r>
      <w:r>
        <w:rPr>
          <w:rFonts w:hint="eastAsia"/>
        </w:rPr>
        <w:t>，镉及其化合物</w:t>
      </w:r>
      <w:r>
        <w:t xml:space="preserve"> 0.04mg/Nm</w:t>
      </w:r>
      <w:r>
        <w:rPr>
          <w:vertAlign w:val="superscript"/>
        </w:rPr>
        <w:t>3</w:t>
      </w:r>
      <w:r>
        <w:rPr>
          <w:rFonts w:hint="eastAsia"/>
        </w:rPr>
        <w:t>，镍、砷及其化合物</w:t>
      </w:r>
      <w:r>
        <w:t xml:space="preserve"> 0.4mg/Nm</w:t>
      </w:r>
      <w:r>
        <w:rPr>
          <w:vertAlign w:val="superscript"/>
        </w:rPr>
        <w:t>3</w:t>
      </w:r>
      <w:r>
        <w:rPr>
          <w:rFonts w:hint="eastAsia"/>
        </w:rPr>
        <w:t>，铅及其化合物</w:t>
      </w:r>
      <w:r>
        <w:t xml:space="preserve"> 0.5mg/Nm</w:t>
      </w:r>
      <w:r>
        <w:rPr>
          <w:vertAlign w:val="superscript"/>
        </w:rPr>
        <w:t>3</w:t>
      </w:r>
      <w:r>
        <w:rPr>
          <w:rFonts w:hint="eastAsia"/>
        </w:rPr>
        <w:t>，</w:t>
      </w:r>
      <w:r>
        <w:rPr>
          <w:rFonts w:hint="eastAsia"/>
          <w:szCs w:val="21"/>
        </w:rPr>
        <w:t>铬、锡、锑、铜、锰及其化合物</w:t>
      </w:r>
      <w:r>
        <w:rPr>
          <w:szCs w:val="21"/>
        </w:rPr>
        <w:t xml:space="preserve"> 2.4</w:t>
      </w:r>
      <w:r>
        <w:t>mg/Nm</w:t>
      </w:r>
      <w:r>
        <w:rPr>
          <w:vertAlign w:val="superscript"/>
        </w:rPr>
        <w:t>3</w:t>
      </w:r>
      <w:r>
        <w:rPr>
          <w:rFonts w:hint="eastAsia"/>
          <w:szCs w:val="21"/>
        </w:rPr>
        <w:t>，二噁英类</w:t>
      </w:r>
      <w:r>
        <w:rPr>
          <w:szCs w:val="21"/>
        </w:rPr>
        <w:t xml:space="preserve"> 0.1</w:t>
      </w:r>
      <w:r>
        <w:t>TEQ ng/m</w:t>
      </w:r>
      <w:r>
        <w:rPr>
          <w:vertAlign w:val="superscript"/>
        </w:rPr>
        <w:t>3</w:t>
      </w:r>
      <w:r>
        <w:rPr>
          <w:rFonts w:hint="eastAsia"/>
        </w:rPr>
        <w:t>，焚烧炉排气筒高度可达到《危险废物焚烧污染控制标准》</w:t>
      </w:r>
      <w:r>
        <w:t>(GB18484-2001)</w:t>
      </w:r>
      <w:r>
        <w:rPr>
          <w:rFonts w:hint="eastAsia"/>
        </w:rPr>
        <w:t>表</w:t>
      </w:r>
      <w:r>
        <w:t>1</w:t>
      </w:r>
      <w:r>
        <w:rPr>
          <w:rFonts w:hint="eastAsia"/>
        </w:rPr>
        <w:t>中焚烧量为</w:t>
      </w:r>
      <w:r>
        <w:t>300-2000kg/h</w:t>
      </w:r>
      <w:r>
        <w:rPr>
          <w:rFonts w:hint="eastAsia"/>
        </w:rPr>
        <w:t>排气筒最低允许高度，技术性能可达到《危险废物焚烧污染控制标准》</w:t>
      </w:r>
      <w:r>
        <w:t>(GB18484-2001)</w:t>
      </w:r>
      <w:r>
        <w:rPr>
          <w:rFonts w:hint="eastAsia"/>
        </w:rPr>
        <w:t>表</w:t>
      </w:r>
      <w:r>
        <w:t>2</w:t>
      </w:r>
      <w:r>
        <w:rPr>
          <w:rFonts w:hint="eastAsia"/>
        </w:rPr>
        <w:t>中危险废物技术性能指标，污染物排放可达到《危险废物焚烧污染控制标准》</w:t>
      </w:r>
      <w:r>
        <w:t>(GB18484-2001)</w:t>
      </w:r>
      <w:r>
        <w:rPr>
          <w:rFonts w:hint="eastAsia"/>
        </w:rPr>
        <w:t>表</w:t>
      </w:r>
      <w:r>
        <w:t>3</w:t>
      </w:r>
      <w:r>
        <w:rPr>
          <w:rFonts w:hint="eastAsia"/>
        </w:rPr>
        <w:t>中焚烧量为</w:t>
      </w:r>
      <w:r>
        <w:t>300-2500kg/h</w:t>
      </w:r>
      <w:r>
        <w:rPr>
          <w:rFonts w:hint="eastAsia"/>
        </w:rPr>
        <w:t>大气污染物排放限值。</w:t>
      </w:r>
    </w:p>
    <w:p>
      <w:pPr>
        <w:pStyle w:val="161"/>
        <w:ind w:firstLine="480"/>
        <w:outlineLvl w:val="0"/>
      </w:pPr>
      <w:r>
        <w:t>(1)</w:t>
      </w:r>
      <w:r>
        <w:rPr>
          <w:rFonts w:hint="eastAsia"/>
        </w:rPr>
        <w:t>氮氧化物控制</w:t>
      </w:r>
    </w:p>
    <w:p>
      <w:pPr>
        <w:pStyle w:val="161"/>
        <w:ind w:firstLine="480"/>
        <w:rPr>
          <w:rFonts w:cs="Times New Roman"/>
          <w:kern w:val="0"/>
          <w:szCs w:val="20"/>
        </w:rPr>
      </w:pPr>
      <w:r>
        <w:rPr>
          <w:rFonts w:hint="eastAsia"/>
        </w:rPr>
        <w:t>项目</w:t>
      </w:r>
      <w:r>
        <w:t>NOx</w:t>
      </w:r>
      <w:r>
        <w:rPr>
          <w:rFonts w:hint="eastAsia"/>
        </w:rPr>
        <w:t>控制技术方法为选择性非催化还原法，采用尿素作为脱硝剂。由于尿素和</w:t>
      </w:r>
      <w:r>
        <w:t xml:space="preserve">NOx </w:t>
      </w:r>
      <w:r>
        <w:rPr>
          <w:rFonts w:hint="eastAsia"/>
        </w:rPr>
        <w:t>反应的温度范围局限在</w:t>
      </w:r>
      <w:r>
        <w:t>900</w:t>
      </w:r>
      <w:r>
        <w:rPr>
          <w:rFonts w:hint="eastAsia" w:ascii="宋体" w:hAnsi="宋体" w:eastAsia="宋体" w:cs="宋体"/>
        </w:rPr>
        <w:t>℃</w:t>
      </w:r>
      <w:r>
        <w:rPr>
          <w:rFonts w:cs="Times New Roman"/>
        </w:rPr>
        <w:t>~1050</w:t>
      </w:r>
      <w:r>
        <w:rPr>
          <w:rFonts w:hint="eastAsia" w:ascii="宋体" w:hAnsi="宋体" w:eastAsia="宋体" w:cs="宋体"/>
        </w:rPr>
        <w:t>℃</w:t>
      </w:r>
      <w:r>
        <w:rPr>
          <w:rFonts w:hint="eastAsia"/>
        </w:rPr>
        <w:t>的区域内，确保在此范围内喷入足够的尿素</w:t>
      </w:r>
      <w:r>
        <w:t>(</w:t>
      </w:r>
      <w:r>
        <w:rPr>
          <w:rFonts w:hint="eastAsia"/>
        </w:rPr>
        <w:t>尿素与氮氧化物的摩尔比控制在</w:t>
      </w:r>
      <w:r>
        <w:t>2:1</w:t>
      </w:r>
      <w:r>
        <w:rPr>
          <w:rFonts w:hint="eastAsia"/>
        </w:rPr>
        <w:t>左右</w:t>
      </w:r>
      <w:r>
        <w:t>)</w:t>
      </w:r>
      <w:r>
        <w:rPr>
          <w:rFonts w:hint="eastAsia"/>
        </w:rPr>
        <w:t>并使之与烟气充分混合以使</w:t>
      </w:r>
      <w:r>
        <w:t xml:space="preserve">NOx </w:t>
      </w:r>
      <w:r>
        <w:rPr>
          <w:rFonts w:hint="eastAsia"/>
        </w:rPr>
        <w:t>得到充分的反应，是有效控制</w:t>
      </w:r>
      <w:r>
        <w:t xml:space="preserve">NOx </w:t>
      </w:r>
      <w:r>
        <w:rPr>
          <w:rFonts w:hint="eastAsia"/>
        </w:rPr>
        <w:t>排放浓度的关键所在。</w:t>
      </w:r>
    </w:p>
    <w:p>
      <w:pPr>
        <w:pStyle w:val="161"/>
        <w:ind w:firstLine="480"/>
      </w:pPr>
      <w:r>
        <w:rPr>
          <w:rFonts w:hint="eastAsia"/>
        </w:rPr>
        <w:t>本项目在二燃室处安装一套烟气脱硝装置，脱氮装置包括喷射装置、尿素溶液储存及输送装置。人工将尿素投加到尿素水箱中，加水搅拌制备尿素浓溶液；尿素浓溶液由尿素水泵送入管道混合器，在混合器中，尿素溶液和喷射水泵的出水均匀混合，制备尿素稀释溶液。稀释溶液进入锅炉进口处的喷枪喷嘴，与烟气中的</w:t>
      </w:r>
      <w:r>
        <w:t>NOx</w:t>
      </w:r>
      <w:r>
        <w:rPr>
          <w:rFonts w:hint="eastAsia"/>
        </w:rPr>
        <w:t>发生化学反应，以达到脱氮目的。本项目烟气脱硝系统效率按</w:t>
      </w:r>
      <w:r>
        <w:t>40%</w:t>
      </w:r>
      <w:r>
        <w:rPr>
          <w:rFonts w:hint="eastAsia"/>
        </w:rPr>
        <w:t>计。</w:t>
      </w:r>
    </w:p>
    <w:p>
      <w:pPr>
        <w:pStyle w:val="161"/>
        <w:ind w:firstLine="480"/>
        <w:outlineLvl w:val="0"/>
      </w:pPr>
      <w:r>
        <w:t>(2)</w:t>
      </w:r>
      <w:r>
        <w:rPr>
          <w:rFonts w:hint="eastAsia"/>
        </w:rPr>
        <w:t>颗粒物控制</w:t>
      </w:r>
    </w:p>
    <w:p>
      <w:pPr>
        <w:pStyle w:val="161"/>
        <w:ind w:firstLine="480"/>
        <w:rPr>
          <w:kern w:val="0"/>
        </w:rPr>
      </w:pPr>
      <w:r>
        <w:rPr>
          <w:rFonts w:hint="eastAsia"/>
          <w:kern w:val="0"/>
        </w:rPr>
        <w:t>本项目焚烧尾气中烟尘先经高效布袋除尘器去除粒径较小部分，</w:t>
      </w:r>
      <w:r>
        <w:rPr>
          <w:rFonts w:hint="eastAsia"/>
        </w:rPr>
        <w:t>除尘后的烟气进入预冷塔，烟气与喷入的碱水混合，水被蒸发的同时烟气温度降低。降温后的烟气再进入洗涤塔，与喷入的碱液在填料层的均布、混合下，充分反应、中和，除去烟气中的酸性气体。脱酸后的烟气在湿电除尘器的高压电源作用下，除去碱水蒸发后的粉尘颗粒及细小液滴后再通过引风机的抽吸，将烟气送入烟囱，进行高空排放。</w:t>
      </w:r>
    </w:p>
    <w:p>
      <w:pPr>
        <w:pStyle w:val="161"/>
        <w:ind w:firstLine="480"/>
        <w:rPr>
          <w:kern w:val="0"/>
          <w:lang w:val="en-US"/>
        </w:rPr>
      </w:pPr>
      <w:r>
        <w:rPr>
          <w:rFonts w:hint="eastAsia"/>
        </w:rPr>
        <w:t>该除尘组合是一种成熟的处理工艺，在国内多家同类厂已投入使用，理论除尘效率可达</w:t>
      </w:r>
      <w:r>
        <w:t>99.9%</w:t>
      </w:r>
      <w:r>
        <w:rPr>
          <w:rFonts w:hint="eastAsia"/>
        </w:rPr>
        <w:t>以上，本次评价取</w:t>
      </w:r>
      <w:r>
        <w:t>99%</w:t>
      </w:r>
      <w:r>
        <w:rPr>
          <w:rFonts w:hint="eastAsia"/>
        </w:rPr>
        <w:t>的除尘效率是十分可靠的，可以保证焚烧尾气中的烟尘稳定达标。</w:t>
      </w:r>
    </w:p>
    <w:p>
      <w:pPr>
        <w:pStyle w:val="161"/>
        <w:ind w:firstLine="480"/>
        <w:outlineLvl w:val="0"/>
      </w:pPr>
      <w:r>
        <w:t>(3)</w:t>
      </w:r>
      <w:r>
        <w:rPr>
          <w:rFonts w:hint="eastAsia"/>
        </w:rPr>
        <w:t>酸性气体控制和消白烟</w:t>
      </w:r>
    </w:p>
    <w:p>
      <w:pPr>
        <w:pStyle w:val="161"/>
        <w:ind w:firstLine="480"/>
        <w:rPr>
          <w:kern w:val="0"/>
        </w:rPr>
      </w:pPr>
      <w:r>
        <w:rPr>
          <w:rFonts w:hint="eastAsia"/>
          <w:kern w:val="0"/>
        </w:rPr>
        <w:t>项目拟采取急冷脱酸塔</w:t>
      </w:r>
      <w:r>
        <w:rPr>
          <w:kern w:val="0"/>
        </w:rPr>
        <w:t>+</w:t>
      </w:r>
      <w:r>
        <w:rPr>
          <w:rFonts w:hint="eastAsia"/>
          <w:kern w:val="0"/>
        </w:rPr>
        <w:t>干式反应器</w:t>
      </w:r>
      <w:r>
        <w:rPr>
          <w:kern w:val="0"/>
        </w:rPr>
        <w:t>+</w:t>
      </w:r>
      <w:r>
        <w:rPr>
          <w:rFonts w:hint="eastAsia"/>
          <w:kern w:val="0"/>
        </w:rPr>
        <w:t>喷淋洗涤塔的组合工艺控制焚烧尾气中酸性气体排放。</w:t>
      </w:r>
    </w:p>
    <w:p>
      <w:pPr>
        <w:pStyle w:val="161"/>
        <w:ind w:firstLine="480"/>
      </w:pPr>
      <w:r>
        <w:rPr>
          <w:rFonts w:hint="eastAsia"/>
        </w:rPr>
        <w:t>经余热锅炉回收热量后的烟气进入急冷脱酸塔，为了在急冷的同时去除烟气中的部分酸性气体，使用急冷碱液作为急冷介质。急冷碱液通过泵加压后，采用双流体雾化器将急冷介质输送至</w:t>
      </w:r>
      <w:r>
        <w:rPr>
          <w:rFonts w:hint="eastAsia" w:ascii="宋体" w:hAnsi="宋体"/>
        </w:rPr>
        <w:t>急冷脱酸塔</w:t>
      </w:r>
      <w:r>
        <w:rPr>
          <w:rFonts w:hint="eastAsia"/>
        </w:rPr>
        <w:t>内，由</w:t>
      </w:r>
      <w:r>
        <w:rPr>
          <w:rFonts w:hint="eastAsia" w:ascii="宋体" w:hAnsi="宋体"/>
        </w:rPr>
        <w:t>急冷脱酸塔</w:t>
      </w:r>
      <w:r>
        <w:rPr>
          <w:rFonts w:hint="eastAsia"/>
        </w:rPr>
        <w:t>上部向下喷入，与烟气充分混合，达到急冷降温除酸的目的。</w:t>
      </w:r>
    </w:p>
    <w:p>
      <w:pPr>
        <w:pStyle w:val="161"/>
        <w:ind w:firstLine="480"/>
      </w:pPr>
      <w:r>
        <w:rPr>
          <w:rFonts w:hint="eastAsia"/>
        </w:rPr>
        <w:t>经急冷脱酸塔进行除酸后的烟气进入干式反应器。烟气与在干式反应器通入的消石灰粉以很高的传质速率进行混合反应，由于消石灰粉对着烟气流向喷入，依靠烟气气流使其散播于气流中，在烟气管中延长两者接触时间，反应生成的</w:t>
      </w:r>
      <w:r>
        <w:t>CaSO</w:t>
      </w:r>
      <w:r>
        <w:rPr>
          <w:vertAlign w:val="subscript"/>
        </w:rPr>
        <w:t>4</w:t>
      </w:r>
      <w:r>
        <w:rPr>
          <w:rFonts w:hint="eastAsia"/>
        </w:rPr>
        <w:t>、</w:t>
      </w:r>
      <w:r>
        <w:t>CaSO</w:t>
      </w:r>
      <w:r>
        <w:rPr>
          <w:vertAlign w:val="subscript"/>
        </w:rPr>
        <w:t>3</w:t>
      </w:r>
      <w:r>
        <w:rPr>
          <w:rFonts w:hint="eastAsia"/>
        </w:rPr>
        <w:t>、</w:t>
      </w:r>
      <w:r>
        <w:t>CaCl</w:t>
      </w:r>
      <w:r>
        <w:rPr>
          <w:vertAlign w:val="subscript"/>
        </w:rPr>
        <w:t>2</w:t>
      </w:r>
      <w:r>
        <w:rPr>
          <w:rFonts w:hint="eastAsia"/>
        </w:rPr>
        <w:t>和</w:t>
      </w:r>
      <w:r>
        <w:t>CaF</w:t>
      </w:r>
      <w:r>
        <w:rPr>
          <w:vertAlign w:val="subscript"/>
        </w:rPr>
        <w:t>2</w:t>
      </w:r>
      <w:r>
        <w:rPr>
          <w:rFonts w:hint="eastAsia"/>
        </w:rPr>
        <w:t>等反应物，最后附在袋式除尘器滤袋壁上，然后随袋式除尘器清灰落入灰斗中，同除尘器落灰一同排出。</w:t>
      </w:r>
    </w:p>
    <w:p>
      <w:pPr>
        <w:pStyle w:val="161"/>
        <w:ind w:firstLine="480"/>
      </w:pPr>
      <w:r>
        <w:rPr>
          <w:rFonts w:hint="eastAsia"/>
        </w:rPr>
        <w:t>同时，采用喷淋洗涤塔中和尾气中的酸性气体，中和剂采用氢氧化钠溶液，循环使用。保持中和液的碱性特征，以维持一定的酸性气体去除率。能够满足对</w:t>
      </w:r>
      <w:r>
        <w:t>HCl</w:t>
      </w:r>
      <w:r>
        <w:rPr>
          <w:rFonts w:hint="eastAsia"/>
        </w:rPr>
        <w:t>及</w:t>
      </w:r>
      <w:r>
        <w:t>HF</w:t>
      </w:r>
      <w:r>
        <w:rPr>
          <w:rFonts w:hint="eastAsia"/>
        </w:rPr>
        <w:t>的去除率不低于</w:t>
      </w:r>
      <w:r>
        <w:t>90%</w:t>
      </w:r>
      <w:r>
        <w:rPr>
          <w:rFonts w:hint="eastAsia"/>
        </w:rPr>
        <w:t>，对</w:t>
      </w:r>
      <w:r>
        <w:t>SO</w:t>
      </w:r>
      <w:r>
        <w:rPr>
          <w:vertAlign w:val="subscript"/>
        </w:rPr>
        <w:t>2</w:t>
      </w:r>
      <w:r>
        <w:rPr>
          <w:rFonts w:hint="eastAsia"/>
        </w:rPr>
        <w:t>的去除率不低于</w:t>
      </w:r>
      <w:r>
        <w:t>80%</w:t>
      </w:r>
      <w:r>
        <w:rPr>
          <w:rFonts w:hint="eastAsia"/>
        </w:rPr>
        <w:t>，可以保证焚烧尾气达标排放。项目采用的治理措施对酸性气体的去除是有效的。</w:t>
      </w:r>
    </w:p>
    <w:p>
      <w:pPr>
        <w:pStyle w:val="161"/>
        <w:ind w:firstLine="480"/>
      </w:pPr>
      <w:r>
        <w:rPr>
          <w:rFonts w:hint="eastAsia"/>
        </w:rPr>
        <w:t>湿电除尘器能够解决湿法脱硫或洗涤工艺带来的石膏雨、蓝烟问题，缓解下游烟道、烟囱的腐蚀，节约防腐成本。同时起到减少烟囱冒白烟的现象，又不会有烟气加热器存在的积渣及腐蚀的情况。其性能稳定可靠、效率高，可有效收集微细颗粒物</w:t>
      </w:r>
      <w:r>
        <w:t>(PM</w:t>
      </w:r>
      <w:r>
        <w:rPr>
          <w:vertAlign w:val="subscript"/>
        </w:rPr>
        <w:t>2.5</w:t>
      </w:r>
      <w:r>
        <w:rPr>
          <w:rFonts w:hint="eastAsia"/>
        </w:rPr>
        <w:t>粉尘、</w:t>
      </w:r>
      <w:r>
        <w:t>SO</w:t>
      </w:r>
      <w:r>
        <w:rPr>
          <w:vertAlign w:val="subscript"/>
        </w:rPr>
        <w:t>3</w:t>
      </w:r>
      <w:r>
        <w:rPr>
          <w:rFonts w:hint="eastAsia"/>
        </w:rPr>
        <w:t>酸雾、气溶胶</w:t>
      </w:r>
      <w:r>
        <w:t>)</w:t>
      </w:r>
      <w:r>
        <w:rPr>
          <w:rFonts w:hint="eastAsia"/>
        </w:rPr>
        <w:t>、重金属</w:t>
      </w:r>
      <w:r>
        <w:t>(Hg</w:t>
      </w:r>
      <w:r>
        <w:rPr>
          <w:rFonts w:hint="eastAsia"/>
        </w:rPr>
        <w:t>、</w:t>
      </w:r>
      <w:r>
        <w:t>As</w:t>
      </w:r>
      <w:r>
        <w:rPr>
          <w:rFonts w:hint="eastAsia"/>
        </w:rPr>
        <w:t>、</w:t>
      </w:r>
      <w:r>
        <w:t>Se</w:t>
      </w:r>
      <w:r>
        <w:rPr>
          <w:rFonts w:hint="eastAsia"/>
        </w:rPr>
        <w:t>、</w:t>
      </w:r>
      <w:r>
        <w:t>Pb</w:t>
      </w:r>
      <w:r>
        <w:rPr>
          <w:rFonts w:hint="eastAsia"/>
        </w:rPr>
        <w:t>、</w:t>
      </w:r>
      <w:r>
        <w:t>Cr)</w:t>
      </w:r>
      <w:r>
        <w:rPr>
          <w:rFonts w:hint="eastAsia"/>
        </w:rPr>
        <w:t>、有机污染物</w:t>
      </w:r>
      <w:r>
        <w:t>(</w:t>
      </w:r>
      <w:r>
        <w:rPr>
          <w:rFonts w:hint="eastAsia"/>
        </w:rPr>
        <w:t>多环芳烃、二恶英</w:t>
      </w:r>
      <w:r>
        <w:t>)</w:t>
      </w:r>
      <w:r>
        <w:rPr>
          <w:rFonts w:hint="eastAsia"/>
        </w:rPr>
        <w:t>、水等，烟尘排放最低可达</w:t>
      </w:r>
      <w:r>
        <w:t>10mg/m</w:t>
      </w:r>
      <w:r>
        <w:rPr>
          <w:vertAlign w:val="superscript"/>
        </w:rPr>
        <w:t>3</w:t>
      </w:r>
      <w:r>
        <w:rPr>
          <w:rFonts w:hint="eastAsia"/>
        </w:rPr>
        <w:t>甚至</w:t>
      </w:r>
      <w:r>
        <w:t>5mg/m</w:t>
      </w:r>
      <w:r>
        <w:rPr>
          <w:vertAlign w:val="superscript"/>
        </w:rPr>
        <w:t>3</w:t>
      </w:r>
      <w:r>
        <w:rPr>
          <w:rFonts w:hint="eastAsia"/>
        </w:rPr>
        <w:t>以下，实现超低排放，彻底解决烟囱排放问题，达到</w:t>
      </w:r>
      <w:r>
        <w:t>“</w:t>
      </w:r>
      <w:r>
        <w:rPr>
          <w:rFonts w:hint="eastAsia"/>
        </w:rPr>
        <w:t>一劳永逸</w:t>
      </w:r>
      <w:r>
        <w:t>”</w:t>
      </w:r>
      <w:r>
        <w:rPr>
          <w:rFonts w:hint="eastAsia"/>
        </w:rPr>
        <w:t>的效果。</w:t>
      </w:r>
    </w:p>
    <w:p>
      <w:pPr>
        <w:pStyle w:val="161"/>
        <w:ind w:firstLine="480"/>
        <w:outlineLvl w:val="0"/>
      </w:pPr>
      <w:r>
        <w:t>(4)</w:t>
      </w:r>
      <w:r>
        <w:rPr>
          <w:rFonts w:hint="eastAsia"/>
        </w:rPr>
        <w:t>重金属控制</w:t>
      </w:r>
    </w:p>
    <w:p>
      <w:pPr>
        <w:pStyle w:val="161"/>
        <w:ind w:firstLine="480"/>
        <w:rPr>
          <w:kern w:val="0"/>
        </w:rPr>
      </w:pPr>
      <w:r>
        <w:rPr>
          <w:rFonts w:hint="eastAsia"/>
          <w:kern w:val="0"/>
        </w:rPr>
        <w:t>在危险废物中的重金属及其化合物可以根据沸点及挥发性加以区分。</w:t>
      </w:r>
      <w:r>
        <w:rPr>
          <w:rFonts w:hint="eastAsia"/>
        </w:rPr>
        <w:t>大部分的重金属沸点很高，绝大部分残留于焚烧残渣中，熔融焚烧炉的熔融残渣会包容这些残渣，其毒性浸出效果等同玻璃固化</w:t>
      </w:r>
      <w:r>
        <w:rPr>
          <w:rFonts w:hint="eastAsia"/>
          <w:kern w:val="0"/>
        </w:rPr>
        <w:t>，但部分重金属的沸点小于炉体温度，容易升华或蒸发至废气中</w:t>
      </w:r>
    </w:p>
    <w:p>
      <w:pPr>
        <w:pStyle w:val="161"/>
        <w:ind w:firstLine="480"/>
        <w:rPr>
          <w:kern w:val="0"/>
        </w:rPr>
      </w:pPr>
      <w:r>
        <w:rPr>
          <w:rFonts w:hint="eastAsia"/>
          <w:kern w:val="0"/>
        </w:rPr>
        <w:t>重金属去除的最佳方式为通过降温的方式将易挥发的重金属冷凝，再用集尘设备与粒状污染物同时去除之。重金属在烟气中部分以气体形式存在，除了上述通过降温的方式将其冷凝后收集外，由于排放要求的提高，本项目烟气处理系统中采用干式反应器</w:t>
      </w:r>
      <w:r>
        <w:rPr>
          <w:kern w:val="0"/>
        </w:rPr>
        <w:t>(Ca(OH)</w:t>
      </w:r>
      <w:r>
        <w:rPr>
          <w:kern w:val="0"/>
          <w:vertAlign w:val="subscript"/>
        </w:rPr>
        <w:t>2</w:t>
      </w:r>
      <w:r>
        <w:rPr>
          <w:kern w:val="0"/>
        </w:rPr>
        <w:t>+</w:t>
      </w:r>
      <w:r>
        <w:rPr>
          <w:rFonts w:hint="eastAsia"/>
          <w:kern w:val="0"/>
        </w:rPr>
        <w:t>活性炭</w:t>
      </w:r>
      <w:r>
        <w:rPr>
          <w:kern w:val="0"/>
        </w:rPr>
        <w:t>)+</w:t>
      </w:r>
      <w:r>
        <w:rPr>
          <w:rFonts w:hint="eastAsia"/>
          <w:kern w:val="0"/>
        </w:rPr>
        <w:t>布袋除尘器收集处理方式，烟气中的气态重金属及重金属颗粒被活性炭捕捉下来，最后由布袋除尘器将活性炭粒子收集下来，以达到去除烟气中重金属的效果；除尘后的烟气经过喷淋洗涤塔，烟气在该塔中与喷淋碱液进行接触，对于烟气中所残留的含重粉尘可起到进一步的除尘作用，从而进一步提高重金属去除效率。</w:t>
      </w:r>
    </w:p>
    <w:p>
      <w:pPr>
        <w:pStyle w:val="161"/>
        <w:ind w:firstLine="480"/>
      </w:pPr>
      <w:r>
        <w:rPr>
          <w:rFonts w:hint="eastAsia"/>
          <w:kern w:val="0"/>
        </w:rPr>
        <w:t>据同行业实测资料，</w:t>
      </w:r>
      <w:r>
        <w:rPr>
          <w:kern w:val="0"/>
        </w:rPr>
        <w:t>Ca(OH)</w:t>
      </w:r>
      <w:r>
        <w:rPr>
          <w:kern w:val="0"/>
          <w:vertAlign w:val="subscript"/>
        </w:rPr>
        <w:t>2</w:t>
      </w:r>
      <w:r>
        <w:rPr>
          <w:kern w:val="0"/>
        </w:rPr>
        <w:t>+</w:t>
      </w:r>
      <w:r>
        <w:rPr>
          <w:rFonts w:hint="eastAsia"/>
          <w:kern w:val="0"/>
        </w:rPr>
        <w:t>活性炭</w:t>
      </w:r>
      <w:r>
        <w:rPr>
          <w:kern w:val="0"/>
        </w:rPr>
        <w:t>+</w:t>
      </w:r>
      <w:r>
        <w:rPr>
          <w:rFonts w:hint="eastAsia"/>
          <w:kern w:val="0"/>
        </w:rPr>
        <w:t>布袋除尘器</w:t>
      </w:r>
      <w:r>
        <w:rPr>
          <w:kern w:val="0"/>
        </w:rPr>
        <w:t>+</w:t>
      </w:r>
      <w:r>
        <w:rPr>
          <w:rFonts w:hint="eastAsia"/>
          <w:kern w:val="0"/>
        </w:rPr>
        <w:t>喷淋洗涤塔的组合工艺对焚烧过程中重金属的去除效率可达</w:t>
      </w:r>
      <w:r>
        <w:rPr>
          <w:kern w:val="0"/>
        </w:rPr>
        <w:t>90%</w:t>
      </w:r>
      <w:r>
        <w:rPr>
          <w:rFonts w:hint="eastAsia"/>
          <w:kern w:val="0"/>
        </w:rPr>
        <w:t>以上。</w:t>
      </w:r>
    </w:p>
    <w:p>
      <w:pPr>
        <w:pStyle w:val="161"/>
        <w:ind w:firstLine="480"/>
        <w:outlineLvl w:val="0"/>
      </w:pPr>
      <w:r>
        <w:t>(5)</w:t>
      </w:r>
      <w:r>
        <w:rPr>
          <w:rFonts w:hint="eastAsia"/>
        </w:rPr>
        <w:t>二噁英控制</w:t>
      </w:r>
    </w:p>
    <w:p>
      <w:pPr>
        <w:pStyle w:val="161"/>
        <w:ind w:firstLine="480"/>
        <w:rPr>
          <w:kern w:val="0"/>
        </w:rPr>
      </w:pPr>
      <w:r>
        <w:rPr>
          <w:rFonts w:hint="eastAsia"/>
          <w:kern w:val="0"/>
        </w:rPr>
        <w:t>项目采取以下措施控制二噁英的产生：</w:t>
      </w:r>
    </w:p>
    <w:p>
      <w:pPr>
        <w:pStyle w:val="161"/>
        <w:ind w:firstLine="480"/>
        <w:rPr>
          <w:kern w:val="0"/>
        </w:rPr>
      </w:pPr>
      <w:r>
        <w:rPr>
          <w:rFonts w:hint="eastAsia" w:ascii="宋体" w:hAnsi="宋体" w:eastAsia="宋体" w:cs="宋体"/>
          <w:kern w:val="0"/>
        </w:rPr>
        <w:t>①</w:t>
      </w:r>
      <w:r>
        <w:rPr>
          <w:rFonts w:hint="eastAsia"/>
          <w:kern w:val="0"/>
        </w:rPr>
        <w:t>固体废物经给料装置送入焚烧炉内由一次燃室燃烧，液体废物经加压泵喷入炉内雾化燃烧，燃烧产生的烟气则进入二次燃烧室，选用燃烧炉温度自动控制系统，使二燃室焚烧温度严格控制在</w:t>
      </w:r>
      <w:r>
        <w:rPr>
          <w:kern w:val="0"/>
        </w:rPr>
        <w:t>1100</w:t>
      </w:r>
      <w:r>
        <w:rPr>
          <w:rFonts w:hint="eastAsia" w:ascii="宋体" w:hAnsi="宋体" w:eastAsia="宋体" w:cs="宋体"/>
          <w:kern w:val="0"/>
        </w:rPr>
        <w:t>℃</w:t>
      </w:r>
      <w:r>
        <w:rPr>
          <w:rFonts w:hint="eastAsia"/>
          <w:kern w:val="0"/>
        </w:rPr>
        <w:t>以上</w:t>
      </w:r>
      <w:r>
        <w:rPr>
          <w:kern w:val="0"/>
        </w:rPr>
        <w:t>(PCDD/PCDF</w:t>
      </w:r>
      <w:r>
        <w:rPr>
          <w:rFonts w:hint="eastAsia"/>
          <w:kern w:val="0"/>
        </w:rPr>
        <w:t>等在</w:t>
      </w:r>
      <w:r>
        <w:rPr>
          <w:kern w:val="0"/>
        </w:rPr>
        <w:t>800</w:t>
      </w:r>
      <w:r>
        <w:rPr>
          <w:rFonts w:hint="eastAsia" w:ascii="宋体" w:hAnsi="宋体" w:eastAsia="宋体" w:cs="宋体"/>
          <w:kern w:val="0"/>
        </w:rPr>
        <w:t>℃</w:t>
      </w:r>
      <w:r>
        <w:rPr>
          <w:rFonts w:hint="eastAsia"/>
          <w:kern w:val="0"/>
        </w:rPr>
        <w:t>以上能完全分解</w:t>
      </w:r>
      <w:r>
        <w:rPr>
          <w:kern w:val="0"/>
        </w:rPr>
        <w:t>)</w:t>
      </w:r>
      <w:r>
        <w:rPr>
          <w:rFonts w:hint="eastAsia"/>
          <w:kern w:val="0"/>
        </w:rPr>
        <w:t>，并且烟气在</w:t>
      </w:r>
      <w:r>
        <w:rPr>
          <w:kern w:val="0"/>
        </w:rPr>
        <w:t>1100</w:t>
      </w:r>
      <w:r>
        <w:rPr>
          <w:rFonts w:hint="eastAsia" w:ascii="宋体" w:hAnsi="宋体" w:eastAsia="宋体" w:cs="宋体"/>
          <w:kern w:val="0"/>
        </w:rPr>
        <w:t>℃</w:t>
      </w:r>
      <w:r>
        <w:rPr>
          <w:rFonts w:hint="eastAsia"/>
          <w:kern w:val="0"/>
        </w:rPr>
        <w:t>以上的炉膛停留时间不少于</w:t>
      </w:r>
      <w:r>
        <w:rPr>
          <w:kern w:val="0"/>
        </w:rPr>
        <w:t>2</w:t>
      </w:r>
      <w:r>
        <w:rPr>
          <w:rFonts w:hint="eastAsia"/>
          <w:kern w:val="0"/>
        </w:rPr>
        <w:t>秒，炉内</w:t>
      </w:r>
      <w:r>
        <w:rPr>
          <w:kern w:val="0"/>
        </w:rPr>
        <w:t>CO</w:t>
      </w:r>
      <w:r>
        <w:rPr>
          <w:rFonts w:hint="eastAsia"/>
          <w:kern w:val="0"/>
        </w:rPr>
        <w:t>的浓度在</w:t>
      </w:r>
      <w:r>
        <w:rPr>
          <w:kern w:val="0"/>
        </w:rPr>
        <w:t>50ppm</w:t>
      </w:r>
      <w:r>
        <w:rPr>
          <w:rFonts w:hint="eastAsia"/>
          <w:kern w:val="0"/>
        </w:rPr>
        <w:t>，</w:t>
      </w:r>
      <w:r>
        <w:rPr>
          <w:kern w:val="0"/>
        </w:rPr>
        <w:t>O</w:t>
      </w:r>
      <w:r>
        <w:rPr>
          <w:kern w:val="0"/>
          <w:vertAlign w:val="subscript"/>
        </w:rPr>
        <w:t>2</w:t>
      </w:r>
      <w:r>
        <w:rPr>
          <w:rFonts w:hint="eastAsia"/>
          <w:kern w:val="0"/>
        </w:rPr>
        <w:t>的浓度在</w:t>
      </w:r>
      <w:r>
        <w:rPr>
          <w:kern w:val="0"/>
        </w:rPr>
        <w:t>6%</w:t>
      </w:r>
      <w:r>
        <w:rPr>
          <w:rFonts w:hint="eastAsia"/>
          <w:kern w:val="0"/>
        </w:rPr>
        <w:t>以上，并合理控制助燃空气的风量、温度和注入位置，即</w:t>
      </w:r>
      <w:r>
        <w:rPr>
          <w:kern w:val="0"/>
        </w:rPr>
        <w:t>“</w:t>
      </w:r>
      <w:r>
        <w:rPr>
          <w:rFonts w:hint="eastAsia"/>
          <w:kern w:val="0"/>
        </w:rPr>
        <w:t>三</w:t>
      </w:r>
      <w:r>
        <w:rPr>
          <w:kern w:val="0"/>
        </w:rPr>
        <w:t>T+E”</w:t>
      </w:r>
      <w:r>
        <w:rPr>
          <w:rFonts w:hint="eastAsia"/>
          <w:kern w:val="0"/>
        </w:rPr>
        <w:t>控制法，在上述条件下，可使原生二噁英</w:t>
      </w:r>
      <w:r>
        <w:rPr>
          <w:kern w:val="0"/>
        </w:rPr>
        <w:t>99.99%</w:t>
      </w:r>
      <w:r>
        <w:rPr>
          <w:rFonts w:hint="eastAsia"/>
          <w:kern w:val="0"/>
        </w:rPr>
        <w:t>得以分解。</w:t>
      </w:r>
    </w:p>
    <w:p>
      <w:pPr>
        <w:pStyle w:val="161"/>
        <w:ind w:firstLine="480"/>
        <w:rPr>
          <w:kern w:val="0"/>
        </w:rPr>
      </w:pPr>
      <w:r>
        <w:rPr>
          <w:rFonts w:hint="eastAsia" w:ascii="宋体" w:hAnsi="宋体" w:eastAsia="宋体" w:cs="宋体"/>
          <w:kern w:val="0"/>
        </w:rPr>
        <w:t>②</w:t>
      </w:r>
      <w:r>
        <w:rPr>
          <w:rFonts w:hint="eastAsia"/>
          <w:kern w:val="0"/>
        </w:rPr>
        <w:t>二燃室出口处的烟气温度为</w:t>
      </w:r>
      <w:r>
        <w:rPr>
          <w:kern w:val="0"/>
        </w:rPr>
        <w:t>1100</w:t>
      </w:r>
      <w:r>
        <w:rPr>
          <w:rFonts w:hint="eastAsia" w:ascii="宋体" w:hAnsi="宋体" w:eastAsia="宋体" w:cs="宋体"/>
          <w:kern w:val="0"/>
        </w:rPr>
        <w:t>℃</w:t>
      </w:r>
      <w:r>
        <w:rPr>
          <w:rFonts w:hint="eastAsia"/>
          <w:kern w:val="0"/>
        </w:rPr>
        <w:t>以上，为了满足后续阶段烟气处理对温度的要求，减少二噁英类的再合成，提高重金属在灰尘颗粒上的凝结，利用锅炉降温法，使烟气温度降到</w:t>
      </w:r>
      <w:r>
        <w:rPr>
          <w:kern w:val="0"/>
        </w:rPr>
        <w:t>600</w:t>
      </w:r>
      <w:r>
        <w:rPr>
          <w:rFonts w:hint="eastAsia"/>
          <w:kern w:val="0"/>
        </w:rPr>
        <w:t>～</w:t>
      </w:r>
      <w:r>
        <w:rPr>
          <w:kern w:val="0"/>
        </w:rPr>
        <w:t>500</w:t>
      </w:r>
      <w:r>
        <w:rPr>
          <w:rFonts w:hint="eastAsia" w:ascii="宋体" w:hAnsi="宋体" w:eastAsia="宋体" w:cs="宋体"/>
          <w:kern w:val="0"/>
        </w:rPr>
        <w:t>℃</w:t>
      </w:r>
      <w:r>
        <w:rPr>
          <w:rFonts w:hint="eastAsia"/>
          <w:kern w:val="0"/>
        </w:rPr>
        <w:t>后由出口烟道引出。</w:t>
      </w:r>
    </w:p>
    <w:p>
      <w:pPr>
        <w:pStyle w:val="161"/>
        <w:ind w:firstLine="480"/>
        <w:rPr>
          <w:kern w:val="0"/>
        </w:rPr>
      </w:pPr>
      <w:r>
        <w:rPr>
          <w:rFonts w:hint="eastAsia" w:ascii="宋体" w:hAnsi="宋体" w:eastAsia="宋体" w:cs="宋体"/>
          <w:kern w:val="0"/>
        </w:rPr>
        <w:t>③</w:t>
      </w:r>
      <w:r>
        <w:rPr>
          <w:rFonts w:hint="eastAsia"/>
          <w:kern w:val="0"/>
        </w:rPr>
        <w:t>急冷脱酸塔采用顺流式喷淋塔，高温烟气从喷淋塔项部进入，经过布气装置使烟气均匀地分布在塔内，喷淋塔顶部喷入急冷碱液，变频调节可以快速准确地调节给水流量。急冷碱液经塔内的旋转雾化喷头将浆液雾化成小于</w:t>
      </w:r>
      <w:r>
        <w:rPr>
          <w:kern w:val="0"/>
        </w:rPr>
        <w:t>50μm</w:t>
      </w:r>
      <w:r>
        <w:rPr>
          <w:rFonts w:hint="eastAsia"/>
          <w:kern w:val="0"/>
        </w:rPr>
        <w:t>微粒，直接与烟气进行传质传热交换，利用烟气的热量使喷淋的水分蒸发，与烟气直接接触使烟气温度急速下降，从</w:t>
      </w:r>
      <w:r>
        <w:rPr>
          <w:kern w:val="0"/>
        </w:rPr>
        <w:t>600</w:t>
      </w:r>
      <w:r>
        <w:rPr>
          <w:rFonts w:hint="eastAsia" w:ascii="宋体" w:hAnsi="宋体" w:eastAsia="宋体" w:cs="宋体"/>
          <w:kern w:val="0"/>
        </w:rPr>
        <w:t>℃</w:t>
      </w:r>
      <w:r>
        <w:rPr>
          <w:rFonts w:hint="eastAsia"/>
          <w:kern w:val="0"/>
        </w:rPr>
        <w:t>左右在</w:t>
      </w:r>
      <w:r>
        <w:rPr>
          <w:kern w:val="0"/>
        </w:rPr>
        <w:t>1S</w:t>
      </w:r>
      <w:r>
        <w:rPr>
          <w:rFonts w:hint="eastAsia"/>
          <w:kern w:val="0"/>
        </w:rPr>
        <w:t>内骤冷至</w:t>
      </w:r>
      <w:r>
        <w:rPr>
          <w:kern w:val="0"/>
        </w:rPr>
        <w:t>180</w:t>
      </w:r>
      <w:r>
        <w:rPr>
          <w:rFonts w:hint="eastAsia" w:ascii="宋体" w:hAnsi="宋体" w:eastAsia="宋体" w:cs="宋体"/>
          <w:kern w:val="0"/>
        </w:rPr>
        <w:t>℃</w:t>
      </w:r>
      <w:r>
        <w:rPr>
          <w:rFonts w:hint="eastAsia"/>
          <w:kern w:val="0"/>
        </w:rPr>
        <w:t>以下，尽量缩短烟气在处理和排放过程中处于</w:t>
      </w:r>
      <w:r>
        <w:rPr>
          <w:kern w:val="0"/>
        </w:rPr>
        <w:t>200</w:t>
      </w:r>
      <w:r>
        <w:rPr>
          <w:rFonts w:hint="eastAsia" w:ascii="宋体" w:hAnsi="宋体" w:eastAsia="宋体" w:cs="宋体"/>
          <w:kern w:val="0"/>
        </w:rPr>
        <w:t>℃</w:t>
      </w:r>
      <w:r>
        <w:rPr>
          <w:rFonts w:cs="Times New Roman"/>
          <w:kern w:val="0"/>
        </w:rPr>
        <w:t>~500</w:t>
      </w:r>
      <w:r>
        <w:rPr>
          <w:rFonts w:hint="eastAsia" w:ascii="宋体" w:hAnsi="宋体" w:eastAsia="宋体" w:cs="宋体"/>
          <w:kern w:val="0"/>
        </w:rPr>
        <w:t>℃</w:t>
      </w:r>
      <w:r>
        <w:rPr>
          <w:rFonts w:hint="eastAsia"/>
          <w:kern w:val="0"/>
        </w:rPr>
        <w:t>区域的时间，可以避开二噁英再合成的温度段，从而达到抑制二噁英再生成的目的。烟气在急冷的过程中，除了降温，还有洗涤、除尘、脱酸的作用。脱除的一部分飞灰从急冷塔底部排出，去后续工艺固化处理。</w:t>
      </w:r>
    </w:p>
    <w:p>
      <w:pPr>
        <w:pStyle w:val="161"/>
        <w:ind w:firstLine="480"/>
        <w:rPr>
          <w:kern w:val="0"/>
        </w:rPr>
      </w:pPr>
      <w:r>
        <w:rPr>
          <w:rFonts w:hint="eastAsia" w:ascii="宋体" w:hAnsi="宋体" w:eastAsia="宋体" w:cs="宋体"/>
          <w:kern w:val="0"/>
        </w:rPr>
        <w:t>④</w:t>
      </w:r>
      <w:r>
        <w:rPr>
          <w:rFonts w:hint="eastAsia"/>
        </w:rPr>
        <w:t>为了避免一些不确定性因素，</w:t>
      </w:r>
      <w:r>
        <w:rPr>
          <w:rFonts w:hint="eastAsia"/>
          <w:kern w:val="0"/>
        </w:rPr>
        <w:t>本项目烟气处理系统中采用湿电除尘</w:t>
      </w:r>
      <w:r>
        <w:rPr>
          <w:kern w:val="0"/>
        </w:rPr>
        <w:t>+</w:t>
      </w:r>
      <w:r>
        <w:rPr>
          <w:rFonts w:hint="eastAsia"/>
          <w:kern w:val="0"/>
        </w:rPr>
        <w:t>布袋除尘器收集处理方式，控制布袋除尘器入口烟气温度为</w:t>
      </w:r>
      <w:r>
        <w:rPr>
          <w:kern w:val="0"/>
        </w:rPr>
        <w:t>150</w:t>
      </w:r>
      <w:r>
        <w:rPr>
          <w:rFonts w:hint="eastAsia" w:ascii="宋体" w:hAnsi="宋体" w:eastAsia="宋体" w:cs="宋体"/>
          <w:kern w:val="0"/>
        </w:rPr>
        <w:t>℃</w:t>
      </w:r>
      <w:r>
        <w:rPr>
          <w:rFonts w:hint="eastAsia"/>
          <w:kern w:val="0"/>
        </w:rPr>
        <w:t>，使有害有机污染物凝结于飞灰上，布袋除尘器在集尘的同时也把这些有机物去除。使用湿电除尘对有机污染物的收集效果甚佳。</w:t>
      </w:r>
    </w:p>
    <w:p>
      <w:pPr>
        <w:pStyle w:val="161"/>
        <w:ind w:firstLine="480"/>
        <w:rPr>
          <w:kern w:val="0"/>
        </w:rPr>
      </w:pPr>
      <w:r>
        <w:rPr>
          <w:rFonts w:hint="eastAsia" w:ascii="宋体" w:hAnsi="宋体" w:eastAsia="宋体" w:cs="宋体"/>
          <w:kern w:val="0"/>
        </w:rPr>
        <w:t>⑤</w:t>
      </w:r>
      <w:r>
        <w:rPr>
          <w:rFonts w:hint="eastAsia"/>
          <w:kern w:val="0"/>
        </w:rPr>
        <w:t>本项目采取先进、可靠的全套自动控制系统，采用严格的管理手段，使焚烧系统和烟气净化工艺得以很好地执行。</w:t>
      </w:r>
    </w:p>
    <w:p>
      <w:pPr>
        <w:pStyle w:val="161"/>
        <w:ind w:firstLine="480"/>
        <w:rPr>
          <w:kern w:val="0"/>
        </w:rPr>
      </w:pPr>
      <w:r>
        <w:rPr>
          <w:kern w:val="0"/>
        </w:rPr>
        <w:t>(6)</w:t>
      </w:r>
      <w:r>
        <w:rPr>
          <w:rFonts w:hint="eastAsia"/>
          <w:kern w:val="0"/>
        </w:rPr>
        <w:t>烟气在线监控</w:t>
      </w:r>
    </w:p>
    <w:p>
      <w:pPr>
        <w:pStyle w:val="161"/>
        <w:ind w:firstLine="480"/>
        <w:rPr>
          <w:kern w:val="0"/>
        </w:rPr>
      </w:pPr>
      <w:r>
        <w:rPr>
          <w:rFonts w:hint="eastAsia"/>
          <w:kern w:val="0"/>
        </w:rPr>
        <w:t>在烟囱上设置尾气监测系统，实时监测向大气中排放的经过焚烧处理的废气成分，如</w:t>
      </w:r>
      <w:r>
        <w:rPr>
          <w:kern w:val="0"/>
        </w:rPr>
        <w:t>NOx</w:t>
      </w:r>
      <w:r>
        <w:rPr>
          <w:rFonts w:hint="eastAsia"/>
          <w:kern w:val="0"/>
        </w:rPr>
        <w:t>、</w:t>
      </w:r>
      <w:r>
        <w:rPr>
          <w:kern w:val="0"/>
        </w:rPr>
        <w:t>CO</w:t>
      </w:r>
      <w:r>
        <w:rPr>
          <w:rFonts w:hint="eastAsia"/>
          <w:kern w:val="0"/>
        </w:rPr>
        <w:t>、</w:t>
      </w:r>
      <w:r>
        <w:rPr>
          <w:kern w:val="0"/>
        </w:rPr>
        <w:t>SO</w:t>
      </w:r>
      <w:r>
        <w:rPr>
          <w:kern w:val="0"/>
          <w:vertAlign w:val="subscript"/>
        </w:rPr>
        <w:t>2</w:t>
      </w:r>
      <w:r>
        <w:rPr>
          <w:rFonts w:hint="eastAsia"/>
          <w:kern w:val="0"/>
        </w:rPr>
        <w:t>、</w:t>
      </w:r>
      <w:r>
        <w:rPr>
          <w:kern w:val="0"/>
        </w:rPr>
        <w:t>HCl</w:t>
      </w:r>
      <w:r>
        <w:rPr>
          <w:rFonts w:hint="eastAsia"/>
          <w:kern w:val="0"/>
        </w:rPr>
        <w:t>、粉尘等。当其中某项指标超限时，在控制室产生声光报警，同时启动联锁保护程序，使整个焚烧系统处于正常工作状态。</w:t>
      </w:r>
    </w:p>
    <w:p>
      <w:pPr>
        <w:pStyle w:val="161"/>
        <w:ind w:firstLine="480"/>
        <w:rPr>
          <w:kern w:val="0"/>
        </w:rPr>
      </w:pPr>
      <w:r>
        <w:rPr>
          <w:rFonts w:hint="eastAsia"/>
          <w:kern w:val="0"/>
        </w:rPr>
        <w:t>由此可见，本项目设计采用成熟的焚烧要工艺和设备，并配套完善的烟气处理设施，将各污染物从产生到排放的不同环节进行严密控制，正常工况下可确保排放烟气中的各污染物排放浓度满足排放标准限值要求。</w:t>
      </w:r>
    </w:p>
    <w:p>
      <w:pPr>
        <w:pStyle w:val="161"/>
        <w:ind w:firstLine="480"/>
        <w:outlineLvl w:val="0"/>
        <w:rPr>
          <w:kern w:val="0"/>
        </w:rPr>
      </w:pPr>
      <w:r>
        <w:rPr>
          <w:kern w:val="0"/>
        </w:rPr>
        <w:t>(7)</w:t>
      </w:r>
      <w:r>
        <w:rPr>
          <w:rFonts w:hint="eastAsia"/>
          <w:kern w:val="0"/>
        </w:rPr>
        <w:t>无组织废气控制</w:t>
      </w:r>
    </w:p>
    <w:p>
      <w:pPr>
        <w:pStyle w:val="161"/>
        <w:ind w:firstLine="480"/>
      </w:pPr>
      <w:r>
        <w:rPr>
          <w:rFonts w:hint="eastAsia"/>
        </w:rPr>
        <w:t>由于本项目焚烧工艺从进料到烟气排放均处于微负压状态，因此，整个焚烧装置正常情况下泄漏量很小。系统采用工业控制机、</w:t>
      </w:r>
      <w:r>
        <w:t xml:space="preserve">PLC </w:t>
      </w:r>
      <w:r>
        <w:rPr>
          <w:rFonts w:hint="eastAsia"/>
        </w:rPr>
        <w:t>组成集散控制系统对焚烧过程进行动态监控，可及时了解系统的运行状况。当自动监控系统失灵时，或焚烧处理设施因故障应急排出和设施维修保养而停用时，自动停止装置启动，马上停炉。同时，应急系统自动启动，以保证焚烧炉处于负压状态，防止炉内气体爆炸或有害气体外泄到车间内。</w:t>
      </w:r>
    </w:p>
    <w:p>
      <w:pPr>
        <w:pStyle w:val="161"/>
        <w:ind w:firstLine="480"/>
      </w:pPr>
      <w:r>
        <w:rPr>
          <w:rFonts w:hint="eastAsia"/>
        </w:rPr>
        <w:t>对于焚烧中产生的灰渣，系统采用机械自动出灰，且灰渣周转箱采用阔口型设计，上部设有盖板，防止出灰时和运输过程中灰渣外落。同时，除尘器飞灰也采用密闭灰渣周转箱，防止扬尘及泄漏现象。</w:t>
      </w:r>
    </w:p>
    <w:p>
      <w:pPr>
        <w:pStyle w:val="161"/>
        <w:ind w:firstLine="480"/>
        <w:rPr>
          <w:kern w:val="0"/>
        </w:rPr>
      </w:pPr>
      <w:r>
        <w:rPr>
          <w:rFonts w:hint="eastAsia"/>
        </w:rPr>
        <w:t>综上所述，在正常情况下，通过采取上述各种措施后，整个生产过程从收集、运输、贮存到焚烧处理整个过程均可有效减少废气的无组织排放。</w:t>
      </w:r>
    </w:p>
    <w:p>
      <w:pPr>
        <w:pStyle w:val="161"/>
        <w:ind w:firstLine="480"/>
        <w:outlineLvl w:val="0"/>
      </w:pPr>
      <w:r>
        <w:t>(8)</w:t>
      </w:r>
      <w:r>
        <w:rPr>
          <w:rFonts w:hint="eastAsia"/>
        </w:rPr>
        <w:t>技术和环保可达性</w:t>
      </w:r>
    </w:p>
    <w:p>
      <w:pPr>
        <w:pStyle w:val="161"/>
        <w:ind w:firstLine="480"/>
      </w:pPr>
      <w:r>
        <w:rPr>
          <w:rFonts w:hint="eastAsia"/>
        </w:rPr>
        <w:t>参照《危险废物集中焚烧处置工程建设技术规范》</w:t>
      </w:r>
      <w:r>
        <w:t>(HJ/T176</w:t>
      </w:r>
      <w:r>
        <w:rPr>
          <w:rFonts w:hint="eastAsia"/>
        </w:rPr>
        <w:t>－</w:t>
      </w:r>
      <w:r>
        <w:t>2005)</w:t>
      </w:r>
      <w:r>
        <w:rPr>
          <w:rFonts w:hint="eastAsia"/>
        </w:rPr>
        <w:t>、《危险废物焚烧污染控制标准》</w:t>
      </w:r>
      <w:r>
        <w:t>(GB18484-2001)</w:t>
      </w:r>
      <w:r>
        <w:rPr>
          <w:rFonts w:hint="eastAsia"/>
        </w:rPr>
        <w:t>的要求的参数值进行分析，具体情况见表7.1—1。</w:t>
      </w:r>
    </w:p>
    <w:p>
      <w:pPr>
        <w:pStyle w:val="161"/>
        <w:ind w:firstLine="480"/>
      </w:pPr>
      <w:r>
        <w:rPr>
          <w:rFonts w:hint="eastAsia"/>
        </w:rPr>
        <w:t>表7.1—1               本项目焚烧炉系统设计技术性能指标</w:t>
      </w:r>
    </w:p>
    <w:tbl>
      <w:tblPr>
        <w:tblStyle w:val="88"/>
        <w:tblW w:w="9854" w:type="dxa"/>
        <w:tblInd w:w="0" w:type="dxa"/>
        <w:tblLayout w:type="fixed"/>
        <w:tblCellMar>
          <w:top w:w="0" w:type="dxa"/>
          <w:left w:w="108" w:type="dxa"/>
          <w:bottom w:w="0" w:type="dxa"/>
          <w:right w:w="108" w:type="dxa"/>
        </w:tblCellMar>
      </w:tblPr>
      <w:tblGrid>
        <w:gridCol w:w="3123"/>
        <w:gridCol w:w="1655"/>
        <w:gridCol w:w="1353"/>
        <w:gridCol w:w="1736"/>
        <w:gridCol w:w="1987"/>
      </w:tblGrid>
      <w:tr>
        <w:tblPrEx>
          <w:tblCellMar>
            <w:top w:w="0" w:type="dxa"/>
            <w:left w:w="108" w:type="dxa"/>
            <w:bottom w:w="0" w:type="dxa"/>
            <w:right w:w="108" w:type="dxa"/>
          </w:tblCellMar>
        </w:tblPrEx>
        <w:trPr>
          <w:trHeight w:val="270" w:hRule="atLeast"/>
        </w:trPr>
        <w:tc>
          <w:tcPr>
            <w:tcW w:w="3123" w:type="dxa"/>
            <w:vMerge w:val="restart"/>
            <w:tcBorders>
              <w:top w:val="single" w:color="auto" w:sz="12"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指标</w:t>
            </w:r>
          </w:p>
        </w:tc>
        <w:tc>
          <w:tcPr>
            <w:tcW w:w="3008" w:type="dxa"/>
            <w:gridSpan w:val="2"/>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本项目焚烧炉系统</w:t>
            </w:r>
          </w:p>
        </w:tc>
        <w:tc>
          <w:tcPr>
            <w:tcW w:w="3723" w:type="dxa"/>
            <w:gridSpan w:val="2"/>
            <w:tcBorders>
              <w:top w:val="single" w:color="auto" w:sz="12" w:space="0"/>
              <w:left w:val="dotted" w:color="auto" w:sz="4" w:space="0"/>
              <w:bottom w:val="dotted" w:color="auto" w:sz="4" w:space="0"/>
            </w:tcBorders>
            <w:vAlign w:val="center"/>
          </w:tcPr>
          <w:p>
            <w:pPr>
              <w:spacing w:line="240" w:lineRule="atLeast"/>
              <w:ind w:firstLine="0" w:firstLineChars="0"/>
              <w:jc w:val="center"/>
              <w:rPr>
                <w:sz w:val="21"/>
              </w:rPr>
            </w:pPr>
            <w:r>
              <w:rPr>
                <w:rFonts w:hint="eastAsia"/>
                <w:sz w:val="21"/>
              </w:rPr>
              <w:t>标准值</w:t>
            </w:r>
          </w:p>
        </w:tc>
      </w:tr>
      <w:tr>
        <w:tblPrEx>
          <w:tblCellMar>
            <w:top w:w="0" w:type="dxa"/>
            <w:left w:w="108" w:type="dxa"/>
            <w:bottom w:w="0" w:type="dxa"/>
            <w:right w:w="108" w:type="dxa"/>
          </w:tblCellMar>
        </w:tblPrEx>
        <w:trPr>
          <w:trHeight w:val="210" w:hRule="atLeast"/>
        </w:trPr>
        <w:tc>
          <w:tcPr>
            <w:tcW w:w="3123"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655"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焚烧炉体</w:t>
            </w:r>
          </w:p>
        </w:tc>
        <w:tc>
          <w:tcPr>
            <w:tcW w:w="135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二燃室</w:t>
            </w:r>
          </w:p>
        </w:tc>
        <w:tc>
          <w:tcPr>
            <w:tcW w:w="1736"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HJ/T176-2005</w:t>
            </w:r>
          </w:p>
        </w:tc>
        <w:tc>
          <w:tcPr>
            <w:tcW w:w="1987"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sz w:val="21"/>
              </w:rPr>
              <w:t>GB18484-2001</w:t>
            </w:r>
          </w:p>
        </w:tc>
      </w:tr>
      <w:tr>
        <w:tblPrEx>
          <w:tblCellMar>
            <w:top w:w="0" w:type="dxa"/>
            <w:left w:w="108" w:type="dxa"/>
            <w:bottom w:w="0" w:type="dxa"/>
            <w:right w:w="108" w:type="dxa"/>
          </w:tblCellMar>
        </w:tblPrEx>
        <w:trPr>
          <w:trHeight w:val="385" w:hRule="atLeast"/>
        </w:trPr>
        <w:tc>
          <w:tcPr>
            <w:tcW w:w="3123"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温度</w:t>
            </w:r>
            <w:r>
              <w:rPr>
                <w:sz w:val="21"/>
              </w:rPr>
              <w:t>(</w:t>
            </w:r>
            <w:r>
              <w:rPr>
                <w:rFonts w:hint="eastAsia"/>
                <w:sz w:val="21"/>
              </w:rPr>
              <w:t>℃</w:t>
            </w:r>
            <w:r>
              <w:rPr>
                <w:sz w:val="21"/>
              </w:rPr>
              <w:t>)</w:t>
            </w:r>
          </w:p>
        </w:tc>
        <w:tc>
          <w:tcPr>
            <w:tcW w:w="1655"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135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≥1100</w:t>
            </w:r>
          </w:p>
        </w:tc>
        <w:tc>
          <w:tcPr>
            <w:tcW w:w="1736"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≥1100</w:t>
            </w:r>
          </w:p>
        </w:tc>
        <w:tc>
          <w:tcPr>
            <w:tcW w:w="1987"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≥1100</w:t>
            </w:r>
          </w:p>
        </w:tc>
      </w:tr>
      <w:tr>
        <w:tblPrEx>
          <w:tblCellMar>
            <w:top w:w="0" w:type="dxa"/>
            <w:left w:w="108" w:type="dxa"/>
            <w:bottom w:w="0" w:type="dxa"/>
            <w:right w:w="108" w:type="dxa"/>
          </w:tblCellMar>
        </w:tblPrEx>
        <w:trPr>
          <w:trHeight w:val="385" w:hRule="atLeast"/>
        </w:trPr>
        <w:tc>
          <w:tcPr>
            <w:tcW w:w="312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烟气停留时间</w:t>
            </w:r>
            <w:r>
              <w:rPr>
                <w:sz w:val="21"/>
              </w:rPr>
              <w:t>(s)</w:t>
            </w:r>
          </w:p>
        </w:tc>
        <w:tc>
          <w:tcPr>
            <w:tcW w:w="165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13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w:t>
            </w:r>
          </w:p>
        </w:tc>
        <w:tc>
          <w:tcPr>
            <w:tcW w:w="173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w:t>
            </w:r>
          </w:p>
        </w:tc>
        <w:tc>
          <w:tcPr>
            <w:tcW w:w="198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≥2.0</w:t>
            </w:r>
          </w:p>
        </w:tc>
      </w:tr>
      <w:tr>
        <w:tblPrEx>
          <w:tblCellMar>
            <w:top w:w="0" w:type="dxa"/>
            <w:left w:w="108" w:type="dxa"/>
            <w:bottom w:w="0" w:type="dxa"/>
            <w:right w:w="108" w:type="dxa"/>
          </w:tblCellMar>
        </w:tblPrEx>
        <w:trPr>
          <w:trHeight w:val="385" w:hRule="atLeast"/>
        </w:trPr>
        <w:tc>
          <w:tcPr>
            <w:tcW w:w="312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燃烧效率</w:t>
            </w:r>
            <w:r>
              <w:rPr>
                <w:sz w:val="21"/>
              </w:rPr>
              <w:t>(%)</w:t>
            </w:r>
          </w:p>
        </w:tc>
        <w:tc>
          <w:tcPr>
            <w:tcW w:w="165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≥99.9</w:t>
            </w:r>
          </w:p>
        </w:tc>
        <w:tc>
          <w:tcPr>
            <w:tcW w:w="13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173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198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≥99.9</w:t>
            </w:r>
          </w:p>
        </w:tc>
      </w:tr>
      <w:tr>
        <w:tblPrEx>
          <w:tblCellMar>
            <w:top w:w="0" w:type="dxa"/>
            <w:left w:w="108" w:type="dxa"/>
            <w:bottom w:w="0" w:type="dxa"/>
            <w:right w:w="108" w:type="dxa"/>
          </w:tblCellMar>
        </w:tblPrEx>
        <w:trPr>
          <w:trHeight w:val="419" w:hRule="atLeast"/>
        </w:trPr>
        <w:tc>
          <w:tcPr>
            <w:tcW w:w="312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焚毁去除率</w:t>
            </w:r>
            <w:r>
              <w:rPr>
                <w:sz w:val="21"/>
              </w:rPr>
              <w:t>(%)</w:t>
            </w:r>
          </w:p>
        </w:tc>
        <w:tc>
          <w:tcPr>
            <w:tcW w:w="165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≥99.99</w:t>
            </w:r>
          </w:p>
        </w:tc>
        <w:tc>
          <w:tcPr>
            <w:tcW w:w="13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173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198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≥99.99</w:t>
            </w:r>
          </w:p>
        </w:tc>
      </w:tr>
      <w:tr>
        <w:tblPrEx>
          <w:tblCellMar>
            <w:top w:w="0" w:type="dxa"/>
            <w:left w:w="108" w:type="dxa"/>
            <w:bottom w:w="0" w:type="dxa"/>
            <w:right w:w="108" w:type="dxa"/>
          </w:tblCellMar>
        </w:tblPrEx>
        <w:trPr>
          <w:trHeight w:val="419" w:hRule="atLeast"/>
        </w:trPr>
        <w:tc>
          <w:tcPr>
            <w:tcW w:w="3123"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炉渣热酌减率</w:t>
            </w:r>
            <w:r>
              <w:rPr>
                <w:sz w:val="21"/>
              </w:rPr>
              <w:t>(%)</w:t>
            </w:r>
          </w:p>
        </w:tc>
        <w:tc>
          <w:tcPr>
            <w:tcW w:w="165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w:t>
            </w:r>
            <w:r>
              <w:rPr>
                <w:sz w:val="21"/>
              </w:rPr>
              <w:t>5</w:t>
            </w:r>
          </w:p>
        </w:tc>
        <w:tc>
          <w:tcPr>
            <w:tcW w:w="135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1736"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w:t>
            </w:r>
            <w:r>
              <w:rPr>
                <w:sz w:val="21"/>
              </w:rPr>
              <w:t>5</w:t>
            </w:r>
          </w:p>
        </w:tc>
        <w:tc>
          <w:tcPr>
            <w:tcW w:w="198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w:t>
            </w:r>
            <w:r>
              <w:rPr>
                <w:sz w:val="21"/>
              </w:rPr>
              <w:t>5</w:t>
            </w:r>
          </w:p>
        </w:tc>
      </w:tr>
      <w:tr>
        <w:tblPrEx>
          <w:tblCellMar>
            <w:top w:w="0" w:type="dxa"/>
            <w:left w:w="108" w:type="dxa"/>
            <w:bottom w:w="0" w:type="dxa"/>
            <w:right w:w="108" w:type="dxa"/>
          </w:tblCellMar>
        </w:tblPrEx>
        <w:trPr>
          <w:trHeight w:val="419" w:hRule="atLeast"/>
        </w:trPr>
        <w:tc>
          <w:tcPr>
            <w:tcW w:w="3123"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焚烧炉出口烟气氧气含量</w:t>
            </w:r>
            <w:r>
              <w:rPr>
                <w:sz w:val="21"/>
              </w:rPr>
              <w:t>(%)</w:t>
            </w:r>
          </w:p>
        </w:tc>
        <w:tc>
          <w:tcPr>
            <w:tcW w:w="1655"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6-10(</w:t>
            </w:r>
            <w:r>
              <w:rPr>
                <w:rFonts w:hint="eastAsia"/>
                <w:sz w:val="21"/>
              </w:rPr>
              <w:t>干烟气</w:t>
            </w:r>
            <w:r>
              <w:rPr>
                <w:sz w:val="21"/>
              </w:rPr>
              <w:t>)</w:t>
            </w:r>
          </w:p>
        </w:tc>
        <w:tc>
          <w:tcPr>
            <w:tcW w:w="135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w:t>
            </w:r>
          </w:p>
        </w:tc>
        <w:tc>
          <w:tcPr>
            <w:tcW w:w="1736"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6-10(</w:t>
            </w:r>
            <w:r>
              <w:rPr>
                <w:rFonts w:hint="eastAsia"/>
                <w:sz w:val="21"/>
              </w:rPr>
              <w:t>干烟气</w:t>
            </w:r>
            <w:r>
              <w:rPr>
                <w:sz w:val="21"/>
              </w:rPr>
              <w:t>)</w:t>
            </w:r>
          </w:p>
        </w:tc>
        <w:tc>
          <w:tcPr>
            <w:tcW w:w="1987"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sz w:val="21"/>
              </w:rPr>
              <w:t>6-10(</w:t>
            </w:r>
            <w:r>
              <w:rPr>
                <w:rFonts w:hint="eastAsia"/>
                <w:sz w:val="21"/>
              </w:rPr>
              <w:t>干烟气</w:t>
            </w:r>
            <w:r>
              <w:rPr>
                <w:sz w:val="21"/>
              </w:rPr>
              <w:t>)</w:t>
            </w:r>
          </w:p>
        </w:tc>
      </w:tr>
    </w:tbl>
    <w:p>
      <w:pPr>
        <w:pStyle w:val="161"/>
        <w:ind w:firstLine="480"/>
        <w:rPr>
          <w:rFonts w:cs="Times New Roman"/>
          <w:szCs w:val="20"/>
        </w:rPr>
      </w:pPr>
      <w:r>
        <w:rPr>
          <w:rFonts w:hint="eastAsia"/>
        </w:rPr>
        <w:t>①焚烧系统温度</w:t>
      </w:r>
    </w:p>
    <w:p>
      <w:pPr>
        <w:pStyle w:val="161"/>
        <w:ind w:firstLine="480"/>
      </w:pPr>
      <w:r>
        <w:rPr>
          <w:rFonts w:hint="eastAsia"/>
        </w:rPr>
        <w:t>本项目焚烧炉系统采用自动控制，保证理论计算的热平衡、各段空气系数配比、设定的燃烧温度、滞留时间和实际工况数据基本一致，可通过中央控制室实时监控和调节。焚烧炉体采用高端耐火材料，可承受等离子体炉的高温环境。</w:t>
      </w:r>
    </w:p>
    <w:p>
      <w:pPr>
        <w:pStyle w:val="161"/>
        <w:ind w:firstLine="480"/>
      </w:pPr>
      <w:r>
        <w:rPr>
          <w:rFonts w:hint="eastAsia"/>
        </w:rPr>
        <w:t>二燃室采用立式高温气相焚烧炉，采用涡流旋风式燃烧方式，保证了最佳的燃烧过程。二燃室设置有助燃室补热值，保证二燃室＞</w:t>
      </w:r>
      <w:r>
        <w:t>1100</w:t>
      </w:r>
      <w:r>
        <w:rPr>
          <w:rFonts w:hint="eastAsia"/>
        </w:rPr>
        <w:t>℃高温，且能控制产气速度，保证了设定温度的贯彻始终，保证工况的热平衡等参数近似理论设计参数。通过分段供风，调节过剩空气系数</w:t>
      </w:r>
      <w:r>
        <w:t>(4%~7%)</w:t>
      </w:r>
      <w:r>
        <w:rPr>
          <w:rFonts w:hint="eastAsia"/>
        </w:rPr>
        <w:t>，控制二燃室实际燃烧温度的上下波动范围，保证后处理系统始终高于酸露点温度以上，同时保证二燃室温度大于</w:t>
      </w:r>
      <w:r>
        <w:t>1100</w:t>
      </w:r>
      <w:r>
        <w:rPr>
          <w:rFonts w:hint="eastAsia"/>
        </w:rPr>
        <w:t>℃。</w:t>
      </w:r>
    </w:p>
    <w:p>
      <w:pPr>
        <w:pStyle w:val="161"/>
        <w:ind w:firstLine="480"/>
      </w:pPr>
      <w:r>
        <w:rPr>
          <w:rFonts w:hint="eastAsia"/>
        </w:rPr>
        <w:t>②烟气停留时间</w:t>
      </w:r>
    </w:p>
    <w:p>
      <w:pPr>
        <w:pStyle w:val="161"/>
        <w:ind w:firstLine="480"/>
      </w:pPr>
      <w:r>
        <w:rPr>
          <w:rFonts w:hint="eastAsia"/>
        </w:rPr>
        <w:t>二燃室空气采用涡流导入，形成涡流燃烧层，在炉型设计上保证涡流通过高温燃烧区的滞留时间大于</w:t>
      </w:r>
      <w:r>
        <w:t>2s</w:t>
      </w:r>
      <w:r>
        <w:rPr>
          <w:rFonts w:hint="eastAsia"/>
        </w:rPr>
        <w:t>，符合环保要求。</w:t>
      </w:r>
    </w:p>
    <w:p>
      <w:pPr>
        <w:pStyle w:val="161"/>
        <w:ind w:firstLine="480"/>
      </w:pPr>
      <w:r>
        <w:rPr>
          <w:rFonts w:hint="eastAsia"/>
        </w:rPr>
        <w:t>③燃烧效率</w:t>
      </w:r>
    </w:p>
    <w:p>
      <w:pPr>
        <w:pStyle w:val="161"/>
        <w:ind w:firstLine="480"/>
      </w:pPr>
      <w:r>
        <w:rPr>
          <w:rFonts w:hint="eastAsia"/>
        </w:rPr>
        <w:t>燃烧效率指烟道排出气体中二氧化碳浓度与二氧化碳和一氧化碳浓度之和的百分比，为</w:t>
      </w:r>
      <w:r>
        <w:t>CE=[CO</w:t>
      </w:r>
      <w:r>
        <w:rPr>
          <w:vertAlign w:val="subscript"/>
        </w:rPr>
        <w:t>2</w:t>
      </w:r>
      <w:r>
        <w:t>]/([CO</w:t>
      </w:r>
      <w:r>
        <w:rPr>
          <w:vertAlign w:val="subscript"/>
        </w:rPr>
        <w:t>2</w:t>
      </w:r>
      <w:r>
        <w:t>]+[CO])×100%</w:t>
      </w:r>
      <w:r>
        <w:rPr>
          <w:rFonts w:hint="eastAsia"/>
        </w:rPr>
        <w:t>，在不同的理化特性条件下，由于二次供风，进入二燃室中的烟气燃烧比较完全。烟道排出气体中二氧化碳浓度与二氧化碳和一氧化碳浓度之和的百分比</w:t>
      </w:r>
      <w:r>
        <w:t>&gt;99.9%</w:t>
      </w:r>
      <w:r>
        <w:rPr>
          <w:rFonts w:hint="eastAsia"/>
        </w:rPr>
        <w:t>，符合环保要求。</w:t>
      </w:r>
    </w:p>
    <w:p>
      <w:pPr>
        <w:pStyle w:val="161"/>
        <w:ind w:firstLine="480"/>
      </w:pPr>
      <w:r>
        <w:rPr>
          <w:rFonts w:hint="eastAsia"/>
        </w:rPr>
        <w:t>④焚毁去除率及残渣热灼减率</w:t>
      </w:r>
    </w:p>
    <w:p>
      <w:pPr>
        <w:pStyle w:val="161"/>
        <w:ind w:firstLine="480"/>
      </w:pPr>
      <w:r>
        <w:rPr>
          <w:rFonts w:hint="eastAsia"/>
        </w:rPr>
        <w:t>废物通过焚烧炉气化熔融后，无机物在高温作用下熔融形成熔浆，积累到一定量后排出炉体直接水淬，最终得到砂砾状的炉渣，保证焚烧残渣灼规范要求的</w:t>
      </w:r>
      <w:r>
        <w:t>5%</w:t>
      </w:r>
      <w:r>
        <w:rPr>
          <w:rFonts w:hint="eastAsia"/>
        </w:rPr>
        <w:t>，也保证了焚毁去除率＞</w:t>
      </w:r>
      <w:r>
        <w:t>99.99%</w:t>
      </w:r>
      <w:r>
        <w:rPr>
          <w:rFonts w:hint="eastAsia"/>
        </w:rPr>
        <w:t>。符合环保要求。</w:t>
      </w:r>
    </w:p>
    <w:p>
      <w:pPr>
        <w:pStyle w:val="161"/>
        <w:ind w:firstLine="480"/>
      </w:pPr>
      <w:r>
        <w:rPr>
          <w:rFonts w:hint="eastAsia"/>
        </w:rPr>
        <w:t>⑤出口烟气氧气含量</w:t>
      </w:r>
    </w:p>
    <w:p>
      <w:pPr>
        <w:pStyle w:val="161"/>
        <w:ind w:firstLine="480"/>
      </w:pPr>
      <w:r>
        <w:rPr>
          <w:rFonts w:hint="eastAsia"/>
        </w:rPr>
        <w:t>本项目废物在焚烧炉内为缺氧气化熔融有机物能够迅速脱水、热解和裂解，变成可燃气体，可燃气体的主要成份是</w:t>
      </w:r>
      <w:r>
        <w:t>H</w:t>
      </w:r>
      <w:r>
        <w:rPr>
          <w:vertAlign w:val="subscript"/>
        </w:rPr>
        <w:t>2</w:t>
      </w:r>
      <w:r>
        <w:rPr>
          <w:rFonts w:hint="eastAsia"/>
        </w:rPr>
        <w:t>、</w:t>
      </w:r>
      <w:r>
        <w:t xml:space="preserve">CO </w:t>
      </w:r>
      <w:r>
        <w:rPr>
          <w:rFonts w:hint="eastAsia"/>
        </w:rPr>
        <w:t>和部分有机气体，通过自动控制系统控制进出口氧含量，保证出口烟气氧含量在</w:t>
      </w:r>
      <w:r>
        <w:t>6~10%</w:t>
      </w:r>
      <w:r>
        <w:rPr>
          <w:rFonts w:hint="eastAsia"/>
        </w:rPr>
        <w:t>之间。</w:t>
      </w:r>
    </w:p>
    <w:p>
      <w:pPr>
        <w:pStyle w:val="161"/>
        <w:ind w:firstLine="480"/>
        <w:rPr>
          <w:sz w:val="21"/>
        </w:rPr>
      </w:pPr>
      <w:r>
        <w:rPr>
          <w:rFonts w:hint="eastAsia"/>
          <w:kern w:val="0"/>
        </w:rPr>
        <w:t>本项目焚烧车间各级烟气净化措施去除效率见表7.1—2。</w:t>
      </w:r>
    </w:p>
    <w:p>
      <w:pPr>
        <w:pStyle w:val="161"/>
        <w:ind w:firstLine="480"/>
      </w:pPr>
    </w:p>
    <w:p>
      <w:pPr>
        <w:pStyle w:val="161"/>
        <w:ind w:firstLine="480"/>
        <w:outlineLvl w:val="0"/>
      </w:pPr>
      <w:r>
        <w:rPr>
          <w:rFonts w:hint="eastAsia"/>
        </w:rPr>
        <w:t>表</w:t>
      </w:r>
      <w:r>
        <w:rPr>
          <w:rFonts w:hint="eastAsia"/>
          <w:kern w:val="0"/>
        </w:rPr>
        <w:t xml:space="preserve">7.1—2             </w:t>
      </w:r>
      <w:r>
        <w:rPr>
          <w:rFonts w:hint="eastAsia"/>
        </w:rPr>
        <w:t>焚烧工段烟气处理系统各级去除效率</w:t>
      </w:r>
    </w:p>
    <w:tbl>
      <w:tblPr>
        <w:tblStyle w:val="88"/>
        <w:tblW w:w="9854" w:type="dxa"/>
        <w:tblInd w:w="0" w:type="dxa"/>
        <w:tblLayout w:type="fixed"/>
        <w:tblCellMar>
          <w:top w:w="0" w:type="dxa"/>
          <w:left w:w="108" w:type="dxa"/>
          <w:bottom w:w="0" w:type="dxa"/>
          <w:right w:w="108" w:type="dxa"/>
        </w:tblCellMar>
      </w:tblPr>
      <w:tblGrid>
        <w:gridCol w:w="3407"/>
        <w:gridCol w:w="1137"/>
        <w:gridCol w:w="1103"/>
        <w:gridCol w:w="1294"/>
        <w:gridCol w:w="1110"/>
        <w:gridCol w:w="1803"/>
      </w:tblGrid>
      <w:tr>
        <w:tblPrEx>
          <w:tblCellMar>
            <w:top w:w="0" w:type="dxa"/>
            <w:left w:w="108" w:type="dxa"/>
            <w:bottom w:w="0" w:type="dxa"/>
            <w:right w:w="108" w:type="dxa"/>
          </w:tblCellMar>
        </w:tblPrEx>
        <w:trPr>
          <w:trHeight w:val="270" w:hRule="atLeast"/>
        </w:trPr>
        <w:tc>
          <w:tcPr>
            <w:tcW w:w="3407" w:type="dxa"/>
            <w:vMerge w:val="restart"/>
            <w:tcBorders>
              <w:top w:val="single" w:color="000000" w:sz="12"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指标</w:t>
            </w:r>
          </w:p>
        </w:tc>
        <w:tc>
          <w:tcPr>
            <w:tcW w:w="4644" w:type="dxa"/>
            <w:gridSpan w:val="4"/>
            <w:tcBorders>
              <w:top w:val="single" w:color="000000"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各级去除效率</w:t>
            </w:r>
            <w:r>
              <w:rPr>
                <w:sz w:val="21"/>
              </w:rPr>
              <w:t>%</w:t>
            </w:r>
          </w:p>
        </w:tc>
        <w:tc>
          <w:tcPr>
            <w:tcW w:w="1803" w:type="dxa"/>
            <w:vMerge w:val="restart"/>
            <w:tcBorders>
              <w:top w:val="single" w:color="000000" w:sz="12" w:space="0"/>
              <w:left w:val="dotted" w:color="auto" w:sz="4" w:space="0"/>
              <w:bottom w:val="single" w:color="auto" w:sz="12" w:space="0"/>
            </w:tcBorders>
            <w:vAlign w:val="center"/>
          </w:tcPr>
          <w:p>
            <w:pPr>
              <w:spacing w:line="240" w:lineRule="atLeast"/>
              <w:ind w:firstLine="0" w:firstLineChars="0"/>
              <w:jc w:val="center"/>
              <w:rPr>
                <w:sz w:val="21"/>
              </w:rPr>
            </w:pPr>
            <w:r>
              <w:rPr>
                <w:rFonts w:hint="eastAsia"/>
                <w:sz w:val="21"/>
              </w:rPr>
              <w:t>综合去除效率</w:t>
            </w:r>
          </w:p>
          <w:p>
            <w:pPr>
              <w:spacing w:line="240" w:lineRule="atLeast"/>
              <w:ind w:firstLine="0" w:firstLineChars="0"/>
              <w:jc w:val="center"/>
              <w:rPr>
                <w:sz w:val="21"/>
              </w:rPr>
            </w:pPr>
            <w:r>
              <w:rPr>
                <w:sz w:val="21"/>
              </w:rPr>
              <w:t>%</w:t>
            </w:r>
          </w:p>
        </w:tc>
      </w:tr>
      <w:tr>
        <w:tblPrEx>
          <w:tblCellMar>
            <w:top w:w="0" w:type="dxa"/>
            <w:left w:w="108" w:type="dxa"/>
            <w:bottom w:w="0" w:type="dxa"/>
            <w:right w:w="108" w:type="dxa"/>
          </w:tblCellMar>
        </w:tblPrEx>
        <w:trPr>
          <w:trHeight w:val="210" w:hRule="atLeast"/>
        </w:trPr>
        <w:tc>
          <w:tcPr>
            <w:tcW w:w="3407"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137"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SNCR</w:t>
            </w:r>
          </w:p>
          <w:p>
            <w:pPr>
              <w:spacing w:line="240" w:lineRule="atLeast"/>
              <w:ind w:firstLine="0" w:firstLineChars="0"/>
              <w:jc w:val="center"/>
              <w:rPr>
                <w:sz w:val="21"/>
              </w:rPr>
            </w:pPr>
            <w:r>
              <w:rPr>
                <w:rFonts w:hint="eastAsia"/>
                <w:sz w:val="21"/>
              </w:rPr>
              <w:t>脱硝系统</w:t>
            </w:r>
          </w:p>
        </w:tc>
        <w:tc>
          <w:tcPr>
            <w:tcW w:w="1103"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急冷脱酸塔</w:t>
            </w:r>
          </w:p>
        </w:tc>
        <w:tc>
          <w:tcPr>
            <w:tcW w:w="1294"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干式反应器</w:t>
            </w:r>
            <w:r>
              <w:rPr>
                <w:sz w:val="21"/>
              </w:rPr>
              <w:t>+</w:t>
            </w:r>
            <w:r>
              <w:rPr>
                <w:rFonts w:hint="eastAsia"/>
                <w:sz w:val="21"/>
              </w:rPr>
              <w:t>布袋除尘+湿电除尘</w:t>
            </w:r>
          </w:p>
        </w:tc>
        <w:tc>
          <w:tcPr>
            <w:tcW w:w="1110"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喷淋洗涤塔</w:t>
            </w:r>
          </w:p>
        </w:tc>
        <w:tc>
          <w:tcPr>
            <w:tcW w:w="1803" w:type="dxa"/>
            <w:vMerge w:val="continue"/>
            <w:tcBorders>
              <w:top w:val="single" w:color="000000" w:sz="12" w:space="0"/>
              <w:left w:val="dotted" w:color="auto" w:sz="4" w:space="0"/>
              <w:bottom w:val="single" w:color="auto" w:sz="12" w:space="0"/>
              <w:right w:val="nil"/>
            </w:tcBorders>
            <w:vAlign w:val="center"/>
          </w:tcPr>
          <w:p>
            <w:pPr>
              <w:widowControl/>
              <w:spacing w:line="240" w:lineRule="atLeast"/>
              <w:ind w:firstLine="0" w:firstLineChars="0"/>
              <w:jc w:val="center"/>
              <w:rPr>
                <w:sz w:val="21"/>
              </w:rPr>
            </w:pPr>
          </w:p>
        </w:tc>
      </w:tr>
      <w:tr>
        <w:tblPrEx>
          <w:tblCellMar>
            <w:top w:w="0" w:type="dxa"/>
            <w:left w:w="108" w:type="dxa"/>
            <w:bottom w:w="0" w:type="dxa"/>
            <w:right w:w="108" w:type="dxa"/>
          </w:tblCellMar>
        </w:tblPrEx>
        <w:trPr>
          <w:trHeight w:val="385" w:hRule="atLeast"/>
        </w:trPr>
        <w:tc>
          <w:tcPr>
            <w:tcW w:w="3407"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烟尘</w:t>
            </w:r>
          </w:p>
        </w:tc>
        <w:tc>
          <w:tcPr>
            <w:tcW w:w="1137"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98</w:t>
            </w:r>
          </w:p>
        </w:tc>
        <w:tc>
          <w:tcPr>
            <w:tcW w:w="1110"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w:t>
            </w:r>
          </w:p>
        </w:tc>
        <w:tc>
          <w:tcPr>
            <w:tcW w:w="1803"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99</w:t>
            </w:r>
          </w:p>
        </w:tc>
      </w:tr>
      <w:tr>
        <w:tblPrEx>
          <w:tblCellMar>
            <w:top w:w="0" w:type="dxa"/>
            <w:left w:w="108" w:type="dxa"/>
            <w:bottom w:w="0" w:type="dxa"/>
            <w:right w:w="108" w:type="dxa"/>
          </w:tblCellMar>
        </w:tblPrEx>
        <w:trPr>
          <w:trHeight w:val="385" w:hRule="atLeast"/>
        </w:trPr>
        <w:tc>
          <w:tcPr>
            <w:tcW w:w="340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二氧化硫</w:t>
            </w:r>
          </w:p>
        </w:tc>
        <w:tc>
          <w:tcPr>
            <w:tcW w:w="113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w:t>
            </w:r>
          </w:p>
        </w:tc>
        <w:tc>
          <w:tcPr>
            <w:tcW w:w="111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80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w:t>
            </w:r>
          </w:p>
        </w:tc>
      </w:tr>
      <w:tr>
        <w:tblPrEx>
          <w:tblCellMar>
            <w:top w:w="0" w:type="dxa"/>
            <w:left w:w="108" w:type="dxa"/>
            <w:bottom w:w="0" w:type="dxa"/>
            <w:right w:w="108" w:type="dxa"/>
          </w:tblCellMar>
        </w:tblPrEx>
        <w:trPr>
          <w:trHeight w:val="385" w:hRule="atLeast"/>
        </w:trPr>
        <w:tc>
          <w:tcPr>
            <w:tcW w:w="340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氮氧化物</w:t>
            </w:r>
          </w:p>
        </w:tc>
        <w:tc>
          <w:tcPr>
            <w:tcW w:w="113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40</w:t>
            </w:r>
          </w:p>
        </w:tc>
        <w:tc>
          <w:tcPr>
            <w:tcW w:w="239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111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180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40</w:t>
            </w:r>
          </w:p>
        </w:tc>
      </w:tr>
      <w:tr>
        <w:tblPrEx>
          <w:tblCellMar>
            <w:top w:w="0" w:type="dxa"/>
            <w:left w:w="108" w:type="dxa"/>
            <w:bottom w:w="0" w:type="dxa"/>
            <w:right w:w="108" w:type="dxa"/>
          </w:tblCellMar>
        </w:tblPrEx>
        <w:trPr>
          <w:trHeight w:val="419" w:hRule="atLeast"/>
        </w:trPr>
        <w:tc>
          <w:tcPr>
            <w:tcW w:w="340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氯化氢</w:t>
            </w:r>
          </w:p>
        </w:tc>
        <w:tc>
          <w:tcPr>
            <w:tcW w:w="113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11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90</w:t>
            </w:r>
          </w:p>
        </w:tc>
        <w:tc>
          <w:tcPr>
            <w:tcW w:w="180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98</w:t>
            </w:r>
          </w:p>
        </w:tc>
      </w:tr>
      <w:tr>
        <w:tblPrEx>
          <w:tblCellMar>
            <w:top w:w="0" w:type="dxa"/>
            <w:left w:w="108" w:type="dxa"/>
            <w:bottom w:w="0" w:type="dxa"/>
            <w:right w:w="108" w:type="dxa"/>
          </w:tblCellMar>
        </w:tblPrEx>
        <w:trPr>
          <w:trHeight w:val="419" w:hRule="atLeast"/>
        </w:trPr>
        <w:tc>
          <w:tcPr>
            <w:tcW w:w="340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氟化氢</w:t>
            </w:r>
          </w:p>
        </w:tc>
        <w:tc>
          <w:tcPr>
            <w:tcW w:w="113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70</w:t>
            </w:r>
          </w:p>
        </w:tc>
        <w:tc>
          <w:tcPr>
            <w:tcW w:w="111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90</w:t>
            </w:r>
          </w:p>
        </w:tc>
        <w:tc>
          <w:tcPr>
            <w:tcW w:w="180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97</w:t>
            </w:r>
          </w:p>
        </w:tc>
      </w:tr>
      <w:tr>
        <w:tblPrEx>
          <w:tblCellMar>
            <w:top w:w="0" w:type="dxa"/>
            <w:left w:w="108" w:type="dxa"/>
            <w:bottom w:w="0" w:type="dxa"/>
            <w:right w:w="108" w:type="dxa"/>
          </w:tblCellMar>
        </w:tblPrEx>
        <w:trPr>
          <w:trHeight w:val="419" w:hRule="atLeast"/>
        </w:trPr>
        <w:tc>
          <w:tcPr>
            <w:tcW w:w="340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汞及其化合物</w:t>
            </w:r>
          </w:p>
        </w:tc>
        <w:tc>
          <w:tcPr>
            <w:tcW w:w="113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11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w:t>
            </w:r>
          </w:p>
        </w:tc>
        <w:tc>
          <w:tcPr>
            <w:tcW w:w="180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w:t>
            </w:r>
          </w:p>
        </w:tc>
      </w:tr>
      <w:tr>
        <w:tblPrEx>
          <w:tblCellMar>
            <w:top w:w="0" w:type="dxa"/>
            <w:left w:w="108" w:type="dxa"/>
            <w:bottom w:w="0" w:type="dxa"/>
            <w:right w:w="108" w:type="dxa"/>
          </w:tblCellMar>
        </w:tblPrEx>
        <w:trPr>
          <w:trHeight w:val="419" w:hRule="atLeast"/>
        </w:trPr>
        <w:tc>
          <w:tcPr>
            <w:tcW w:w="340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镉及其化合物</w:t>
            </w:r>
          </w:p>
        </w:tc>
        <w:tc>
          <w:tcPr>
            <w:tcW w:w="113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11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w:t>
            </w:r>
          </w:p>
        </w:tc>
        <w:tc>
          <w:tcPr>
            <w:tcW w:w="180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w:t>
            </w:r>
          </w:p>
        </w:tc>
      </w:tr>
      <w:tr>
        <w:tblPrEx>
          <w:tblCellMar>
            <w:top w:w="0" w:type="dxa"/>
            <w:left w:w="108" w:type="dxa"/>
            <w:bottom w:w="0" w:type="dxa"/>
            <w:right w:w="108" w:type="dxa"/>
          </w:tblCellMar>
        </w:tblPrEx>
        <w:trPr>
          <w:trHeight w:val="419" w:hRule="atLeast"/>
        </w:trPr>
        <w:tc>
          <w:tcPr>
            <w:tcW w:w="340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铅及其化合物</w:t>
            </w:r>
          </w:p>
        </w:tc>
        <w:tc>
          <w:tcPr>
            <w:tcW w:w="113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11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w:t>
            </w:r>
          </w:p>
        </w:tc>
        <w:tc>
          <w:tcPr>
            <w:tcW w:w="180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w:t>
            </w:r>
          </w:p>
        </w:tc>
      </w:tr>
      <w:tr>
        <w:tblPrEx>
          <w:tblCellMar>
            <w:top w:w="0" w:type="dxa"/>
            <w:left w:w="108" w:type="dxa"/>
            <w:bottom w:w="0" w:type="dxa"/>
            <w:right w:w="108" w:type="dxa"/>
          </w:tblCellMar>
        </w:tblPrEx>
        <w:trPr>
          <w:trHeight w:val="419" w:hRule="atLeast"/>
        </w:trPr>
        <w:tc>
          <w:tcPr>
            <w:tcW w:w="340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砷、镍及其化合物</w:t>
            </w:r>
          </w:p>
        </w:tc>
        <w:tc>
          <w:tcPr>
            <w:tcW w:w="113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11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w:t>
            </w:r>
          </w:p>
        </w:tc>
        <w:tc>
          <w:tcPr>
            <w:tcW w:w="180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w:t>
            </w:r>
          </w:p>
        </w:tc>
      </w:tr>
      <w:tr>
        <w:tblPrEx>
          <w:tblCellMar>
            <w:top w:w="0" w:type="dxa"/>
            <w:left w:w="108" w:type="dxa"/>
            <w:bottom w:w="0" w:type="dxa"/>
            <w:right w:w="108" w:type="dxa"/>
          </w:tblCellMar>
        </w:tblPrEx>
        <w:trPr>
          <w:trHeight w:val="419" w:hRule="atLeast"/>
        </w:trPr>
        <w:tc>
          <w:tcPr>
            <w:tcW w:w="3407"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铬、锡、锑、铜、锰及其化合物</w:t>
            </w:r>
          </w:p>
        </w:tc>
        <w:tc>
          <w:tcPr>
            <w:tcW w:w="1137"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11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50</w:t>
            </w:r>
          </w:p>
        </w:tc>
        <w:tc>
          <w:tcPr>
            <w:tcW w:w="1803"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w:t>
            </w:r>
          </w:p>
        </w:tc>
      </w:tr>
      <w:tr>
        <w:tblPrEx>
          <w:tblCellMar>
            <w:top w:w="0" w:type="dxa"/>
            <w:left w:w="108" w:type="dxa"/>
            <w:bottom w:w="0" w:type="dxa"/>
            <w:right w:w="108" w:type="dxa"/>
          </w:tblCellMar>
        </w:tblPrEx>
        <w:trPr>
          <w:trHeight w:val="419" w:hRule="atLeast"/>
        </w:trPr>
        <w:tc>
          <w:tcPr>
            <w:tcW w:w="3407" w:type="dxa"/>
            <w:tcBorders>
              <w:top w:val="dotted" w:color="auto" w:sz="4" w:space="0"/>
              <w:left w:val="nil"/>
              <w:bottom w:val="single" w:color="000000" w:sz="12" w:space="0"/>
              <w:right w:val="dotted" w:color="auto" w:sz="4" w:space="0"/>
            </w:tcBorders>
            <w:vAlign w:val="center"/>
          </w:tcPr>
          <w:p>
            <w:pPr>
              <w:spacing w:line="240" w:lineRule="atLeast"/>
              <w:ind w:firstLine="0" w:firstLineChars="0"/>
              <w:jc w:val="center"/>
              <w:rPr>
                <w:sz w:val="21"/>
              </w:rPr>
            </w:pPr>
            <w:r>
              <w:rPr>
                <w:rFonts w:hint="eastAsia"/>
                <w:sz w:val="21"/>
              </w:rPr>
              <w:t>二噁英</w:t>
            </w:r>
          </w:p>
        </w:tc>
        <w:tc>
          <w:tcPr>
            <w:tcW w:w="1137"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w:t>
            </w:r>
          </w:p>
        </w:tc>
        <w:tc>
          <w:tcPr>
            <w:tcW w:w="2397" w:type="dxa"/>
            <w:gridSpan w:val="2"/>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95</w:t>
            </w:r>
          </w:p>
        </w:tc>
        <w:tc>
          <w:tcPr>
            <w:tcW w:w="1110" w:type="dxa"/>
            <w:tcBorders>
              <w:top w:val="dotted" w:color="auto" w:sz="4" w:space="0"/>
              <w:left w:val="dotted" w:color="auto" w:sz="4" w:space="0"/>
              <w:bottom w:val="single" w:color="000000" w:sz="12" w:space="0"/>
              <w:right w:val="dotted" w:color="auto" w:sz="4" w:space="0"/>
            </w:tcBorders>
            <w:vAlign w:val="center"/>
          </w:tcPr>
          <w:p>
            <w:pPr>
              <w:spacing w:line="240" w:lineRule="atLeast"/>
              <w:ind w:firstLine="0" w:firstLineChars="0"/>
              <w:jc w:val="center"/>
              <w:rPr>
                <w:sz w:val="21"/>
              </w:rPr>
            </w:pPr>
            <w:r>
              <w:rPr>
                <w:sz w:val="21"/>
              </w:rPr>
              <w:t>60</w:t>
            </w:r>
          </w:p>
        </w:tc>
        <w:tc>
          <w:tcPr>
            <w:tcW w:w="1803"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sz w:val="21"/>
              </w:rPr>
            </w:pPr>
            <w:r>
              <w:rPr>
                <w:sz w:val="21"/>
              </w:rPr>
              <w:t>98</w:t>
            </w:r>
          </w:p>
        </w:tc>
      </w:tr>
    </w:tbl>
    <w:p>
      <w:pPr>
        <w:ind w:firstLine="480"/>
        <w:rPr>
          <w:rFonts w:cs="Times New Roman"/>
          <w:szCs w:val="20"/>
        </w:rPr>
      </w:pPr>
      <w:r>
        <w:rPr>
          <w:rFonts w:hint="eastAsia"/>
        </w:rPr>
        <w:t>因此，本项目系统的运行参数均能符合相关要求。</w:t>
      </w:r>
    </w:p>
    <w:p>
      <w:pPr>
        <w:pStyle w:val="5"/>
        <w:rPr>
          <w:sz w:val="24"/>
        </w:rPr>
      </w:pPr>
      <w:bookmarkStart w:id="461" w:name="_Toc354065869"/>
      <w:bookmarkStart w:id="462" w:name="_Toc13760239"/>
      <w:bookmarkStart w:id="463" w:name="_Toc503369009"/>
      <w:r>
        <w:rPr>
          <w:rFonts w:hint="eastAsia"/>
        </w:rPr>
        <w:t>7</w:t>
      </w:r>
      <w:r>
        <w:t>.1.</w:t>
      </w:r>
      <w:bookmarkEnd w:id="461"/>
      <w:r>
        <w:t xml:space="preserve">4 </w:t>
      </w:r>
      <w:r>
        <w:rPr>
          <w:rFonts w:hint="eastAsia"/>
        </w:rPr>
        <w:t>固化车间</w:t>
      </w:r>
      <w:bookmarkEnd w:id="462"/>
      <w:bookmarkEnd w:id="463"/>
    </w:p>
    <w:p>
      <w:pPr>
        <w:pStyle w:val="178"/>
        <w:ind w:firstLine="480"/>
        <w:jc w:val="both"/>
        <w:rPr>
          <w:rFonts w:ascii="Times New Roman" w:hAnsi="Times New Roman"/>
        </w:rPr>
      </w:pPr>
      <w:r>
        <w:rPr>
          <w:rFonts w:hint="eastAsia" w:ascii="Times New Roman" w:hAnsi="Times New Roman"/>
        </w:rPr>
        <w:t>稳定化</w:t>
      </w:r>
      <w:r>
        <w:rPr>
          <w:rFonts w:ascii="Times New Roman" w:hAnsi="Times New Roman"/>
        </w:rPr>
        <w:t>/</w:t>
      </w:r>
      <w:r>
        <w:rPr>
          <w:rFonts w:hint="eastAsia" w:ascii="Times New Roman" w:hAnsi="Times New Roman"/>
        </w:rPr>
        <w:t>固化车间产生的废气主要为入固化车间飞灰及固化剂转运点、搅拌机进料时所产生的含尘废气，为了防止废气中的粉尘逸散至大气中，特别是防止其中的飞灰逸散至大气中，本项目在稳定化</w:t>
      </w:r>
      <w:r>
        <w:rPr>
          <w:rFonts w:ascii="Times New Roman" w:hAnsi="Times New Roman"/>
        </w:rPr>
        <w:t>/</w:t>
      </w:r>
      <w:r>
        <w:rPr>
          <w:rFonts w:hint="eastAsia" w:ascii="Times New Roman" w:hAnsi="Times New Roman"/>
        </w:rPr>
        <w:t>固化车间各转运点及搅拌机进料口处安装集气罩，集气罩收集后的废气通过引风系统统一收集后经布袋除尘器除尘，除尘后的废气通过</w:t>
      </w:r>
      <w:r>
        <w:rPr>
          <w:rFonts w:ascii="Times New Roman" w:hAnsi="Times New Roman"/>
        </w:rPr>
        <w:t>20m</w:t>
      </w:r>
      <w:r>
        <w:rPr>
          <w:rFonts w:hint="eastAsia" w:ascii="Times New Roman" w:hAnsi="Times New Roman"/>
        </w:rPr>
        <w:t>排气筒排放，布袋除尘器的除尘效率按</w:t>
      </w:r>
      <w:r>
        <w:rPr>
          <w:rFonts w:ascii="Times New Roman" w:hAnsi="Times New Roman"/>
        </w:rPr>
        <w:t>99%</w:t>
      </w:r>
      <w:r>
        <w:rPr>
          <w:rFonts w:hint="eastAsia" w:ascii="Times New Roman" w:hAnsi="Times New Roman"/>
        </w:rPr>
        <w:t>考虑。</w:t>
      </w:r>
      <w:r>
        <w:rPr>
          <w:rFonts w:hint="eastAsia" w:ascii="Times New Roman" w:hAnsi="Times New Roman"/>
          <w:szCs w:val="24"/>
        </w:rPr>
        <w:t>固化车间的卸料斗、输送机、搅拌机等产生粉尘位置上方均设置集气罩，可以保证捕集率</w:t>
      </w:r>
      <w:r>
        <w:rPr>
          <w:rFonts w:ascii="Times New Roman" w:hAnsi="Times New Roman"/>
          <w:szCs w:val="24"/>
        </w:rPr>
        <w:t>98%</w:t>
      </w:r>
      <w:r>
        <w:rPr>
          <w:rFonts w:hint="eastAsia" w:ascii="Times New Roman" w:hAnsi="Times New Roman"/>
          <w:szCs w:val="24"/>
        </w:rPr>
        <w:t>以上，气体收集后经布袋除尘器过滤后排放，排气量为15</w:t>
      </w:r>
      <w:r>
        <w:rPr>
          <w:rFonts w:ascii="Times New Roman" w:hAnsi="Times New Roman"/>
          <w:szCs w:val="24"/>
        </w:rPr>
        <w:t>000Nm</w:t>
      </w:r>
      <w:r>
        <w:rPr>
          <w:rFonts w:ascii="Times New Roman" w:hAnsi="Times New Roman"/>
          <w:szCs w:val="24"/>
          <w:vertAlign w:val="superscript"/>
        </w:rPr>
        <w:t>3</w:t>
      </w:r>
      <w:r>
        <w:rPr>
          <w:rFonts w:ascii="Times New Roman" w:hAnsi="Times New Roman"/>
          <w:szCs w:val="24"/>
        </w:rPr>
        <w:t>/h</w:t>
      </w:r>
      <w:r>
        <w:rPr>
          <w:rFonts w:hint="eastAsia" w:ascii="Times New Roman" w:hAnsi="Times New Roman"/>
          <w:szCs w:val="24"/>
        </w:rPr>
        <w:t>，主要污染物为粉尘</w:t>
      </w:r>
      <w:r>
        <w:rPr>
          <w:rFonts w:ascii="Times New Roman" w:hAnsi="Times New Roman"/>
          <w:szCs w:val="24"/>
        </w:rPr>
        <w:t xml:space="preserve"> 30mg/Nm</w:t>
      </w:r>
      <w:r>
        <w:rPr>
          <w:rFonts w:ascii="Times New Roman" w:hAnsi="Times New Roman"/>
          <w:szCs w:val="24"/>
          <w:vertAlign w:val="superscript"/>
        </w:rPr>
        <w:t>3</w:t>
      </w:r>
      <w:r>
        <w:rPr>
          <w:rFonts w:hint="eastAsia" w:ascii="Times New Roman" w:hAnsi="Times New Roman"/>
          <w:szCs w:val="24"/>
        </w:rPr>
        <w:t>，可达到</w:t>
      </w:r>
      <w:r>
        <w:rPr>
          <w:rFonts w:hint="eastAsia" w:ascii="Times New Roman" w:hAnsi="宋体"/>
        </w:rPr>
        <w:t>《大气污染物综合排放标准》</w:t>
      </w:r>
      <w:r>
        <w:rPr>
          <w:rFonts w:ascii="Times New Roman" w:hAnsi="Times New Roman"/>
        </w:rPr>
        <w:t>(GB16297-1996)</w:t>
      </w:r>
      <w:r>
        <w:rPr>
          <w:rFonts w:hint="eastAsia" w:ascii="Times New Roman" w:hAnsi="宋体"/>
        </w:rPr>
        <w:t>表</w:t>
      </w:r>
      <w:r>
        <w:rPr>
          <w:rFonts w:ascii="Times New Roman" w:hAnsi="Times New Roman"/>
        </w:rPr>
        <w:t>2</w:t>
      </w:r>
      <w:r>
        <w:rPr>
          <w:rFonts w:hint="eastAsia" w:ascii="Times New Roman" w:hAnsi="宋体"/>
        </w:rPr>
        <w:t>二级标准</w:t>
      </w:r>
      <w:r>
        <w:rPr>
          <w:rFonts w:hint="eastAsia" w:ascii="Times New Roman" w:hAnsi="Times New Roman"/>
          <w:szCs w:val="24"/>
        </w:rPr>
        <w:t>。带着较细粒径粉尘的气体进入布袋除尘器，由外经过滤袋时气体中的粉尘被截留在滤袋外表面，从而得到净化。附集在滤袋外表面的粉尘不断增加，使除尘器阻力增大，为使设备阻力维持在限定的范围内，必须定期消除附在滤袋表面的粉尘。</w:t>
      </w:r>
    </w:p>
    <w:p>
      <w:pPr>
        <w:pStyle w:val="5"/>
      </w:pPr>
      <w:bookmarkStart w:id="464" w:name="_Toc503369011"/>
      <w:bookmarkStart w:id="465" w:name="_Toc13760240"/>
      <w:r>
        <w:rPr>
          <w:rFonts w:hint="eastAsia"/>
        </w:rPr>
        <w:t>7</w:t>
      </w:r>
      <w:r>
        <w:t>.1.</w:t>
      </w:r>
      <w:r>
        <w:rPr>
          <w:rFonts w:hint="eastAsia"/>
        </w:rPr>
        <w:t>5强制循环蒸发器臭气控制措施</w:t>
      </w:r>
      <w:bookmarkEnd w:id="464"/>
      <w:bookmarkEnd w:id="465"/>
    </w:p>
    <w:p>
      <w:pPr>
        <w:pStyle w:val="161"/>
        <w:ind w:firstLine="480"/>
      </w:pPr>
      <w:r>
        <w:rPr>
          <w:rFonts w:hint="eastAsia"/>
        </w:rPr>
        <w:t>强制循环蒸发器产生的废气量较小，主要污染物为臭气，经一套活性炭纤维有机废气净化器处理后，通过</w:t>
      </w:r>
      <w:r>
        <w:t>15m</w:t>
      </w:r>
      <w:r>
        <w:rPr>
          <w:rFonts w:hint="eastAsia"/>
        </w:rPr>
        <w:t>的排气筒进行排放，排气量为</w:t>
      </w:r>
      <w:r>
        <w:t>15Nm</w:t>
      </w:r>
      <w:r>
        <w:rPr>
          <w:vertAlign w:val="superscript"/>
        </w:rPr>
        <w:t>3</w:t>
      </w:r>
      <w:r>
        <w:t>/h</w:t>
      </w:r>
      <w:r>
        <w:rPr>
          <w:rFonts w:hint="eastAsia"/>
        </w:rPr>
        <w:t>，主要污染物为臭气</w:t>
      </w:r>
      <w:r>
        <w:t xml:space="preserve"> 1000(</w:t>
      </w:r>
      <w:r>
        <w:rPr>
          <w:rFonts w:hint="eastAsia"/>
        </w:rPr>
        <w:t>无量纲</w:t>
      </w:r>
      <w:r>
        <w:t>)</w:t>
      </w:r>
      <w:r>
        <w:rPr>
          <w:rFonts w:hint="eastAsia"/>
        </w:rPr>
        <w:t>，可达到</w:t>
      </w:r>
      <w:r>
        <w:rPr>
          <w:rFonts w:hint="eastAsia" w:hAnsi="宋体"/>
        </w:rPr>
        <w:t>《恶臭污染物排放标准》</w:t>
      </w:r>
      <w:r>
        <w:t>(GB14554-93)</w:t>
      </w:r>
      <w:r>
        <w:rPr>
          <w:rFonts w:hint="eastAsia" w:hAnsi="宋体"/>
        </w:rPr>
        <w:t>表</w:t>
      </w:r>
      <w:r>
        <w:t>2</w:t>
      </w:r>
      <w:r>
        <w:rPr>
          <w:rFonts w:hint="eastAsia"/>
        </w:rPr>
        <w:t>限值。活性炭吸附塔采用卧式结构。活性炭吸附塔吸附饱和后，由人工更换新购活性炭，吸附剂采用微孔、中孔相结合的颗粒状活性炭。</w:t>
      </w:r>
    </w:p>
    <w:p>
      <w:pPr>
        <w:pStyle w:val="5"/>
      </w:pPr>
      <w:bookmarkStart w:id="466" w:name="_Toc354065870"/>
      <w:bookmarkStart w:id="467" w:name="_Toc503369012"/>
      <w:bookmarkStart w:id="468" w:name="_Toc13760241"/>
      <w:r>
        <w:rPr>
          <w:rFonts w:hint="eastAsia"/>
        </w:rPr>
        <w:t>7</w:t>
      </w:r>
      <w:r>
        <w:t>.1.</w:t>
      </w:r>
      <w:bookmarkEnd w:id="466"/>
      <w:r>
        <w:rPr>
          <w:rFonts w:hint="eastAsia"/>
        </w:rPr>
        <w:t>6收运、贮存过程中的恶臭废气控制措施</w:t>
      </w:r>
      <w:bookmarkEnd w:id="467"/>
      <w:bookmarkEnd w:id="468"/>
    </w:p>
    <w:p>
      <w:pPr>
        <w:pStyle w:val="161"/>
        <w:ind w:firstLine="480"/>
      </w:pPr>
      <w:r>
        <w:t>(1)</w:t>
      </w:r>
      <w:r>
        <w:rPr>
          <w:rFonts w:hint="eastAsia"/>
        </w:rPr>
        <w:t>不同类别按其相容性原则建造专用的危险废物贮存设施。</w:t>
      </w:r>
    </w:p>
    <w:p>
      <w:pPr>
        <w:pStyle w:val="161"/>
        <w:ind w:firstLine="480"/>
      </w:pPr>
      <w:r>
        <w:t>(2)</w:t>
      </w:r>
      <w:r>
        <w:rPr>
          <w:rFonts w:hint="eastAsia"/>
        </w:rPr>
        <w:t>在常温常压下不水解、不挥发的固体危险废物在贮存设施内分别堆放，其他危险废物装入容器内。</w:t>
      </w:r>
    </w:p>
    <w:p>
      <w:pPr>
        <w:pStyle w:val="161"/>
        <w:ind w:firstLine="480"/>
      </w:pPr>
      <w:r>
        <w:t>(3)</w:t>
      </w:r>
      <w:r>
        <w:rPr>
          <w:rFonts w:hint="eastAsia"/>
        </w:rPr>
        <w:t>同一容器内不混装不相容</w:t>
      </w:r>
      <w:r>
        <w:t>(</w:t>
      </w:r>
      <w:r>
        <w:rPr>
          <w:rFonts w:hint="eastAsia"/>
        </w:rPr>
        <w:t>相互反应</w:t>
      </w:r>
      <w:r>
        <w:t>)</w:t>
      </w:r>
      <w:r>
        <w:rPr>
          <w:rFonts w:hint="eastAsia"/>
        </w:rPr>
        <w:t>的危险废物。</w:t>
      </w:r>
    </w:p>
    <w:p>
      <w:pPr>
        <w:pStyle w:val="161"/>
        <w:ind w:firstLine="480"/>
      </w:pPr>
      <w:r>
        <w:t>(4)</w:t>
      </w:r>
      <w:r>
        <w:rPr>
          <w:rFonts w:hint="eastAsia"/>
        </w:rPr>
        <w:t>无法装入常用容器的危险废物用防漏胶带等盛装。</w:t>
      </w:r>
    </w:p>
    <w:p>
      <w:pPr>
        <w:pStyle w:val="161"/>
        <w:ind w:firstLine="480"/>
      </w:pPr>
      <w:r>
        <w:t>(5)</w:t>
      </w:r>
      <w:r>
        <w:rPr>
          <w:rFonts w:hint="eastAsia"/>
        </w:rPr>
        <w:t>装载液体、半固体危险废物的容器内留足够空间，容器顶部与液体表面之间保留</w:t>
      </w:r>
      <w:r>
        <w:t>100mm</w:t>
      </w:r>
      <w:r>
        <w:rPr>
          <w:rFonts w:hint="eastAsia"/>
        </w:rPr>
        <w:t>以上的空间。</w:t>
      </w:r>
    </w:p>
    <w:p>
      <w:pPr>
        <w:pStyle w:val="161"/>
        <w:ind w:firstLine="480"/>
      </w:pPr>
      <w:r>
        <w:t>(6)</w:t>
      </w:r>
      <w:r>
        <w:rPr>
          <w:rFonts w:hint="eastAsia"/>
        </w:rPr>
        <w:t>盛装危险废物的容器上粘贴符合国家相关标准的标签。</w:t>
      </w:r>
    </w:p>
    <w:p>
      <w:pPr>
        <w:pStyle w:val="161"/>
        <w:ind w:firstLine="480"/>
      </w:pPr>
      <w:r>
        <w:t>(7)</w:t>
      </w:r>
      <w:r>
        <w:rPr>
          <w:rFonts w:hint="eastAsia"/>
        </w:rPr>
        <w:t>配备泄露液体收集装置、气体导出口及气体净化装置。</w:t>
      </w:r>
    </w:p>
    <w:p>
      <w:pPr>
        <w:pStyle w:val="161"/>
        <w:ind w:firstLine="480"/>
      </w:pPr>
      <w:r>
        <w:t>(8)</w:t>
      </w:r>
      <w:r>
        <w:rPr>
          <w:rFonts w:hint="eastAsia"/>
        </w:rPr>
        <w:t>不相容的危险废物分开存放，并设有隔离间隔断。</w:t>
      </w:r>
    </w:p>
    <w:p>
      <w:pPr>
        <w:pStyle w:val="161"/>
        <w:ind w:firstLine="480"/>
      </w:pPr>
      <w:r>
        <w:rPr>
          <w:rFonts w:hint="eastAsia"/>
        </w:rPr>
        <w:t>(9)飞灰装袋后存储。</w:t>
      </w:r>
    </w:p>
    <w:p>
      <w:pPr>
        <w:pStyle w:val="161"/>
        <w:ind w:firstLine="480"/>
      </w:pPr>
      <w:r>
        <w:rPr>
          <w:rFonts w:hint="eastAsia"/>
        </w:rPr>
        <w:t>通过采取上述各种措施后，可从收集、运输、贮存到焚烧处理全过程防止恶臭污染物的产生，将其控制在最小限度内。</w:t>
      </w:r>
    </w:p>
    <w:p>
      <w:pPr>
        <w:pStyle w:val="161"/>
        <w:ind w:firstLine="480"/>
        <w:rPr>
          <w:rFonts w:hint="eastAsia"/>
        </w:rPr>
      </w:pPr>
      <w:r>
        <w:rPr>
          <w:rFonts w:hint="eastAsia"/>
        </w:rPr>
        <w:t>综上所述，本项目大气污染防治措施可行。</w:t>
      </w:r>
    </w:p>
    <w:p>
      <w:pPr>
        <w:pStyle w:val="5"/>
      </w:pPr>
      <w:r>
        <w:rPr>
          <w:rFonts w:hint="eastAsia"/>
        </w:rPr>
        <w:t>7</w:t>
      </w:r>
      <w:r>
        <w:t>.1.</w:t>
      </w:r>
      <w:r>
        <w:rPr>
          <w:rFonts w:hint="eastAsia"/>
        </w:rPr>
        <w:t>7VOC物料储存无组织控制措施</w:t>
      </w:r>
    </w:p>
    <w:p>
      <w:pPr>
        <w:pStyle w:val="161"/>
        <w:ind w:firstLine="480"/>
        <w:rPr>
          <w:rFonts w:hint="eastAsia"/>
          <w:lang w:val="en-US"/>
        </w:rPr>
      </w:pPr>
      <w:r>
        <w:t>(1)</w:t>
      </w:r>
      <w:r>
        <w:rPr>
          <w:rFonts w:hint="eastAsia"/>
          <w:lang w:val="en-US"/>
        </w:rPr>
        <w:t>VOCs物料储存于密闭的容器、储库中。</w:t>
      </w:r>
    </w:p>
    <w:p>
      <w:pPr>
        <w:pStyle w:val="161"/>
        <w:ind w:firstLine="480"/>
        <w:rPr>
          <w:rFonts w:hint="eastAsia"/>
          <w:lang w:val="en-US"/>
        </w:rPr>
      </w:pPr>
      <w:r>
        <w:t>(2)</w:t>
      </w:r>
      <w:r>
        <w:rPr>
          <w:rFonts w:hint="eastAsia"/>
          <w:lang w:val="en-US"/>
        </w:rPr>
        <w:t>盛装VOCs物料的容器、包装袋存放于仓库和暂存库内。</w:t>
      </w:r>
    </w:p>
    <w:p>
      <w:pPr>
        <w:pStyle w:val="161"/>
        <w:ind w:firstLine="480"/>
      </w:pPr>
      <w:r>
        <w:t>(3)</w:t>
      </w:r>
      <w:r>
        <w:rPr>
          <w:rFonts w:hint="eastAsia"/>
          <w:lang w:val="en-US"/>
        </w:rPr>
        <w:t>盛装VOCs物料的容器、包装袋保持密封良好。</w:t>
      </w:r>
    </w:p>
    <w:p>
      <w:pPr>
        <w:pStyle w:val="4"/>
        <w:adjustRightInd w:val="0"/>
        <w:snapToGrid w:val="0"/>
        <w:spacing w:line="360" w:lineRule="auto"/>
        <w:rPr>
          <w:szCs w:val="24"/>
          <w:lang w:val="zh-CN"/>
        </w:rPr>
      </w:pPr>
      <w:bookmarkStart w:id="469" w:name="_Toc249407539"/>
      <w:bookmarkStart w:id="470" w:name="_Toc292960395"/>
      <w:bookmarkStart w:id="471" w:name="_Toc249964430"/>
      <w:bookmarkStart w:id="472" w:name="_Toc283567827"/>
      <w:bookmarkStart w:id="473" w:name="_Toc13760242"/>
      <w:bookmarkStart w:id="474" w:name="_Toc287018797"/>
      <w:bookmarkStart w:id="475" w:name="_Toc503369013"/>
      <w:bookmarkStart w:id="476" w:name="_Toc249964121"/>
      <w:bookmarkStart w:id="477" w:name="_Toc287018505"/>
      <w:bookmarkStart w:id="478" w:name="_Toc249354894"/>
      <w:bookmarkStart w:id="479" w:name="_Toc251683428"/>
      <w:r>
        <w:rPr>
          <w:rFonts w:hint="eastAsia"/>
          <w:sz w:val="28"/>
          <w:szCs w:val="24"/>
          <w:lang w:val="zh-CN"/>
        </w:rPr>
        <w:t>7</w:t>
      </w:r>
      <w:r>
        <w:rPr>
          <w:sz w:val="28"/>
          <w:szCs w:val="24"/>
          <w:lang w:val="zh-CN"/>
        </w:rPr>
        <w:t>.2</w:t>
      </w:r>
      <w:r>
        <w:rPr>
          <w:rFonts w:hint="eastAsia"/>
          <w:sz w:val="28"/>
          <w:szCs w:val="24"/>
          <w:lang w:val="zh-CN"/>
        </w:rPr>
        <w:t>废水治理措施</w:t>
      </w:r>
      <w:bookmarkEnd w:id="469"/>
      <w:bookmarkEnd w:id="470"/>
      <w:bookmarkEnd w:id="471"/>
      <w:bookmarkEnd w:id="472"/>
      <w:bookmarkEnd w:id="473"/>
      <w:bookmarkEnd w:id="474"/>
      <w:bookmarkEnd w:id="475"/>
      <w:bookmarkEnd w:id="476"/>
      <w:bookmarkEnd w:id="477"/>
      <w:bookmarkEnd w:id="478"/>
      <w:bookmarkEnd w:id="479"/>
    </w:p>
    <w:p>
      <w:pPr>
        <w:pStyle w:val="5"/>
        <w:spacing w:line="360" w:lineRule="auto"/>
        <w:rPr>
          <w:szCs w:val="20"/>
        </w:rPr>
      </w:pPr>
      <w:bookmarkStart w:id="480" w:name="_Toc13760243"/>
      <w:bookmarkStart w:id="481" w:name="_Toc503369014"/>
      <w:r>
        <w:rPr>
          <w:rFonts w:hint="eastAsia"/>
        </w:rPr>
        <w:t>7</w:t>
      </w:r>
      <w:r>
        <w:t>.2.1</w:t>
      </w:r>
      <w:r>
        <w:rPr>
          <w:rFonts w:hint="eastAsia"/>
        </w:rPr>
        <w:t>废水排放及收集情况</w:t>
      </w:r>
      <w:bookmarkEnd w:id="480"/>
      <w:bookmarkEnd w:id="481"/>
    </w:p>
    <w:p>
      <w:pPr>
        <w:pStyle w:val="161"/>
        <w:ind w:firstLine="480"/>
      </w:pPr>
      <w:r>
        <w:rPr>
          <w:rFonts w:hint="eastAsia"/>
        </w:rPr>
        <w:t>与之前批复环评相比，改扩建后项目全厂污水处理工艺和方案没变化，生活污水经化粪池预处理后，送至全厂污水处理站进行处理；</w:t>
      </w:r>
      <w:r>
        <w:t>本项目物化车间澄清池排水和沉淀池废水经“絮凝沉淀”处理后，与焚烧车间喷淋洗涤塔排水由本车间污水处理模块经“絮凝沉淀”处理后排水、冲洗废水、安全填埋场渗滤液</w:t>
      </w:r>
      <w:r>
        <w:rPr>
          <w:rFonts w:hint="eastAsia"/>
        </w:rPr>
        <w:t>、</w:t>
      </w:r>
      <w:r>
        <w:t>物化车间酸雾吸收塔排水</w:t>
      </w:r>
      <w:r>
        <w:rPr>
          <w:rFonts w:hint="eastAsia"/>
        </w:rPr>
        <w:t>、</w:t>
      </w:r>
      <w:r>
        <w:t>循环水系统排水</w:t>
      </w:r>
      <w:r>
        <w:rPr>
          <w:rFonts w:hint="eastAsia"/>
        </w:rPr>
        <w:t>、</w:t>
      </w:r>
      <w:r>
        <w:t>余热锅炉排水及软化水系统排水</w:t>
      </w:r>
      <w:r>
        <w:rPr>
          <w:rFonts w:hint="eastAsia"/>
        </w:rPr>
        <w:t>、</w:t>
      </w:r>
      <w:r>
        <w:t>污水处理站排浓水采用“Fenton+强制循环蒸发”的方法进行处理，处理后的冷凝液与化验用水以及生活污水送至全厂污水处理站，经“絮凝沉淀+水解酸化+MBR+回用系统”处理后，出水部分回用至固化车间，其余回用至焚烧车间，浓水送至</w:t>
      </w:r>
      <w:r>
        <w:rPr>
          <w:rFonts w:hint="eastAsia"/>
        </w:rPr>
        <w:t>固化</w:t>
      </w:r>
      <w:r>
        <w:t>车间。本项目处理后的废水全部回用于各生产工段，全厂无废水外排。</w:t>
      </w:r>
      <w:r>
        <w:rPr>
          <w:rFonts w:hint="eastAsia"/>
        </w:rPr>
        <w:t>污水处理站规模扩大为500m</w:t>
      </w:r>
      <w:r>
        <w:rPr>
          <w:rFonts w:hint="eastAsia"/>
          <w:vertAlign w:val="superscript"/>
        </w:rPr>
        <w:t>3</w:t>
      </w:r>
      <w:r>
        <w:rPr>
          <w:rFonts w:hint="eastAsia"/>
        </w:rPr>
        <w:t>/d。</w:t>
      </w:r>
      <w:r>
        <w:rPr>
          <w:rFonts w:hint="eastAsia" w:asciiTheme="minorEastAsia" w:hAnsiTheme="minorEastAsia"/>
        </w:rPr>
        <w:t>本次针对改扩建</w:t>
      </w:r>
      <w:r>
        <w:rPr>
          <w:rFonts w:hint="eastAsia"/>
        </w:rPr>
        <w:t>后全厂污水处理设置方案进行介绍及评价。</w:t>
      </w:r>
    </w:p>
    <w:p>
      <w:pPr>
        <w:pStyle w:val="161"/>
        <w:ind w:firstLine="480"/>
        <w:outlineLvl w:val="0"/>
      </w:pPr>
      <w:bookmarkStart w:id="482" w:name="_Toc13760244"/>
      <w:bookmarkStart w:id="483" w:name="_Toc13582213"/>
      <w:r>
        <w:rPr>
          <w:rFonts w:hint="eastAsia" w:hAnsi="宋体"/>
        </w:rPr>
        <w:t>⑴</w:t>
      </w:r>
      <w:r>
        <w:rPr>
          <w:rFonts w:hint="eastAsia"/>
        </w:rPr>
        <w:t>生活污水排水系统</w:t>
      </w:r>
      <w:bookmarkEnd w:id="482"/>
      <w:bookmarkEnd w:id="483"/>
    </w:p>
    <w:p>
      <w:pPr>
        <w:ind w:firstLine="480"/>
      </w:pPr>
      <w:r>
        <w:rPr>
          <w:rFonts w:hint="eastAsia"/>
        </w:rPr>
        <w:t>本系统主要用于收集各装置区建筑物内卫生间、厕所、浴室、餐厅等设施的生活污水。危废综合处置厂的生活污水收集经装置区内的化粪池预处理后，</w:t>
      </w:r>
      <w:r>
        <w:rPr>
          <w:rFonts w:hint="eastAsia"/>
          <w:szCs w:val="24"/>
        </w:rPr>
        <w:t>送至全厂污水处理站进行处理</w:t>
      </w:r>
      <w:r>
        <w:rPr>
          <w:rFonts w:hint="eastAsia"/>
        </w:rPr>
        <w:t>；安全填埋场产生的生活污水排入厂区设置的防渗化粪池，定期由吸污车进行清理运输至全厂污水处理站进行处理。全厂生活污水产生量为</w:t>
      </w:r>
      <w:r>
        <w:t>9.92m</w:t>
      </w:r>
      <w:r>
        <w:rPr>
          <w:vertAlign w:val="superscript"/>
        </w:rPr>
        <w:t>3</w:t>
      </w:r>
      <w:r>
        <w:t>/d</w:t>
      </w:r>
      <w:r>
        <w:rPr>
          <w:rFonts w:hint="eastAsia"/>
        </w:rPr>
        <w:t>。</w:t>
      </w:r>
    </w:p>
    <w:p>
      <w:pPr>
        <w:pStyle w:val="739"/>
        <w:ind w:firstLine="480"/>
        <w:outlineLvl w:val="0"/>
      </w:pPr>
      <w:bookmarkStart w:id="484" w:name="_Toc13582214"/>
      <w:bookmarkStart w:id="485" w:name="_Toc13760245"/>
      <w:r>
        <w:rPr>
          <w:rFonts w:hint="eastAsia" w:hAnsi="宋体"/>
        </w:rPr>
        <w:t>⑵</w:t>
      </w:r>
      <w:r>
        <w:rPr>
          <w:rFonts w:hint="eastAsia"/>
        </w:rPr>
        <w:t>化验废水排水系统</w:t>
      </w:r>
      <w:bookmarkEnd w:id="484"/>
      <w:bookmarkEnd w:id="485"/>
    </w:p>
    <w:p>
      <w:pPr>
        <w:ind w:firstLine="480"/>
      </w:pPr>
      <w:r>
        <w:rPr>
          <w:rFonts w:hint="eastAsia"/>
        </w:rPr>
        <w:t>项目设有分析中心，内设化验室对危险废物的成分、热值、重金属含量以及水质进行分析。由于化验室的特点，造成此部分水量复杂多变，污染物浓度较高，废水中主要污染物为</w:t>
      </w:r>
      <w:r>
        <w:t>COD</w:t>
      </w:r>
      <w:r>
        <w:rPr>
          <w:rFonts w:hint="eastAsia"/>
        </w:rPr>
        <w:t>、重金属、石油类等。实验室有毒的化学品废水为3</w:t>
      </w:r>
      <w:r>
        <w:t>.0m</w:t>
      </w:r>
      <w:r>
        <w:rPr>
          <w:vertAlign w:val="superscript"/>
        </w:rPr>
        <w:t>3</w:t>
      </w:r>
      <w:r>
        <w:t>/d</w:t>
      </w:r>
      <w:r>
        <w:rPr>
          <w:rFonts w:hint="eastAsia"/>
        </w:rPr>
        <w:t>，收集后送至本项目厂区污水处理站进行处理。</w:t>
      </w:r>
    </w:p>
    <w:p>
      <w:pPr>
        <w:pStyle w:val="739"/>
        <w:ind w:firstLine="480"/>
        <w:outlineLvl w:val="0"/>
      </w:pPr>
      <w:bookmarkStart w:id="486" w:name="_Toc13760246"/>
      <w:bookmarkStart w:id="487" w:name="_Toc13582215"/>
      <w:r>
        <w:rPr>
          <w:rFonts w:hint="eastAsia" w:hAnsi="宋体"/>
        </w:rPr>
        <w:t>⑶</w:t>
      </w:r>
      <w:r>
        <w:rPr>
          <w:rFonts w:hint="eastAsia"/>
        </w:rPr>
        <w:t>冲洗废水排水系统</w:t>
      </w:r>
      <w:bookmarkEnd w:id="486"/>
      <w:bookmarkEnd w:id="487"/>
    </w:p>
    <w:p>
      <w:pPr>
        <w:ind w:firstLine="480"/>
      </w:pPr>
      <w:r>
        <w:rPr>
          <w:rFonts w:hint="eastAsia"/>
        </w:rPr>
        <w:t>冲洗废水主要包括地面清洗水、洗车废水和容器冲洗水。由于运输中的抛洒和烟气污染物进入大气候的扩散沉降，厂内道路、场地冲洗排水中含有悬浮物和少量重金属；危险废物运输车辆卸料后必须冲洗才能出场，洗车废水中含有石油类、悬浮物、重金属、有机物等；场内包装桶需要清洗，废水中含有石油类、悬浮物、重金属、有机物等。危废综合处置厂的冲洗废水收集后直接送至全厂污水处理站，安全填埋场产生的冲洗废水排入安全填埋场洗车台处设置的容积为</w:t>
      </w:r>
      <w:r>
        <w:t>100m</w:t>
      </w:r>
      <w:r>
        <w:rPr>
          <w:vertAlign w:val="superscript"/>
        </w:rPr>
        <w:t>3</w:t>
      </w:r>
      <w:r>
        <w:rPr>
          <w:rFonts w:hint="eastAsia"/>
        </w:rPr>
        <w:t>的防渗暂存池，定期由吸污车进行清理运输至全厂污水处理站，先进行</w:t>
      </w:r>
      <w:r>
        <w:t>“Fenton+强制循环蒸发”</w:t>
      </w:r>
      <w:r>
        <w:rPr>
          <w:rFonts w:hint="eastAsia"/>
        </w:rPr>
        <w:t>处理，再</w:t>
      </w:r>
      <w:r>
        <w:t>经“絮凝沉淀+水解酸化+MBR+回用系统”处理</w:t>
      </w:r>
      <w:r>
        <w:rPr>
          <w:rFonts w:hint="eastAsia"/>
        </w:rPr>
        <w:t>。全厂冲洗废水产生量为30.0</w:t>
      </w:r>
      <w:r>
        <w:t>m</w:t>
      </w:r>
      <w:r>
        <w:rPr>
          <w:vertAlign w:val="superscript"/>
        </w:rPr>
        <w:t>3</w:t>
      </w:r>
      <w:r>
        <w:t>/d</w:t>
      </w:r>
      <w:r>
        <w:rPr>
          <w:rFonts w:hint="eastAsia"/>
        </w:rPr>
        <w:t>。</w:t>
      </w:r>
    </w:p>
    <w:p>
      <w:pPr>
        <w:pStyle w:val="739"/>
        <w:ind w:firstLine="480"/>
        <w:outlineLvl w:val="0"/>
      </w:pPr>
      <w:bookmarkStart w:id="488" w:name="_Toc13760247"/>
      <w:bookmarkStart w:id="489" w:name="_Toc13582216"/>
      <w:r>
        <w:rPr>
          <w:rFonts w:hint="eastAsia" w:hAnsi="宋体"/>
        </w:rPr>
        <w:t>⑷</w:t>
      </w:r>
      <w:r>
        <w:rPr>
          <w:rFonts w:hint="eastAsia"/>
        </w:rPr>
        <w:t>填埋场渗滤液排水系统</w:t>
      </w:r>
      <w:bookmarkEnd w:id="488"/>
      <w:bookmarkEnd w:id="489"/>
    </w:p>
    <w:p>
      <w:pPr>
        <w:ind w:firstLine="480"/>
      </w:pPr>
      <w:r>
        <w:rPr>
          <w:rFonts w:hint="eastAsia"/>
        </w:rPr>
        <w:t>本项目全厂渗滤液产生量为</w:t>
      </w:r>
      <w:r>
        <w:t>8.6m</w:t>
      </w:r>
      <w:r>
        <w:rPr>
          <w:vertAlign w:val="superscript"/>
        </w:rPr>
        <w:t>3</w:t>
      </w:r>
      <w:r>
        <w:t>/d</w:t>
      </w:r>
      <w:r>
        <w:rPr>
          <w:rFonts w:hint="eastAsia"/>
        </w:rPr>
        <w:t>，该部分废水由罐车送至全厂污水处理站进行处理。先进行</w:t>
      </w:r>
      <w:r>
        <w:t>“Fenton+强制循环蒸发”</w:t>
      </w:r>
      <w:r>
        <w:rPr>
          <w:rFonts w:hint="eastAsia"/>
        </w:rPr>
        <w:t>处理，再</w:t>
      </w:r>
      <w:r>
        <w:t>经“絮凝沉淀+水解酸化+MBR+回用系统”处理</w:t>
      </w:r>
      <w:r>
        <w:rPr>
          <w:rFonts w:hint="eastAsia"/>
        </w:rPr>
        <w:t>。</w:t>
      </w:r>
    </w:p>
    <w:p>
      <w:pPr>
        <w:pStyle w:val="739"/>
        <w:ind w:firstLine="480"/>
        <w:outlineLvl w:val="0"/>
      </w:pPr>
      <w:bookmarkStart w:id="490" w:name="_Toc13760248"/>
      <w:bookmarkStart w:id="491" w:name="_Toc13582217"/>
      <w:r>
        <w:rPr>
          <w:rFonts w:hint="eastAsia" w:hAnsi="宋体"/>
        </w:rPr>
        <w:t>⑸</w:t>
      </w:r>
      <w:r>
        <w:rPr>
          <w:rFonts w:hint="eastAsia"/>
        </w:rPr>
        <w:t>生产废水排水系统</w:t>
      </w:r>
      <w:bookmarkEnd w:id="490"/>
      <w:bookmarkEnd w:id="491"/>
    </w:p>
    <w:p>
      <w:pPr>
        <w:ind w:firstLine="480"/>
      </w:pPr>
      <w:r>
        <w:rPr>
          <w:rFonts w:hint="eastAsia"/>
        </w:rPr>
        <w:t>生产废水排水系统主要收集物化车间、</w:t>
      </w:r>
      <w:r>
        <w:rPr>
          <w:rFonts w:hint="eastAsia"/>
          <w:szCs w:val="24"/>
        </w:rPr>
        <w:t>软化水站、循环水系统和焚烧车间的排水。</w:t>
      </w:r>
    </w:p>
    <w:p>
      <w:pPr>
        <w:ind w:firstLine="480"/>
      </w:pPr>
      <w:r>
        <w:rPr>
          <w:rFonts w:hint="eastAsia"/>
        </w:rPr>
        <w:t>物化车间的酸雾吸收塔排水1.89</w:t>
      </w:r>
      <w:r>
        <w:t>m</w:t>
      </w:r>
      <w:r>
        <w:rPr>
          <w:vertAlign w:val="superscript"/>
        </w:rPr>
        <w:t>3</w:t>
      </w:r>
      <w:r>
        <w:t>/d</w:t>
      </w:r>
      <w:r>
        <w:rPr>
          <w:rFonts w:hint="eastAsia"/>
        </w:rPr>
        <w:t>送至污水处理站处理，澄清池排水41.948</w:t>
      </w:r>
      <w:r>
        <w:t>m</w:t>
      </w:r>
      <w:r>
        <w:rPr>
          <w:vertAlign w:val="superscript"/>
        </w:rPr>
        <w:t>3</w:t>
      </w:r>
      <w:r>
        <w:t>/d</w:t>
      </w:r>
      <w:r>
        <w:rPr>
          <w:rFonts w:hint="eastAsia"/>
        </w:rPr>
        <w:t>和沉淀池废水9.702</w:t>
      </w:r>
      <w:r>
        <w:t>m</w:t>
      </w:r>
      <w:r>
        <w:rPr>
          <w:vertAlign w:val="superscript"/>
        </w:rPr>
        <w:t>3</w:t>
      </w:r>
      <w:r>
        <w:t>/d</w:t>
      </w:r>
      <w:r>
        <w:rPr>
          <w:rFonts w:hint="eastAsia"/>
        </w:rPr>
        <w:t>经本车间污水处理模块处理、软化水站排污水3.63</w:t>
      </w:r>
      <w:r>
        <w:t>m</w:t>
      </w:r>
      <w:r>
        <w:rPr>
          <w:vertAlign w:val="superscript"/>
        </w:rPr>
        <w:t>3</w:t>
      </w:r>
      <w:r>
        <w:t>/d</w:t>
      </w:r>
      <w:r>
        <w:rPr>
          <w:rFonts w:hint="eastAsia"/>
        </w:rPr>
        <w:t>、循环水系统排污水12.00</w:t>
      </w:r>
      <w:r>
        <w:t>m</w:t>
      </w:r>
      <w:r>
        <w:rPr>
          <w:vertAlign w:val="superscript"/>
        </w:rPr>
        <w:t>3</w:t>
      </w:r>
      <w:r>
        <w:t>/d</w:t>
      </w:r>
      <w:r>
        <w:rPr>
          <w:rFonts w:hint="eastAsia"/>
        </w:rPr>
        <w:t>、余热锅炉排水11.50</w:t>
      </w:r>
      <w:r>
        <w:t>m</w:t>
      </w:r>
      <w:r>
        <w:rPr>
          <w:vertAlign w:val="superscript"/>
        </w:rPr>
        <w:t>3</w:t>
      </w:r>
      <w:r>
        <w:t>/d</w:t>
      </w:r>
      <w:r>
        <w:rPr>
          <w:rFonts w:hint="eastAsia"/>
        </w:rPr>
        <w:t>、喷淋洗涤塔排水排水29.00</w:t>
      </w:r>
      <w:r>
        <w:t>m</w:t>
      </w:r>
      <w:r>
        <w:rPr>
          <w:vertAlign w:val="superscript"/>
        </w:rPr>
        <w:t>3</w:t>
      </w:r>
      <w:r>
        <w:t>/d</w:t>
      </w:r>
      <w:r>
        <w:rPr>
          <w:rFonts w:hint="eastAsia"/>
        </w:rPr>
        <w:t>送至厂区污水处理站的强制蒸发系统；之后再</w:t>
      </w:r>
      <w:r>
        <w:t>经“絮凝沉淀+水解酸化+MBR+回用系统”处理后</w:t>
      </w:r>
      <w:r>
        <w:rPr>
          <w:rFonts w:hint="eastAsia"/>
        </w:rPr>
        <w:t>回用。</w:t>
      </w:r>
    </w:p>
    <w:p>
      <w:pPr>
        <w:pStyle w:val="739"/>
        <w:ind w:firstLine="480"/>
        <w:outlineLvl w:val="0"/>
      </w:pPr>
      <w:bookmarkStart w:id="492" w:name="_Toc13582218"/>
      <w:bookmarkStart w:id="493" w:name="_Toc13760249"/>
      <w:r>
        <w:rPr>
          <w:rFonts w:hint="eastAsia" w:hAnsi="宋体"/>
        </w:rPr>
        <w:t>⑹</w:t>
      </w:r>
      <w:r>
        <w:rPr>
          <w:rFonts w:hint="eastAsia"/>
        </w:rPr>
        <w:t>厂区污水处理站排水系统</w:t>
      </w:r>
      <w:bookmarkEnd w:id="492"/>
      <w:bookmarkEnd w:id="493"/>
    </w:p>
    <w:p>
      <w:pPr>
        <w:ind w:firstLine="480"/>
      </w:pPr>
      <w:r>
        <w:rPr>
          <w:rFonts w:hint="eastAsia"/>
        </w:rPr>
        <w:t>厂区污水处理站收集处理强制蒸发系统的凝结水、化验废水、冲洗废水、填埋场渗滤液、</w:t>
      </w:r>
      <w:r>
        <w:t>物化车间酸雾吸收塔排水</w:t>
      </w:r>
      <w:r>
        <w:rPr>
          <w:rFonts w:hint="eastAsia"/>
        </w:rPr>
        <w:t>、</w:t>
      </w:r>
      <w:r>
        <w:t>循环水系统排水</w:t>
      </w:r>
      <w:r>
        <w:rPr>
          <w:rFonts w:hint="eastAsia"/>
        </w:rPr>
        <w:t>、</w:t>
      </w:r>
      <w:r>
        <w:t>余热锅炉排水及软化水系统排水以及生活污水</w:t>
      </w:r>
      <w:r>
        <w:rPr>
          <w:rFonts w:hint="eastAsia"/>
        </w:rPr>
        <w:t>共151.19</w:t>
      </w:r>
      <w:r>
        <w:t>m</w:t>
      </w:r>
      <w:r>
        <w:rPr>
          <w:vertAlign w:val="superscript"/>
        </w:rPr>
        <w:t>3</w:t>
      </w:r>
      <w:r>
        <w:t>/d</w:t>
      </w:r>
      <w:r>
        <w:rPr>
          <w:rFonts w:hint="eastAsia"/>
        </w:rPr>
        <w:t>，</w:t>
      </w:r>
      <w:r>
        <w:rPr>
          <w:rFonts w:hint="eastAsia"/>
          <w:szCs w:val="24"/>
        </w:rPr>
        <w:t>处理后的厂区污水处理站出水部分回用至固化车间，部分回用至焚烧车间，排浓水送至固化车间</w:t>
      </w:r>
      <w:r>
        <w:rPr>
          <w:rFonts w:hint="eastAsia"/>
        </w:rPr>
        <w:t>。</w:t>
      </w:r>
    </w:p>
    <w:p>
      <w:pPr>
        <w:pStyle w:val="739"/>
        <w:ind w:firstLine="480"/>
        <w:outlineLvl w:val="0"/>
      </w:pPr>
      <w:bookmarkStart w:id="494" w:name="_Toc13582219"/>
      <w:bookmarkStart w:id="495" w:name="_Toc13760250"/>
      <w:r>
        <w:rPr>
          <w:rFonts w:hint="eastAsia" w:hAnsi="宋体"/>
        </w:rPr>
        <w:t>⑺</w:t>
      </w:r>
      <w:r>
        <w:rPr>
          <w:rFonts w:hint="eastAsia"/>
        </w:rPr>
        <w:t>污染雨水排水系统</w:t>
      </w:r>
      <w:bookmarkEnd w:id="494"/>
      <w:bookmarkEnd w:id="495"/>
    </w:p>
    <w:p>
      <w:pPr>
        <w:ind w:firstLine="480"/>
      </w:pPr>
      <w:r>
        <w:rPr>
          <w:rFonts w:hint="eastAsia"/>
        </w:rPr>
        <w:t>本系统主要用于收集装置污染区域内的地面初期雨水。</w:t>
      </w:r>
    </w:p>
    <w:p>
      <w:pPr>
        <w:ind w:firstLine="480"/>
        <w:rPr>
          <w:szCs w:val="24"/>
        </w:rPr>
      </w:pPr>
      <w:r>
        <w:rPr>
          <w:rFonts w:hint="eastAsia"/>
          <w:szCs w:val="24"/>
        </w:rPr>
        <w:t>装置污染区的初期污染雨水，应收集后排至厂区设置的一</w:t>
      </w:r>
      <w:r>
        <w:rPr>
          <w:rFonts w:cs="Times New Roman"/>
          <w:szCs w:val="24"/>
        </w:rPr>
        <w:t>座1406.25m</w:t>
      </w:r>
      <w:r>
        <w:rPr>
          <w:rFonts w:cs="Times New Roman"/>
          <w:szCs w:val="24"/>
          <w:vertAlign w:val="superscript"/>
        </w:rPr>
        <w:t>3</w:t>
      </w:r>
      <w:r>
        <w:rPr>
          <w:rFonts w:cs="Times New Roman"/>
          <w:szCs w:val="24"/>
        </w:rPr>
        <w:t>的</w:t>
      </w:r>
      <w:r>
        <w:rPr>
          <w:rFonts w:hint="eastAsia"/>
          <w:szCs w:val="24"/>
        </w:rPr>
        <w:t>事故及雨水池。装置污染区的后期清净雨水通过溢流井，自动切换到清净雨水系统。为保证消防工况下装置雨水管网排水能力的可靠性，各装置界区内的初期雨水管和雨水排出管应按事故及消防工况下的排水量校核管径。</w:t>
      </w:r>
    </w:p>
    <w:p>
      <w:pPr>
        <w:pStyle w:val="739"/>
        <w:ind w:firstLine="480"/>
        <w:outlineLvl w:val="0"/>
      </w:pPr>
      <w:bookmarkStart w:id="496" w:name="_Toc13582220"/>
      <w:bookmarkStart w:id="497" w:name="_Toc13760251"/>
      <w:r>
        <w:rPr>
          <w:rFonts w:hint="eastAsia" w:hAnsi="宋体"/>
        </w:rPr>
        <w:t>⑻</w:t>
      </w:r>
      <w:r>
        <w:rPr>
          <w:rFonts w:hint="eastAsia"/>
        </w:rPr>
        <w:t>雨水排水系统</w:t>
      </w:r>
      <w:bookmarkEnd w:id="496"/>
      <w:bookmarkEnd w:id="497"/>
    </w:p>
    <w:p>
      <w:pPr>
        <w:ind w:firstLine="480"/>
      </w:pPr>
      <w:r>
        <w:rPr>
          <w:rFonts w:hint="eastAsia"/>
        </w:rPr>
        <w:t>本系统收集全厂未污染的雨水，以重力流形式分散、就近排入全厂雨水排水管系统。该系统根据各装置的汇流面积，经计算确定集中以管道重力流排至全厂雨水排水系统。</w:t>
      </w:r>
    </w:p>
    <w:p>
      <w:pPr>
        <w:ind w:firstLine="480"/>
      </w:pPr>
      <w:r>
        <w:rPr>
          <w:rFonts w:hint="eastAsia"/>
        </w:rPr>
        <w:t>污染区和非污染区的雨水沟设计，应用雨水量和该装置消防排水量设计。</w:t>
      </w:r>
    </w:p>
    <w:p>
      <w:pPr>
        <w:pStyle w:val="739"/>
        <w:ind w:firstLine="480"/>
        <w:outlineLvl w:val="0"/>
      </w:pPr>
      <w:bookmarkStart w:id="498" w:name="_Toc13760252"/>
      <w:bookmarkStart w:id="499" w:name="_Toc13582221"/>
      <w:r>
        <w:rPr>
          <w:rFonts w:hint="eastAsia"/>
        </w:rPr>
        <w:t>⑼事故水收集系统</w:t>
      </w:r>
      <w:bookmarkEnd w:id="498"/>
      <w:bookmarkEnd w:id="499"/>
    </w:p>
    <w:p>
      <w:pPr>
        <w:ind w:firstLine="480"/>
      </w:pPr>
      <w:r>
        <w:rPr>
          <w:rFonts w:hint="eastAsia"/>
        </w:rPr>
        <w:t>本项目危废综合处置厂区设</w:t>
      </w:r>
      <w:r>
        <w:t>1</w:t>
      </w:r>
      <w:r>
        <w:rPr>
          <w:rFonts w:hint="eastAsia"/>
        </w:rPr>
        <w:t>座</w:t>
      </w:r>
      <w:r>
        <w:rPr>
          <w:rFonts w:cs="Times New Roman"/>
          <w:szCs w:val="24"/>
        </w:rPr>
        <w:t>1406.25m</w:t>
      </w:r>
      <w:r>
        <w:rPr>
          <w:rFonts w:cs="Times New Roman"/>
          <w:szCs w:val="24"/>
          <w:vertAlign w:val="superscript"/>
        </w:rPr>
        <w:t>3</w:t>
      </w:r>
      <w:r>
        <w:rPr>
          <w:rFonts w:hint="eastAsia"/>
        </w:rPr>
        <w:t>的全厂事故及雨水收集池。</w:t>
      </w:r>
    </w:p>
    <w:p>
      <w:pPr>
        <w:ind w:firstLine="480"/>
      </w:pPr>
      <w:r>
        <w:rPr>
          <w:rFonts w:hint="eastAsia"/>
        </w:rPr>
        <w:t>本项目危废综合处置厂区设置</w:t>
      </w:r>
      <w:r>
        <w:t>1</w:t>
      </w:r>
      <w:r>
        <w:rPr>
          <w:rFonts w:hint="eastAsia"/>
        </w:rPr>
        <w:t>座焚烧车间废水收集池，收集本项目焚烧车间非满负荷运行的情况下该车间未能回用的厂区排水。</w:t>
      </w:r>
    </w:p>
    <w:p>
      <w:pPr>
        <w:pStyle w:val="5"/>
      </w:pPr>
      <w:bookmarkStart w:id="500" w:name="_Toc13760253"/>
      <w:bookmarkStart w:id="501" w:name="_Toc503369016"/>
      <w:r>
        <w:rPr>
          <w:rFonts w:hint="eastAsia"/>
        </w:rPr>
        <w:t>7.2.2厂区污水处理设施</w:t>
      </w:r>
      <w:bookmarkEnd w:id="500"/>
      <w:bookmarkEnd w:id="501"/>
    </w:p>
    <w:p>
      <w:pPr>
        <w:pStyle w:val="178"/>
        <w:snapToGrid w:val="0"/>
        <w:ind w:firstLine="480"/>
        <w:jc w:val="both"/>
        <w:rPr>
          <w:rFonts w:ascii="Times New Roman" w:hAnsi="Times New Roman"/>
        </w:rPr>
      </w:pPr>
      <w:r>
        <w:rPr>
          <w:rFonts w:hint="eastAsia" w:ascii="Times New Roman" w:hAnsi="Times New Roman"/>
        </w:rPr>
        <w:t>项目的废水特征为：</w:t>
      </w:r>
      <w:r>
        <w:rPr>
          <w:rFonts w:ascii="Times New Roman" w:hAnsi="Times New Roman"/>
        </w:rPr>
        <w:t>COD</w:t>
      </w:r>
      <w:r>
        <w:rPr>
          <w:rFonts w:hint="eastAsia" w:ascii="Times New Roman" w:hAnsi="Times New Roman"/>
        </w:rPr>
        <w:t>较高，同时由于本项目所接收危险废物的特性，废水中含有一定量的重金属离子，部分废水含盐量较高。因此，本项目污水处理系统考虑对不同的废水采取不同的污水处理方式，其中：</w:t>
      </w:r>
    </w:p>
    <w:p>
      <w:pPr>
        <w:pStyle w:val="178"/>
        <w:snapToGrid w:val="0"/>
        <w:ind w:firstLine="480"/>
        <w:jc w:val="both"/>
        <w:rPr>
          <w:rFonts w:ascii="Times New Roman" w:hAnsi="Times New Roman"/>
        </w:rPr>
      </w:pPr>
      <w:r>
        <w:rPr>
          <w:rFonts w:hint="eastAsia"/>
        </w:rPr>
        <w:t>改扩建后</w:t>
      </w:r>
      <w:r>
        <w:t>物化车间澄清池排水和沉淀池废水经“絮凝沉淀”处理后，与焚烧车间喷淋洗涤塔排水由本车间污水处理模块经“絮凝沉淀”处理后排水、冲洗废水、安全填埋场渗滤液</w:t>
      </w:r>
      <w:r>
        <w:rPr>
          <w:rFonts w:hint="eastAsia"/>
        </w:rPr>
        <w:t>、</w:t>
      </w:r>
      <w:r>
        <w:t>物化车间酸雾吸收塔排水</w:t>
      </w:r>
      <w:r>
        <w:rPr>
          <w:rFonts w:hint="eastAsia"/>
        </w:rPr>
        <w:t>、</w:t>
      </w:r>
      <w:r>
        <w:t>循环水系统排水</w:t>
      </w:r>
      <w:r>
        <w:rPr>
          <w:rFonts w:hint="eastAsia"/>
        </w:rPr>
        <w:t>、</w:t>
      </w:r>
      <w:r>
        <w:t>余热锅炉排水及软化水系统排水</w:t>
      </w:r>
      <w:r>
        <w:rPr>
          <w:rFonts w:hint="eastAsia"/>
        </w:rPr>
        <w:t>、</w:t>
      </w:r>
      <w:r>
        <w:t>污水处理站排浓水采用“Fenton+强制循环蒸发”的方法进行处理，处理后的冷凝液与化验用水以及生活污水送至全厂污水处理站，经“絮凝沉淀+水解酸化+MBR+回用系统”处理后，出水部分回用至固化车间，其余回用至焚烧车间，浓水送至</w:t>
      </w:r>
      <w:r>
        <w:rPr>
          <w:rFonts w:hint="eastAsia"/>
        </w:rPr>
        <w:t>固化</w:t>
      </w:r>
      <w:r>
        <w:t>车间。</w:t>
      </w:r>
    </w:p>
    <w:p>
      <w:pPr>
        <w:pStyle w:val="6"/>
      </w:pPr>
      <w:r>
        <w:rPr>
          <w:rFonts w:hint="eastAsia"/>
        </w:rPr>
        <w:t>7.2.2.1焚烧车间污水处理模块</w:t>
      </w:r>
    </w:p>
    <w:p>
      <w:pPr>
        <w:pStyle w:val="178"/>
        <w:snapToGrid w:val="0"/>
        <w:ind w:firstLine="480"/>
        <w:jc w:val="both"/>
        <w:rPr>
          <w:rFonts w:ascii="Times New Roman" w:hAnsi="Times New Roman"/>
        </w:rPr>
      </w:pPr>
      <w:r>
        <w:rPr>
          <w:rFonts w:ascii="Times New Roman" w:hAnsi="Times New Roman"/>
        </w:rPr>
        <w:t>(1)</w:t>
      </w:r>
      <w:r>
        <w:rPr>
          <w:rFonts w:hint="eastAsia" w:ascii="Times New Roman" w:hAnsi="Times New Roman"/>
        </w:rPr>
        <w:t>处理规模</w:t>
      </w:r>
    </w:p>
    <w:p>
      <w:pPr>
        <w:pStyle w:val="178"/>
        <w:snapToGrid w:val="0"/>
        <w:ind w:firstLine="480"/>
        <w:jc w:val="both"/>
        <w:rPr>
          <w:rFonts w:ascii="Times New Roman" w:hAnsi="Times New Roman"/>
        </w:rPr>
      </w:pPr>
      <w:r>
        <w:rPr>
          <w:rFonts w:hint="eastAsia" w:ascii="Times New Roman" w:hAnsi="Times New Roman"/>
        </w:rPr>
        <w:t>本项目焚烧车间污水处理模块主要接纳的废水为本车间喷淋洗涤塔排水，处理工艺为絮凝沉淀，主要考虑去除该股废水中的重金属，该模块建设处理能力为40</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w:t>
      </w:r>
    </w:p>
    <w:p>
      <w:pPr>
        <w:pStyle w:val="739"/>
        <w:ind w:firstLine="480"/>
        <w:outlineLvl w:val="0"/>
      </w:pPr>
      <w:bookmarkStart w:id="502" w:name="_Toc13582223"/>
      <w:bookmarkStart w:id="503" w:name="_Toc13760254"/>
      <w:r>
        <w:t>(2)</w:t>
      </w:r>
      <w:r>
        <w:rPr>
          <w:rFonts w:hint="eastAsia"/>
        </w:rPr>
        <w:t>处理工艺</w:t>
      </w:r>
      <w:bookmarkEnd w:id="502"/>
      <w:bookmarkEnd w:id="503"/>
    </w:p>
    <w:p>
      <w:pPr>
        <w:pStyle w:val="178"/>
        <w:snapToGrid w:val="0"/>
        <w:ind w:firstLine="480"/>
        <w:jc w:val="both"/>
        <w:rPr>
          <w:rFonts w:ascii="Times New Roman" w:hAnsi="Times New Roman"/>
        </w:rPr>
      </w:pPr>
      <w:r>
        <w:rPr>
          <w:rFonts w:hint="eastAsia" w:ascii="Times New Roman" w:hAnsi="Times New Roman"/>
        </w:rPr>
        <w:t>由于焚烧车间湿法脱酸塔排水含盐量、</w:t>
      </w:r>
      <w:r>
        <w:rPr>
          <w:rFonts w:ascii="Times New Roman" w:hAnsi="Times New Roman"/>
        </w:rPr>
        <w:t>COD</w:t>
      </w:r>
      <w:r>
        <w:rPr>
          <w:rFonts w:hint="eastAsia" w:ascii="Times New Roman" w:hAnsi="Times New Roman"/>
        </w:rPr>
        <w:t>及重金属含量较高，考虑到车间出水的第一类污染物应满足污水综合排放标准</w:t>
      </w:r>
      <w:r>
        <w:rPr>
          <w:rFonts w:ascii="Times New Roman" w:hAnsi="Times New Roman"/>
        </w:rPr>
        <w:t>(GB8979-1996)</w:t>
      </w:r>
      <w:r>
        <w:rPr>
          <w:rFonts w:hint="eastAsia" w:ascii="Times New Roman" w:hAnsi="Times New Roman"/>
        </w:rPr>
        <w:t>中表</w:t>
      </w:r>
      <w:r>
        <w:rPr>
          <w:rFonts w:ascii="Times New Roman" w:hAnsi="Times New Roman"/>
        </w:rPr>
        <w:t>1</w:t>
      </w:r>
      <w:r>
        <w:rPr>
          <w:rFonts w:hint="eastAsia" w:ascii="Times New Roman" w:hAnsi="Times New Roman"/>
        </w:rPr>
        <w:t>的相关要求，因此本项目考在焚烧车间设置一座</w:t>
      </w:r>
      <w:r>
        <w:rPr>
          <w:rFonts w:ascii="Times New Roman" w:hAnsi="Times New Roman"/>
        </w:rPr>
        <w:t>“</w:t>
      </w:r>
      <w:r>
        <w:rPr>
          <w:rFonts w:hint="eastAsia" w:ascii="Times New Roman" w:hAnsi="Times New Roman"/>
        </w:rPr>
        <w:t>絮凝沉淀系统</w:t>
      </w:r>
      <w:r>
        <w:rPr>
          <w:rFonts w:ascii="Times New Roman" w:hAnsi="Times New Roman"/>
        </w:rPr>
        <w:t>”</w:t>
      </w:r>
      <w:r>
        <w:rPr>
          <w:rFonts w:hint="eastAsia" w:ascii="Times New Roman" w:hAnsi="Times New Roman"/>
        </w:rPr>
        <w:t>去除该股排水中的重金属后，再送至污水处理站进行处理。处理含有重金属废水的原则是利用重金属离子和碱进行反应，生成沉淀物，从而达到去除重金属离子的目的。</w:t>
      </w:r>
    </w:p>
    <w:p>
      <w:pPr>
        <w:pStyle w:val="739"/>
        <w:ind w:firstLine="480"/>
        <w:outlineLvl w:val="0"/>
      </w:pPr>
      <w:bookmarkStart w:id="504" w:name="_Toc13760255"/>
      <w:bookmarkStart w:id="505" w:name="_Toc13582224"/>
      <w:r>
        <w:t>(3)</w:t>
      </w:r>
      <w:r>
        <w:rPr>
          <w:rFonts w:hint="eastAsia"/>
        </w:rPr>
        <w:t>流程简述</w:t>
      </w:r>
      <w:bookmarkEnd w:id="504"/>
      <w:bookmarkEnd w:id="505"/>
    </w:p>
    <w:p>
      <w:pPr>
        <w:pStyle w:val="178"/>
        <w:snapToGrid w:val="0"/>
        <w:ind w:firstLine="480"/>
        <w:jc w:val="both"/>
      </w:pPr>
      <w:r>
        <w:rPr>
          <w:rFonts w:hint="eastAsia"/>
        </w:rPr>
        <w:t>焚烧车间喷淋洗涤</w:t>
      </w:r>
      <w:r>
        <w:rPr>
          <w:rFonts w:hint="eastAsia" w:ascii="Times New Roman" w:hAnsi="Times New Roman"/>
        </w:rPr>
        <w:t>塔排水先送入调节池，在调节池进行调节后送至压滤系统除去其中的</w:t>
      </w:r>
      <w:r>
        <w:rPr>
          <w:rFonts w:ascii="Times New Roman" w:hAnsi="Times New Roman"/>
        </w:rPr>
        <w:t>SS</w:t>
      </w:r>
      <w:r>
        <w:rPr>
          <w:rFonts w:hint="eastAsia" w:ascii="Times New Roman" w:hAnsi="Times New Roman"/>
        </w:rPr>
        <w:t>，压滤系统的出水送至综合反应槽，在反应槽中加入氢氧化钠、石灰乳、硫化钠等絮凝剂，去除废水中的重金属，综合反应槽出水进入压滤系统进行压滤除去其中的悬浮物后，经过水泵提升进入到物化车间污水处理模块</w:t>
      </w:r>
      <w:r>
        <w:rPr>
          <w:rFonts w:hint="eastAsia"/>
        </w:rPr>
        <w:t>。</w:t>
      </w:r>
    </w:p>
    <w:p>
      <w:pPr>
        <w:pStyle w:val="739"/>
        <w:ind w:firstLine="480"/>
        <w:outlineLvl w:val="0"/>
      </w:pPr>
      <w:bookmarkStart w:id="506" w:name="_Toc13582225"/>
      <w:bookmarkStart w:id="507" w:name="_Toc13760256"/>
      <w:r>
        <w:t>(4)</w:t>
      </w:r>
      <w:r>
        <w:rPr>
          <w:rFonts w:hint="eastAsia"/>
        </w:rPr>
        <w:t>效果分析</w:t>
      </w:r>
      <w:bookmarkEnd w:id="506"/>
      <w:bookmarkEnd w:id="507"/>
    </w:p>
    <w:p>
      <w:pPr>
        <w:adjustRightInd w:val="0"/>
        <w:snapToGrid w:val="0"/>
        <w:ind w:firstLine="480"/>
        <w:rPr>
          <w:rFonts w:cs="Times New Roman"/>
          <w:snapToGrid w:val="0"/>
          <w:kern w:val="0"/>
        </w:rPr>
      </w:pPr>
      <w:r>
        <w:rPr>
          <w:rFonts w:hint="eastAsia"/>
          <w:snapToGrid w:val="0"/>
          <w:kern w:val="0"/>
        </w:rPr>
        <w:t>该污水处理模块利用氢氧化钠、石灰乳、硫化钠等絮凝剂与废水中的重金属离子进</w:t>
      </w:r>
      <w:r>
        <w:rPr>
          <w:rFonts w:cs="Times New Roman"/>
          <w:snapToGrid w:val="0"/>
          <w:kern w:val="0"/>
        </w:rPr>
        <w:t>行反应生成沉淀物有效的去除废水中的重金属离子。该模块主要污染物的进出水水质见表7.2—1。</w:t>
      </w:r>
    </w:p>
    <w:p>
      <w:pPr>
        <w:pStyle w:val="178"/>
        <w:ind w:firstLine="480"/>
        <w:rPr>
          <w:rFonts w:ascii="Times New Roman" w:hAnsi="Times New Roman" w:cs="Times New Roman"/>
          <w:kern w:val="0"/>
        </w:rPr>
      </w:pPr>
      <w:r>
        <w:rPr>
          <w:rFonts w:ascii="Times New Roman" w:hAnsi="Times New Roman" w:cs="Times New Roman"/>
        </w:rPr>
        <w:t>表</w:t>
      </w:r>
      <w:r>
        <w:rPr>
          <w:rFonts w:ascii="Times New Roman" w:hAnsi="Times New Roman" w:cs="Times New Roman"/>
          <w:snapToGrid w:val="0"/>
          <w:kern w:val="0"/>
        </w:rPr>
        <w:t>7.2—1</w:t>
      </w:r>
      <w:r>
        <w:rPr>
          <w:rFonts w:ascii="Times New Roman" w:hAnsi="Times New Roman" w:cs="Times New Roman"/>
        </w:rPr>
        <w:t xml:space="preserve">      焚烧车间污水处理模块主要污染物进出水水质情况</w:t>
      </w:r>
    </w:p>
    <w:tbl>
      <w:tblPr>
        <w:tblStyle w:val="88"/>
        <w:tblW w:w="9854"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70"/>
        <w:gridCol w:w="1971"/>
        <w:gridCol w:w="1971"/>
        <w:gridCol w:w="1971"/>
        <w:gridCol w:w="197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single" w:color="auto" w:sz="12" w:space="0"/>
              <w:left w:val="nil"/>
              <w:bottom w:val="single" w:color="auto" w:sz="12" w:space="0"/>
              <w:right w:val="dotted" w:color="auto" w:sz="4" w:space="0"/>
            </w:tcBorders>
            <w:vAlign w:val="center"/>
          </w:tcPr>
          <w:p>
            <w:pPr>
              <w:pStyle w:val="59"/>
              <w:spacing w:line="240" w:lineRule="atLeast"/>
              <w:ind w:firstLine="0" w:firstLineChars="0"/>
              <w:jc w:val="center"/>
              <w:rPr>
                <w:sz w:val="21"/>
              </w:rPr>
            </w:pPr>
            <w:r>
              <w:rPr>
                <w:rFonts w:hint="eastAsia"/>
                <w:b/>
                <w:sz w:val="21"/>
              </w:rPr>
              <w:t>序号</w:t>
            </w:r>
          </w:p>
        </w:tc>
        <w:tc>
          <w:tcPr>
            <w:tcW w:w="1971"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污染物</w:t>
            </w:r>
          </w:p>
        </w:tc>
        <w:tc>
          <w:tcPr>
            <w:tcW w:w="1971"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进水</w:t>
            </w:r>
            <w:r>
              <w:rPr>
                <w:spacing w:val="12"/>
                <w:sz w:val="21"/>
              </w:rPr>
              <w:t>(mg/L)</w:t>
            </w:r>
          </w:p>
        </w:tc>
        <w:tc>
          <w:tcPr>
            <w:tcW w:w="1971"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出水</w:t>
            </w:r>
            <w:r>
              <w:rPr>
                <w:spacing w:val="12"/>
                <w:sz w:val="21"/>
              </w:rPr>
              <w:t>(mg/L)</w:t>
            </w:r>
          </w:p>
        </w:tc>
        <w:tc>
          <w:tcPr>
            <w:tcW w:w="1971"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pacing w:val="12"/>
                <w:sz w:val="21"/>
              </w:rPr>
            </w:pPr>
            <w:r>
              <w:rPr>
                <w:rFonts w:hint="eastAsia"/>
                <w:spacing w:val="12"/>
                <w:sz w:val="21"/>
              </w:rPr>
              <w:t>去除率</w:t>
            </w:r>
            <w:r>
              <w:rPr>
                <w:spacing w:val="1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w:t>
            </w:r>
          </w:p>
        </w:tc>
        <w:tc>
          <w:tcPr>
            <w:tcW w:w="197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vertAlign w:val="subscript"/>
              </w:rPr>
            </w:pPr>
            <w:r>
              <w:rPr>
                <w:spacing w:val="12"/>
                <w:sz w:val="21"/>
              </w:rPr>
              <w:t>COD</w:t>
            </w:r>
            <w:r>
              <w:rPr>
                <w:spacing w:val="12"/>
                <w:sz w:val="21"/>
                <w:vertAlign w:val="subscript"/>
              </w:rPr>
              <w:t>cr</w:t>
            </w:r>
          </w:p>
        </w:tc>
        <w:tc>
          <w:tcPr>
            <w:tcW w:w="197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2000</w:t>
            </w:r>
          </w:p>
        </w:tc>
        <w:tc>
          <w:tcPr>
            <w:tcW w:w="197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2000</w:t>
            </w:r>
          </w:p>
        </w:tc>
        <w:tc>
          <w:tcPr>
            <w:tcW w:w="1971"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SS</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400</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95.00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3</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NH</w:t>
            </w:r>
            <w:r>
              <w:rPr>
                <w:spacing w:val="12"/>
                <w:sz w:val="21"/>
                <w:vertAlign w:val="subscript"/>
              </w:rPr>
              <w:t>3</w:t>
            </w:r>
            <w:r>
              <w:rPr>
                <w:spacing w:val="12"/>
                <w:sz w:val="21"/>
              </w:rPr>
              <w:t>-N</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石油类</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氰化物</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6</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镍</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0.15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7</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铜</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8</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汞</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0.49</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9</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铅</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4.9</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10</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六价铬</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11</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hAnsi="宋体"/>
                <w:sz w:val="21"/>
              </w:rPr>
              <w:t>砷</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镉</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0.04</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13</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hAnsi="宋体"/>
                <w:sz w:val="21"/>
              </w:rPr>
              <w:t>锌</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pacing w:val="12"/>
                <w:sz w:val="21"/>
              </w:rPr>
            </w:pPr>
            <w:r>
              <w:rPr>
                <w:spacing w:val="12"/>
                <w:sz w:val="21"/>
              </w:rPr>
              <w:t>14</w:t>
            </w:r>
          </w:p>
        </w:tc>
        <w:tc>
          <w:tcPr>
            <w:tcW w:w="19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rFonts w:hAnsi="宋体"/>
                <w:sz w:val="21"/>
              </w:rPr>
            </w:pPr>
            <w:r>
              <w:rPr>
                <w:rFonts w:hint="eastAsia" w:hAnsi="宋体"/>
                <w:sz w:val="21"/>
              </w:rPr>
              <w:t>盐类</w:t>
            </w:r>
          </w:p>
        </w:tc>
        <w:tc>
          <w:tcPr>
            <w:tcW w:w="19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8000</w:t>
            </w:r>
          </w:p>
        </w:tc>
        <w:tc>
          <w:tcPr>
            <w:tcW w:w="19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8000</w:t>
            </w:r>
          </w:p>
        </w:tc>
        <w:tc>
          <w:tcPr>
            <w:tcW w:w="1971"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sz w:val="21"/>
              </w:rPr>
              <w:t>-</w:t>
            </w:r>
          </w:p>
        </w:tc>
      </w:tr>
    </w:tbl>
    <w:p>
      <w:pPr>
        <w:pStyle w:val="178"/>
        <w:snapToGrid w:val="0"/>
        <w:ind w:firstLine="0" w:firstLineChars="0"/>
        <w:jc w:val="both"/>
        <w:rPr>
          <w:rFonts w:ascii="Times New Roman" w:hAnsi="Times New Roman"/>
          <w:b/>
        </w:rPr>
      </w:pPr>
    </w:p>
    <w:p>
      <w:pPr>
        <w:pStyle w:val="6"/>
        <w:rPr>
          <w:rFonts w:cs="Times New Roman"/>
          <w:kern w:val="0"/>
          <w:szCs w:val="20"/>
        </w:rPr>
      </w:pPr>
      <w:r>
        <w:rPr>
          <w:rFonts w:hint="eastAsia"/>
        </w:rPr>
        <w:t>7.2.2.2物化车间污水处理模块</w:t>
      </w:r>
    </w:p>
    <w:p>
      <w:pPr>
        <w:pStyle w:val="178"/>
        <w:snapToGrid w:val="0"/>
        <w:ind w:firstLine="480"/>
        <w:jc w:val="both"/>
        <w:rPr>
          <w:rFonts w:ascii="Times New Roman" w:hAnsi="Times New Roman"/>
        </w:rPr>
      </w:pPr>
      <w:r>
        <w:rPr>
          <w:rFonts w:hint="eastAsia" w:ascii="Times New Roman" w:hAnsi="Times New Roman"/>
        </w:rPr>
        <w:t>物化车间污水处理模块主要接纳的废水为本车间澄清池排水、沉淀池废水，该模块采用“絮凝沉淀”的污水处理方法进行处理，该模块建设处理能力为</w:t>
      </w:r>
      <w:r>
        <w:rPr>
          <w:rFonts w:ascii="Times New Roman" w:hAnsi="Times New Roman"/>
        </w:rPr>
        <w:t>60m</w:t>
      </w:r>
      <w:r>
        <w:rPr>
          <w:rFonts w:ascii="Times New Roman" w:hAnsi="Times New Roman"/>
          <w:vertAlign w:val="superscript"/>
        </w:rPr>
        <w:t>3</w:t>
      </w:r>
      <w:r>
        <w:rPr>
          <w:rFonts w:ascii="Times New Roman" w:hAnsi="Times New Roman"/>
        </w:rPr>
        <w:t>/d</w:t>
      </w:r>
      <w:r>
        <w:rPr>
          <w:rFonts w:hint="eastAsia" w:ascii="Times New Roman" w:hAnsi="Times New Roman"/>
        </w:rPr>
        <w:t>。</w:t>
      </w:r>
    </w:p>
    <w:p>
      <w:pPr>
        <w:pStyle w:val="6"/>
      </w:pPr>
      <w:r>
        <w:rPr>
          <w:rFonts w:hint="eastAsia"/>
        </w:rPr>
        <w:t>7.2.2.3全厂污水处理站</w:t>
      </w:r>
    </w:p>
    <w:p>
      <w:pPr>
        <w:pStyle w:val="178"/>
        <w:snapToGrid w:val="0"/>
        <w:ind w:firstLine="480"/>
        <w:jc w:val="both"/>
        <w:rPr>
          <w:rFonts w:ascii="Times New Roman" w:hAnsi="Times New Roman"/>
        </w:rPr>
      </w:pPr>
      <w:r>
        <w:rPr>
          <w:rFonts w:ascii="Times New Roman" w:hAnsi="Times New Roman"/>
        </w:rPr>
        <w:fldChar w:fldCharType="begin"/>
      </w:r>
      <w:r>
        <w:rPr>
          <w:rFonts w:hint="eastAsia" w:ascii="Times New Roman" w:hAnsi="Times New Roman"/>
        </w:rPr>
        <w:instrText xml:space="preserve">= 1 \* GB2</w:instrText>
      </w:r>
      <w:r>
        <w:rPr>
          <w:rFonts w:ascii="Times New Roman" w:hAnsi="Times New Roman"/>
        </w:rPr>
        <w:fldChar w:fldCharType="separate"/>
      </w:r>
      <w:r>
        <w:rPr>
          <w:rFonts w:hint="eastAsia" w:ascii="Times New Roman" w:hAnsi="Times New Roman"/>
        </w:rPr>
        <w:t>⑴</w:t>
      </w:r>
      <w:r>
        <w:rPr>
          <w:rFonts w:ascii="Times New Roman" w:hAnsi="Times New Roman"/>
        </w:rPr>
        <w:fldChar w:fldCharType="end"/>
      </w:r>
      <w:r>
        <w:rPr>
          <w:rFonts w:hint="eastAsia" w:ascii="Times New Roman" w:hAnsi="Times New Roman"/>
        </w:rPr>
        <w:t>“</w:t>
      </w:r>
      <w:r>
        <w:rPr>
          <w:rFonts w:ascii="Times New Roman" w:hAnsi="Times New Roman"/>
        </w:rPr>
        <w:t>Fenton+</w:t>
      </w:r>
      <w:r>
        <w:rPr>
          <w:rFonts w:hint="eastAsia" w:ascii="Times New Roman" w:hAnsi="Times New Roman"/>
        </w:rPr>
        <w:t>强制循环蒸发”工艺</w:t>
      </w:r>
    </w:p>
    <w:p>
      <w:pPr>
        <w:pStyle w:val="178"/>
        <w:snapToGrid w:val="0"/>
        <w:ind w:firstLine="480"/>
        <w:jc w:val="both"/>
        <w:rPr>
          <w:rFonts w:ascii="Times New Roman" w:hAnsi="Times New Roman"/>
          <w:szCs w:val="24"/>
        </w:rPr>
      </w:pPr>
      <w:r>
        <w:t>物化车间澄清池排水和沉淀池废水</w:t>
      </w:r>
      <w:r>
        <w:rPr>
          <w:rFonts w:hint="eastAsia"/>
        </w:rPr>
        <w:t>、</w:t>
      </w:r>
      <w:r>
        <w:t>焚烧车间喷淋洗涤塔排水、冲洗废水、安全填埋场渗滤液</w:t>
      </w:r>
      <w:r>
        <w:rPr>
          <w:rFonts w:hint="eastAsia"/>
        </w:rPr>
        <w:t>、</w:t>
      </w:r>
      <w:r>
        <w:t>循环水系统排水</w:t>
      </w:r>
      <w:r>
        <w:rPr>
          <w:rFonts w:hint="eastAsia"/>
        </w:rPr>
        <w:t>、</w:t>
      </w:r>
      <w:r>
        <w:t>余热锅炉排水及软化水系统排水</w:t>
      </w:r>
      <w:r>
        <w:rPr>
          <w:rFonts w:hint="eastAsia"/>
        </w:rPr>
        <w:t>、</w:t>
      </w:r>
      <w:r>
        <w:t>污水处理站排浓水</w:t>
      </w:r>
      <w:r>
        <w:rPr>
          <w:rFonts w:hint="eastAsia"/>
        </w:rPr>
        <w:t>，</w:t>
      </w:r>
      <w:r>
        <w:rPr>
          <w:rFonts w:hint="eastAsia" w:ascii="Times New Roman" w:hAnsi="Times New Roman"/>
        </w:rPr>
        <w:t>废水首先采用“</w:t>
      </w:r>
      <w:r>
        <w:rPr>
          <w:rFonts w:ascii="Times New Roman" w:hAnsi="Times New Roman"/>
        </w:rPr>
        <w:t>Fenton+</w:t>
      </w:r>
      <w:r>
        <w:rPr>
          <w:rFonts w:hint="eastAsia" w:ascii="Times New Roman" w:hAnsi="Times New Roman"/>
        </w:rPr>
        <w:t>强制循环蒸发”工艺进行处理。</w:t>
      </w:r>
      <w:r>
        <w:rPr>
          <w:rFonts w:ascii="Times New Roman" w:hAnsi="Times New Roman"/>
        </w:rPr>
        <w:t>Fenton</w:t>
      </w:r>
      <w:r>
        <w:rPr>
          <w:rFonts w:hint="eastAsia" w:ascii="Times New Roman" w:hAnsi="Times New Roman"/>
        </w:rPr>
        <w:t>装置可有效的去除废水中的</w:t>
      </w:r>
      <w:r>
        <w:rPr>
          <w:rFonts w:ascii="Times New Roman" w:hAnsi="Times New Roman"/>
        </w:rPr>
        <w:t>COD</w:t>
      </w:r>
      <w:r>
        <w:rPr>
          <w:rFonts w:hint="eastAsia" w:ascii="Times New Roman" w:hAnsi="Times New Roman"/>
        </w:rPr>
        <w:t>等污染物，强制循环蒸发可有效的去除废水中的盐分，使废水中的盐分进入到盐泥中。</w:t>
      </w:r>
      <w:r>
        <w:rPr>
          <w:rFonts w:hint="eastAsia" w:ascii="Times New Roman" w:hAnsi="Times New Roman"/>
          <w:szCs w:val="24"/>
        </w:rPr>
        <w:t>污水处理站的</w:t>
      </w:r>
      <w:r>
        <w:rPr>
          <w:rFonts w:ascii="Times New Roman" w:hAnsi="Times New Roman"/>
          <w:szCs w:val="24"/>
        </w:rPr>
        <w:t>Fenton</w:t>
      </w:r>
      <w:r>
        <w:rPr>
          <w:rFonts w:hint="eastAsia" w:ascii="Times New Roman" w:hAnsi="Times New Roman"/>
          <w:szCs w:val="24"/>
        </w:rPr>
        <w:t>装置及强制循环蒸发器的情况分述如下：</w:t>
      </w:r>
    </w:p>
    <w:p>
      <w:pPr>
        <w:pStyle w:val="161"/>
        <w:ind w:firstLine="480"/>
        <w:outlineLvl w:val="0"/>
        <w:rPr>
          <w:kern w:val="0"/>
        </w:rPr>
      </w:pPr>
      <w:bookmarkStart w:id="508" w:name="_Toc13760257"/>
      <w:bookmarkStart w:id="509" w:name="_Toc13582226"/>
      <w:r>
        <w:rPr>
          <w:rFonts w:hint="eastAsia"/>
        </w:rPr>
        <w:t>①</w:t>
      </w:r>
      <w:r>
        <w:rPr>
          <w:kern w:val="0"/>
        </w:rPr>
        <w:t>Fenton</w:t>
      </w:r>
      <w:r>
        <w:rPr>
          <w:rFonts w:hint="eastAsia"/>
          <w:kern w:val="0"/>
        </w:rPr>
        <w:t>装置</w:t>
      </w:r>
      <w:bookmarkEnd w:id="508"/>
      <w:bookmarkEnd w:id="509"/>
    </w:p>
    <w:p>
      <w:pPr>
        <w:pStyle w:val="2589"/>
        <w:snapToGrid w:val="0"/>
        <w:ind w:firstLine="480"/>
        <w:rPr>
          <w:rFonts w:ascii="Times New Roman"/>
          <w:color w:val="auto"/>
          <w:kern w:val="0"/>
        </w:rPr>
      </w:pPr>
      <w:r>
        <w:rPr>
          <w:rFonts w:ascii="Times New Roman"/>
          <w:color w:val="auto"/>
          <w:kern w:val="0"/>
        </w:rPr>
        <w:t>Fenton</w:t>
      </w:r>
      <w:r>
        <w:rPr>
          <w:rFonts w:hint="eastAsia" w:ascii="Times New Roman"/>
          <w:color w:val="auto"/>
          <w:kern w:val="0"/>
        </w:rPr>
        <w:t>装置核心工艺为</w:t>
      </w:r>
      <w:r>
        <w:rPr>
          <w:rFonts w:ascii="Times New Roman"/>
          <w:color w:val="auto"/>
          <w:kern w:val="0"/>
        </w:rPr>
        <w:t>H</w:t>
      </w:r>
      <w:r>
        <w:rPr>
          <w:rFonts w:ascii="Times New Roman"/>
          <w:color w:val="auto"/>
          <w:kern w:val="0"/>
          <w:vertAlign w:val="subscript"/>
        </w:rPr>
        <w:t>2</w:t>
      </w:r>
      <w:r>
        <w:rPr>
          <w:rFonts w:ascii="Times New Roman"/>
          <w:color w:val="auto"/>
          <w:kern w:val="0"/>
        </w:rPr>
        <w:t>O</w:t>
      </w:r>
      <w:r>
        <w:rPr>
          <w:rFonts w:ascii="Times New Roman"/>
          <w:color w:val="auto"/>
          <w:kern w:val="0"/>
          <w:vertAlign w:val="subscript"/>
        </w:rPr>
        <w:t>2</w:t>
      </w:r>
      <w:r>
        <w:rPr>
          <w:rFonts w:ascii="Times New Roman"/>
          <w:color w:val="auto"/>
          <w:kern w:val="0"/>
        </w:rPr>
        <w:t>/FeSO</w:t>
      </w:r>
      <w:r>
        <w:rPr>
          <w:rFonts w:ascii="Times New Roman"/>
          <w:color w:val="auto"/>
          <w:kern w:val="0"/>
          <w:vertAlign w:val="subscript"/>
        </w:rPr>
        <w:t>4</w:t>
      </w:r>
      <w:r>
        <w:rPr>
          <w:rFonts w:hint="eastAsia" w:ascii="Times New Roman"/>
          <w:color w:val="auto"/>
          <w:kern w:val="0"/>
        </w:rPr>
        <w:t>氧化和微电解结合工艺</w:t>
      </w:r>
    </w:p>
    <w:p>
      <w:pPr>
        <w:pStyle w:val="2589"/>
        <w:snapToGrid w:val="0"/>
        <w:ind w:firstLine="480"/>
        <w:rPr>
          <w:rFonts w:ascii="Times New Roman"/>
          <w:color w:val="auto"/>
          <w:kern w:val="0"/>
        </w:rPr>
      </w:pPr>
      <w:r>
        <w:rPr>
          <w:rFonts w:hint="eastAsia" w:ascii="Times New Roman"/>
          <w:color w:val="auto"/>
          <w:kern w:val="0"/>
        </w:rPr>
        <w:t>本工艺中的</w:t>
      </w:r>
      <w:r>
        <w:rPr>
          <w:rFonts w:ascii="Times New Roman"/>
          <w:color w:val="auto"/>
          <w:kern w:val="0"/>
        </w:rPr>
        <w:t>H</w:t>
      </w:r>
      <w:r>
        <w:rPr>
          <w:rFonts w:ascii="Times New Roman"/>
          <w:color w:val="auto"/>
          <w:kern w:val="0"/>
          <w:vertAlign w:val="subscript"/>
        </w:rPr>
        <w:t>2</w:t>
      </w:r>
      <w:r>
        <w:rPr>
          <w:rFonts w:ascii="Times New Roman"/>
          <w:color w:val="auto"/>
          <w:kern w:val="0"/>
        </w:rPr>
        <w:t>O</w:t>
      </w:r>
      <w:r>
        <w:rPr>
          <w:rFonts w:ascii="Times New Roman"/>
          <w:color w:val="auto"/>
          <w:kern w:val="0"/>
          <w:vertAlign w:val="subscript"/>
        </w:rPr>
        <w:t>2</w:t>
      </w:r>
      <w:r>
        <w:rPr>
          <w:rFonts w:hint="eastAsia" w:ascii="Times New Roman"/>
          <w:color w:val="auto"/>
          <w:kern w:val="0"/>
        </w:rPr>
        <w:t>氧化从实际上来讲是以</w:t>
      </w:r>
      <w:r>
        <w:rPr>
          <w:rFonts w:ascii="Times New Roman"/>
          <w:color w:val="auto"/>
          <w:kern w:val="0"/>
        </w:rPr>
        <w:t>FeSO</w:t>
      </w:r>
      <w:r>
        <w:rPr>
          <w:rFonts w:ascii="Times New Roman"/>
          <w:color w:val="auto"/>
          <w:kern w:val="0"/>
          <w:vertAlign w:val="subscript"/>
        </w:rPr>
        <w:t>4</w:t>
      </w:r>
      <w:r>
        <w:rPr>
          <w:rFonts w:hint="eastAsia" w:ascii="Times New Roman"/>
          <w:color w:val="auto"/>
          <w:kern w:val="0"/>
        </w:rPr>
        <w:t>作为催化剂，</w:t>
      </w:r>
      <w:r>
        <w:rPr>
          <w:rFonts w:ascii="Times New Roman"/>
          <w:color w:val="auto"/>
          <w:kern w:val="0"/>
        </w:rPr>
        <w:t>H</w:t>
      </w:r>
      <w:r>
        <w:rPr>
          <w:rFonts w:ascii="Times New Roman"/>
          <w:color w:val="auto"/>
          <w:kern w:val="0"/>
          <w:vertAlign w:val="subscript"/>
        </w:rPr>
        <w:t>2</w:t>
      </w:r>
      <w:r>
        <w:rPr>
          <w:rFonts w:ascii="Times New Roman"/>
          <w:color w:val="auto"/>
          <w:kern w:val="0"/>
        </w:rPr>
        <w:t>O</w:t>
      </w:r>
      <w:r>
        <w:rPr>
          <w:rFonts w:ascii="Times New Roman"/>
          <w:color w:val="auto"/>
          <w:kern w:val="0"/>
          <w:vertAlign w:val="subscript"/>
        </w:rPr>
        <w:t>2</w:t>
      </w:r>
      <w:r>
        <w:rPr>
          <w:rFonts w:hint="eastAsia" w:ascii="Times New Roman"/>
          <w:color w:val="auto"/>
          <w:kern w:val="0"/>
        </w:rPr>
        <w:t>为氧化剂的一个催化氧化反应，也就是芬顿试剂。它是</w:t>
      </w:r>
      <w:r>
        <w:rPr>
          <w:rFonts w:ascii="Times New Roman"/>
          <w:color w:val="auto"/>
          <w:kern w:val="0"/>
        </w:rPr>
        <w:t>1894</w:t>
      </w:r>
      <w:r>
        <w:rPr>
          <w:rFonts w:hint="eastAsia" w:ascii="Times New Roman"/>
          <w:color w:val="auto"/>
          <w:kern w:val="0"/>
        </w:rPr>
        <w:t>年由</w:t>
      </w:r>
      <w:r>
        <w:rPr>
          <w:rFonts w:ascii="Times New Roman"/>
          <w:color w:val="auto"/>
          <w:kern w:val="0"/>
        </w:rPr>
        <w:t xml:space="preserve">Fenton </w:t>
      </w:r>
      <w:r>
        <w:rPr>
          <w:rFonts w:hint="eastAsia" w:ascii="Times New Roman"/>
          <w:color w:val="auto"/>
          <w:kern w:val="0"/>
        </w:rPr>
        <w:t>发现并应用于有机废水的氧化处理，其实质是二价铁离子</w:t>
      </w:r>
      <w:r>
        <w:rPr>
          <w:rFonts w:ascii="Times New Roman"/>
          <w:color w:val="auto"/>
          <w:kern w:val="0"/>
        </w:rPr>
        <w:t>(Fe</w:t>
      </w:r>
      <w:r>
        <w:rPr>
          <w:rFonts w:ascii="Times New Roman"/>
          <w:color w:val="auto"/>
          <w:kern w:val="0"/>
          <w:vertAlign w:val="superscript"/>
        </w:rPr>
        <w:t>2+</w:t>
      </w:r>
      <w:r>
        <w:rPr>
          <w:rFonts w:ascii="Times New Roman"/>
          <w:color w:val="auto"/>
          <w:kern w:val="0"/>
        </w:rPr>
        <w:t>)</w:t>
      </w:r>
      <w:r>
        <w:rPr>
          <w:rFonts w:hint="eastAsia" w:ascii="Times New Roman"/>
          <w:color w:val="auto"/>
          <w:kern w:val="0"/>
        </w:rPr>
        <w:t>和双氧水之间的链式反应催化生成</w:t>
      </w:r>
      <w:r>
        <w:rPr>
          <w:rFonts w:ascii="Times New Roman"/>
          <w:color w:val="auto"/>
          <w:kern w:val="0"/>
        </w:rPr>
        <w:t>HO•</w:t>
      </w:r>
      <w:r>
        <w:rPr>
          <w:rFonts w:hint="eastAsia" w:ascii="Times New Roman"/>
          <w:color w:val="auto"/>
          <w:kern w:val="0"/>
        </w:rPr>
        <w:t>自由基，基本作用原理如下：</w:t>
      </w:r>
    </w:p>
    <w:p>
      <w:pPr>
        <w:pStyle w:val="2589"/>
        <w:snapToGrid w:val="0"/>
        <w:ind w:firstLine="480"/>
        <w:rPr>
          <w:rFonts w:ascii="Times New Roman"/>
          <w:color w:val="auto"/>
          <w:kern w:val="0"/>
          <w:lang w:val="pt-BR"/>
        </w:rPr>
      </w:pPr>
      <w:r>
        <w:rPr>
          <w:rFonts w:ascii="Times New Roman"/>
          <w:color w:val="auto"/>
          <w:kern w:val="0"/>
          <w:lang w:val="pt-BR"/>
        </w:rPr>
        <w:t>Fe</w:t>
      </w:r>
      <w:r>
        <w:rPr>
          <w:rFonts w:ascii="Times New Roman"/>
          <w:color w:val="auto"/>
          <w:kern w:val="0"/>
          <w:vertAlign w:val="superscript"/>
          <w:lang w:val="pt-BR"/>
        </w:rPr>
        <w:t>2+</w:t>
      </w:r>
      <w:r>
        <w:rPr>
          <w:rFonts w:ascii="Times New Roman"/>
          <w:color w:val="auto"/>
          <w:kern w:val="0"/>
          <w:lang w:val="pt-BR"/>
        </w:rPr>
        <w:t>+ H</w:t>
      </w:r>
      <w:r>
        <w:rPr>
          <w:rFonts w:ascii="Times New Roman"/>
          <w:color w:val="auto"/>
          <w:kern w:val="0"/>
          <w:vertAlign w:val="subscript"/>
          <w:lang w:val="pt-BR"/>
        </w:rPr>
        <w:t>2</w:t>
      </w:r>
      <w:r>
        <w:rPr>
          <w:rFonts w:ascii="Times New Roman"/>
          <w:color w:val="auto"/>
          <w:kern w:val="0"/>
          <w:lang w:val="pt-BR"/>
        </w:rPr>
        <w:t>O</w:t>
      </w:r>
      <w:r>
        <w:rPr>
          <w:rFonts w:ascii="Times New Roman"/>
          <w:color w:val="auto"/>
          <w:kern w:val="0"/>
          <w:vertAlign w:val="subscript"/>
          <w:lang w:val="pt-BR"/>
        </w:rPr>
        <w:t>2</w:t>
      </w:r>
      <w:r>
        <w:rPr>
          <w:rFonts w:ascii="Times New Roman"/>
          <w:color w:val="auto"/>
          <w:kern w:val="0"/>
          <w:lang w:val="pt-BR"/>
        </w:rPr>
        <w:t>→Fe</w:t>
      </w:r>
      <w:r>
        <w:rPr>
          <w:rFonts w:ascii="Times New Roman"/>
          <w:color w:val="auto"/>
          <w:kern w:val="0"/>
          <w:vertAlign w:val="superscript"/>
          <w:lang w:val="pt-BR"/>
        </w:rPr>
        <w:t>3+</w:t>
      </w:r>
      <w:r>
        <w:rPr>
          <w:rFonts w:ascii="Times New Roman"/>
          <w:color w:val="auto"/>
          <w:kern w:val="0"/>
          <w:lang w:val="pt-BR"/>
        </w:rPr>
        <w:t>+ HO•+OH-</w:t>
      </w:r>
    </w:p>
    <w:p>
      <w:pPr>
        <w:pStyle w:val="2589"/>
        <w:snapToGrid w:val="0"/>
        <w:ind w:firstLine="480"/>
        <w:rPr>
          <w:rFonts w:ascii="Times New Roman"/>
          <w:color w:val="auto"/>
          <w:kern w:val="0"/>
          <w:lang w:val="pt-BR"/>
        </w:rPr>
      </w:pPr>
      <w:r>
        <w:rPr>
          <w:rFonts w:ascii="Times New Roman"/>
          <w:color w:val="auto"/>
          <w:kern w:val="0"/>
          <w:lang w:val="pt-BR"/>
        </w:rPr>
        <w:t>Fe3++ H</w:t>
      </w:r>
      <w:r>
        <w:rPr>
          <w:rFonts w:ascii="Times New Roman"/>
          <w:color w:val="auto"/>
          <w:kern w:val="0"/>
          <w:vertAlign w:val="subscript"/>
          <w:lang w:val="pt-BR"/>
        </w:rPr>
        <w:t>2</w:t>
      </w:r>
      <w:r>
        <w:rPr>
          <w:rFonts w:ascii="Times New Roman"/>
          <w:color w:val="auto"/>
          <w:kern w:val="0"/>
          <w:lang w:val="pt-BR"/>
        </w:rPr>
        <w:t>O</w:t>
      </w:r>
      <w:r>
        <w:rPr>
          <w:rFonts w:ascii="Times New Roman"/>
          <w:color w:val="auto"/>
          <w:kern w:val="0"/>
          <w:vertAlign w:val="subscript"/>
          <w:lang w:val="pt-BR"/>
        </w:rPr>
        <w:t>2</w:t>
      </w:r>
      <w:r>
        <w:rPr>
          <w:rFonts w:ascii="Times New Roman"/>
          <w:color w:val="auto"/>
          <w:kern w:val="0"/>
          <w:lang w:val="pt-BR"/>
        </w:rPr>
        <w:t>→Fe</w:t>
      </w:r>
      <w:r>
        <w:rPr>
          <w:rFonts w:ascii="Times New Roman"/>
          <w:color w:val="auto"/>
          <w:kern w:val="0"/>
          <w:vertAlign w:val="superscript"/>
          <w:lang w:val="pt-BR"/>
        </w:rPr>
        <w:t>2+</w:t>
      </w:r>
      <w:r>
        <w:rPr>
          <w:rFonts w:ascii="Times New Roman"/>
          <w:color w:val="auto"/>
          <w:kern w:val="0"/>
          <w:lang w:val="pt-BR"/>
        </w:rPr>
        <w:t>+ HO2•+H+</w:t>
      </w:r>
    </w:p>
    <w:p>
      <w:pPr>
        <w:pStyle w:val="2589"/>
        <w:snapToGrid w:val="0"/>
        <w:ind w:firstLine="480"/>
        <w:rPr>
          <w:rFonts w:ascii="Times New Roman"/>
          <w:color w:val="auto"/>
          <w:kern w:val="0"/>
          <w:lang w:val="pt-BR"/>
        </w:rPr>
      </w:pPr>
      <w:r>
        <w:rPr>
          <w:rFonts w:ascii="Times New Roman"/>
          <w:color w:val="auto"/>
          <w:kern w:val="0"/>
          <w:lang w:val="pt-BR"/>
        </w:rPr>
        <w:t>HO2•+ H</w:t>
      </w:r>
      <w:r>
        <w:rPr>
          <w:rFonts w:ascii="Times New Roman"/>
          <w:color w:val="auto"/>
          <w:kern w:val="0"/>
          <w:vertAlign w:val="subscript"/>
          <w:lang w:val="pt-BR"/>
        </w:rPr>
        <w:t>2</w:t>
      </w:r>
      <w:r>
        <w:rPr>
          <w:rFonts w:ascii="Times New Roman"/>
          <w:color w:val="auto"/>
          <w:kern w:val="0"/>
          <w:lang w:val="pt-BR"/>
        </w:rPr>
        <w:t>O</w:t>
      </w:r>
      <w:r>
        <w:rPr>
          <w:rFonts w:ascii="Times New Roman"/>
          <w:color w:val="auto"/>
          <w:kern w:val="0"/>
          <w:vertAlign w:val="subscript"/>
          <w:lang w:val="pt-BR"/>
        </w:rPr>
        <w:t>2</w:t>
      </w:r>
      <w:r>
        <w:rPr>
          <w:rFonts w:ascii="Times New Roman"/>
          <w:color w:val="auto"/>
          <w:kern w:val="0"/>
          <w:lang w:val="pt-BR"/>
        </w:rPr>
        <w:t>→O</w:t>
      </w:r>
      <w:r>
        <w:rPr>
          <w:rFonts w:ascii="Times New Roman"/>
          <w:color w:val="auto"/>
          <w:kern w:val="0"/>
          <w:vertAlign w:val="subscript"/>
          <w:lang w:val="pt-BR"/>
        </w:rPr>
        <w:t>2</w:t>
      </w:r>
      <w:r>
        <w:rPr>
          <w:rFonts w:ascii="Times New Roman"/>
          <w:color w:val="auto"/>
          <w:kern w:val="0"/>
          <w:lang w:val="pt-BR"/>
        </w:rPr>
        <w:t>+ H</w:t>
      </w:r>
      <w:r>
        <w:rPr>
          <w:rFonts w:ascii="Times New Roman"/>
          <w:color w:val="auto"/>
          <w:kern w:val="0"/>
          <w:vertAlign w:val="subscript"/>
          <w:lang w:val="pt-BR"/>
        </w:rPr>
        <w:t>2</w:t>
      </w:r>
      <w:r>
        <w:rPr>
          <w:rFonts w:ascii="Times New Roman"/>
          <w:color w:val="auto"/>
          <w:kern w:val="0"/>
          <w:lang w:val="pt-BR"/>
        </w:rPr>
        <w:t>O+ HO•</w:t>
      </w:r>
    </w:p>
    <w:p>
      <w:pPr>
        <w:pStyle w:val="2589"/>
        <w:snapToGrid w:val="0"/>
        <w:ind w:firstLine="480"/>
        <w:rPr>
          <w:rFonts w:ascii="Times New Roman"/>
          <w:color w:val="auto"/>
          <w:kern w:val="0"/>
          <w:lang w:val="pt-BR"/>
        </w:rPr>
      </w:pPr>
      <w:r>
        <w:rPr>
          <w:rFonts w:ascii="Times New Roman"/>
          <w:color w:val="auto"/>
          <w:kern w:val="0"/>
          <w:lang w:val="pt-BR"/>
        </w:rPr>
        <w:t>RH+ HO•→R•+H</w:t>
      </w:r>
      <w:r>
        <w:rPr>
          <w:rFonts w:ascii="Times New Roman"/>
          <w:color w:val="auto"/>
          <w:kern w:val="0"/>
          <w:vertAlign w:val="subscript"/>
          <w:lang w:val="pt-BR"/>
        </w:rPr>
        <w:t>2</w:t>
      </w:r>
      <w:r>
        <w:rPr>
          <w:rFonts w:ascii="Times New Roman"/>
          <w:color w:val="auto"/>
          <w:kern w:val="0"/>
          <w:lang w:val="pt-BR"/>
        </w:rPr>
        <w:t>O</w:t>
      </w:r>
    </w:p>
    <w:p>
      <w:pPr>
        <w:pStyle w:val="2589"/>
        <w:snapToGrid w:val="0"/>
        <w:ind w:firstLine="480"/>
        <w:rPr>
          <w:rFonts w:ascii="Times New Roman"/>
          <w:color w:val="auto"/>
          <w:kern w:val="0"/>
          <w:lang w:val="pt-BR"/>
        </w:rPr>
      </w:pPr>
      <w:r>
        <w:rPr>
          <w:rFonts w:ascii="Times New Roman"/>
          <w:color w:val="auto"/>
          <w:kern w:val="0"/>
          <w:lang w:val="pt-BR"/>
        </w:rPr>
        <w:t>R•+ Fe</w:t>
      </w:r>
      <w:r>
        <w:rPr>
          <w:rFonts w:ascii="Times New Roman"/>
          <w:color w:val="auto"/>
          <w:kern w:val="0"/>
          <w:vertAlign w:val="superscript"/>
          <w:lang w:val="pt-BR"/>
        </w:rPr>
        <w:t>3+</w:t>
      </w:r>
      <w:r>
        <w:rPr>
          <w:rFonts w:ascii="Times New Roman"/>
          <w:color w:val="auto"/>
          <w:kern w:val="0"/>
          <w:lang w:val="pt-BR"/>
        </w:rPr>
        <w:t>→R++ Fe</w:t>
      </w:r>
      <w:r>
        <w:rPr>
          <w:rFonts w:ascii="Times New Roman"/>
          <w:color w:val="auto"/>
          <w:kern w:val="0"/>
          <w:vertAlign w:val="superscript"/>
          <w:lang w:val="pt-BR"/>
        </w:rPr>
        <w:t>2+</w:t>
      </w:r>
    </w:p>
    <w:p>
      <w:pPr>
        <w:pStyle w:val="2589"/>
        <w:snapToGrid w:val="0"/>
        <w:ind w:firstLine="480"/>
        <w:rPr>
          <w:rFonts w:ascii="Times New Roman"/>
          <w:color w:val="auto"/>
          <w:kern w:val="0"/>
          <w:lang w:val="pt-BR"/>
        </w:rPr>
      </w:pPr>
      <w:r>
        <w:rPr>
          <w:rFonts w:ascii="Times New Roman"/>
          <w:color w:val="auto"/>
          <w:kern w:val="0"/>
          <w:lang w:val="pt-BR"/>
        </w:rPr>
        <w:t>R++ O</w:t>
      </w:r>
      <w:r>
        <w:rPr>
          <w:rFonts w:ascii="Times New Roman"/>
          <w:color w:val="auto"/>
          <w:kern w:val="0"/>
          <w:vertAlign w:val="subscript"/>
          <w:lang w:val="pt-BR"/>
        </w:rPr>
        <w:t>2</w:t>
      </w:r>
      <w:r>
        <w:rPr>
          <w:rFonts w:ascii="Times New Roman"/>
          <w:color w:val="auto"/>
          <w:kern w:val="0"/>
          <w:lang w:val="pt-BR"/>
        </w:rPr>
        <w:t>→ROO+→CO</w:t>
      </w:r>
      <w:r>
        <w:rPr>
          <w:rFonts w:ascii="Times New Roman"/>
          <w:color w:val="auto"/>
          <w:kern w:val="0"/>
          <w:vertAlign w:val="subscript"/>
          <w:lang w:val="pt-BR"/>
        </w:rPr>
        <w:t>2</w:t>
      </w:r>
      <w:r>
        <w:rPr>
          <w:rFonts w:ascii="Times New Roman"/>
          <w:color w:val="auto"/>
          <w:kern w:val="0"/>
          <w:lang w:val="pt-BR"/>
        </w:rPr>
        <w:t>+ H</w:t>
      </w:r>
      <w:r>
        <w:rPr>
          <w:rFonts w:ascii="Times New Roman"/>
          <w:color w:val="auto"/>
          <w:kern w:val="0"/>
          <w:vertAlign w:val="subscript"/>
          <w:lang w:val="pt-BR"/>
        </w:rPr>
        <w:t>2</w:t>
      </w:r>
      <w:r>
        <w:rPr>
          <w:rFonts w:ascii="Times New Roman"/>
          <w:color w:val="auto"/>
          <w:kern w:val="0"/>
          <w:lang w:val="pt-BR"/>
        </w:rPr>
        <w:t>O</w:t>
      </w:r>
    </w:p>
    <w:p>
      <w:pPr>
        <w:pStyle w:val="2589"/>
        <w:snapToGrid w:val="0"/>
        <w:ind w:firstLine="480"/>
        <w:rPr>
          <w:rFonts w:ascii="Times New Roman"/>
          <w:color w:val="auto"/>
          <w:kern w:val="0"/>
        </w:rPr>
      </w:pPr>
      <w:r>
        <w:rPr>
          <w:rFonts w:hint="eastAsia" w:ascii="Times New Roman"/>
          <w:color w:val="auto"/>
          <w:kern w:val="0"/>
        </w:rPr>
        <w:t>上述系列反应中，</w:t>
      </w:r>
      <w:r>
        <w:rPr>
          <w:rFonts w:ascii="Times New Roman"/>
          <w:color w:val="auto"/>
          <w:kern w:val="0"/>
        </w:rPr>
        <w:t>HO•</w:t>
      </w:r>
      <w:r>
        <w:rPr>
          <w:rFonts w:hint="eastAsia" w:ascii="Times New Roman"/>
          <w:color w:val="auto"/>
          <w:kern w:val="0"/>
        </w:rPr>
        <w:t>自由基与有机物</w:t>
      </w:r>
      <w:r>
        <w:rPr>
          <w:rFonts w:ascii="Times New Roman"/>
          <w:color w:val="auto"/>
          <w:kern w:val="0"/>
        </w:rPr>
        <w:t>RH</w:t>
      </w:r>
      <w:r>
        <w:rPr>
          <w:rFonts w:hint="eastAsia" w:ascii="Times New Roman"/>
          <w:color w:val="auto"/>
          <w:kern w:val="0"/>
        </w:rPr>
        <w:t>反应生成游离基</w:t>
      </w:r>
      <w:r>
        <w:rPr>
          <w:rFonts w:ascii="Times New Roman"/>
          <w:color w:val="auto"/>
          <w:kern w:val="0"/>
        </w:rPr>
        <w:t>R•</w:t>
      </w:r>
      <w:r>
        <w:rPr>
          <w:rFonts w:hint="eastAsia" w:ascii="Times New Roman"/>
          <w:color w:val="auto"/>
          <w:kern w:val="0"/>
        </w:rPr>
        <w:t>，</w:t>
      </w:r>
      <w:r>
        <w:rPr>
          <w:rFonts w:ascii="Times New Roman"/>
          <w:color w:val="auto"/>
          <w:kern w:val="0"/>
        </w:rPr>
        <w:t>R•</w:t>
      </w:r>
      <w:r>
        <w:rPr>
          <w:rFonts w:hint="eastAsia" w:ascii="Times New Roman"/>
          <w:color w:val="auto"/>
          <w:kern w:val="0"/>
        </w:rPr>
        <w:t>进一步氧化生成</w:t>
      </w:r>
      <w:r>
        <w:rPr>
          <w:rFonts w:ascii="Times New Roman"/>
          <w:color w:val="auto"/>
          <w:kern w:val="0"/>
        </w:rPr>
        <w:t>CO</w:t>
      </w:r>
      <w:r>
        <w:rPr>
          <w:rFonts w:ascii="Times New Roman"/>
          <w:color w:val="auto"/>
          <w:kern w:val="0"/>
          <w:vertAlign w:val="subscript"/>
        </w:rPr>
        <w:t>2</w:t>
      </w:r>
      <w:r>
        <w:rPr>
          <w:rFonts w:hint="eastAsia" w:ascii="Times New Roman"/>
          <w:color w:val="auto"/>
          <w:kern w:val="0"/>
        </w:rPr>
        <w:t>和</w:t>
      </w:r>
      <w:r>
        <w:rPr>
          <w:rFonts w:ascii="Times New Roman"/>
          <w:color w:val="auto"/>
          <w:kern w:val="0"/>
        </w:rPr>
        <w:t>H</w:t>
      </w:r>
      <w:r>
        <w:rPr>
          <w:rFonts w:ascii="Times New Roman"/>
          <w:color w:val="auto"/>
          <w:kern w:val="0"/>
          <w:vertAlign w:val="subscript"/>
        </w:rPr>
        <w:t>2</w:t>
      </w:r>
      <w:r>
        <w:rPr>
          <w:rFonts w:ascii="Times New Roman"/>
          <w:color w:val="auto"/>
          <w:kern w:val="0"/>
        </w:rPr>
        <w:t>O</w:t>
      </w:r>
      <w:r>
        <w:rPr>
          <w:rFonts w:hint="eastAsia" w:ascii="Times New Roman"/>
          <w:color w:val="auto"/>
          <w:kern w:val="0"/>
        </w:rPr>
        <w:t>，从而使废水的</w:t>
      </w:r>
      <w:r>
        <w:rPr>
          <w:rFonts w:ascii="Times New Roman"/>
          <w:color w:val="auto"/>
          <w:kern w:val="0"/>
        </w:rPr>
        <w:t>COD</w:t>
      </w:r>
      <w:r>
        <w:rPr>
          <w:rFonts w:hint="eastAsia" w:ascii="Times New Roman"/>
          <w:color w:val="auto"/>
          <w:kern w:val="0"/>
        </w:rPr>
        <w:t>大大降低，在废水</w:t>
      </w:r>
      <w:r>
        <w:rPr>
          <w:rFonts w:ascii="Times New Roman"/>
          <w:color w:val="auto"/>
          <w:kern w:val="0"/>
        </w:rPr>
        <w:t>pH</w:t>
      </w:r>
      <w:r>
        <w:rPr>
          <w:rFonts w:hint="eastAsia" w:ascii="Times New Roman"/>
          <w:color w:val="auto"/>
          <w:kern w:val="0"/>
        </w:rPr>
        <w:t>调至碱性并有</w:t>
      </w:r>
      <w:r>
        <w:rPr>
          <w:rFonts w:ascii="Times New Roman"/>
          <w:color w:val="auto"/>
          <w:kern w:val="0"/>
        </w:rPr>
        <w:t>O</w:t>
      </w:r>
      <w:r>
        <w:rPr>
          <w:rFonts w:ascii="Times New Roman"/>
          <w:color w:val="auto"/>
          <w:kern w:val="0"/>
          <w:vertAlign w:val="subscript"/>
        </w:rPr>
        <w:t>2</w:t>
      </w:r>
      <w:r>
        <w:rPr>
          <w:rFonts w:hint="eastAsia" w:ascii="Times New Roman"/>
          <w:color w:val="auto"/>
          <w:kern w:val="0"/>
        </w:rPr>
        <w:t>存在时，还会发生下列反应：</w:t>
      </w:r>
    </w:p>
    <w:p>
      <w:pPr>
        <w:pStyle w:val="2589"/>
        <w:snapToGrid w:val="0"/>
        <w:ind w:firstLine="480"/>
        <w:rPr>
          <w:rFonts w:ascii="Times New Roman"/>
          <w:color w:val="auto"/>
          <w:kern w:val="0"/>
          <w:lang w:val="pt-BR"/>
        </w:rPr>
      </w:pPr>
      <w:r>
        <w:rPr>
          <w:rFonts w:ascii="Times New Roman"/>
          <w:color w:val="auto"/>
          <w:kern w:val="0"/>
          <w:lang w:val="pt-BR"/>
        </w:rPr>
        <w:t>Fe</w:t>
      </w:r>
      <w:r>
        <w:rPr>
          <w:rFonts w:ascii="Times New Roman"/>
          <w:color w:val="auto"/>
          <w:kern w:val="0"/>
          <w:vertAlign w:val="superscript"/>
          <w:lang w:val="pt-BR"/>
        </w:rPr>
        <w:t>2+</w:t>
      </w:r>
      <w:r>
        <w:rPr>
          <w:rFonts w:ascii="Times New Roman"/>
          <w:color w:val="auto"/>
          <w:kern w:val="0"/>
          <w:lang w:val="pt-BR"/>
        </w:rPr>
        <w:t>+1/2O</w:t>
      </w:r>
      <w:r>
        <w:rPr>
          <w:rFonts w:ascii="Times New Roman"/>
          <w:color w:val="auto"/>
          <w:kern w:val="0"/>
          <w:vertAlign w:val="subscript"/>
          <w:lang w:val="pt-BR"/>
        </w:rPr>
        <w:t>2</w:t>
      </w:r>
      <w:r>
        <w:rPr>
          <w:rFonts w:ascii="Times New Roman"/>
          <w:color w:val="auto"/>
          <w:kern w:val="0"/>
          <w:lang w:val="pt-BR"/>
        </w:rPr>
        <w:t>+ H</w:t>
      </w:r>
      <w:r>
        <w:rPr>
          <w:rFonts w:ascii="Times New Roman"/>
          <w:color w:val="auto"/>
          <w:kern w:val="0"/>
          <w:vertAlign w:val="subscript"/>
          <w:lang w:val="pt-BR"/>
        </w:rPr>
        <w:t>2</w:t>
      </w:r>
      <w:r>
        <w:rPr>
          <w:rFonts w:ascii="Times New Roman"/>
          <w:color w:val="auto"/>
          <w:kern w:val="0"/>
          <w:lang w:val="pt-BR"/>
        </w:rPr>
        <w:t>O+OH-→Fe(OH)</w:t>
      </w:r>
      <w:r>
        <w:rPr>
          <w:rFonts w:ascii="Times New Roman"/>
          <w:color w:val="auto"/>
          <w:kern w:val="0"/>
          <w:vertAlign w:val="subscript"/>
          <w:lang w:val="pt-BR"/>
        </w:rPr>
        <w:t>3</w:t>
      </w:r>
    </w:p>
    <w:p>
      <w:pPr>
        <w:pStyle w:val="2589"/>
        <w:snapToGrid w:val="0"/>
        <w:ind w:firstLine="480"/>
        <w:rPr>
          <w:rFonts w:ascii="Times New Roman"/>
          <w:color w:val="auto"/>
          <w:kern w:val="0"/>
          <w:lang w:val="pt-BR"/>
        </w:rPr>
      </w:pPr>
      <w:r>
        <w:rPr>
          <w:rFonts w:ascii="Times New Roman"/>
          <w:color w:val="auto"/>
          <w:kern w:val="0"/>
          <w:lang w:val="pt-BR"/>
        </w:rPr>
        <w:t>2Fe</w:t>
      </w:r>
      <w:r>
        <w:rPr>
          <w:rFonts w:ascii="Times New Roman"/>
          <w:color w:val="auto"/>
          <w:kern w:val="0"/>
          <w:vertAlign w:val="superscript"/>
          <w:lang w:val="pt-BR"/>
        </w:rPr>
        <w:t>3+</w:t>
      </w:r>
      <w:r>
        <w:rPr>
          <w:rFonts w:ascii="Times New Roman"/>
          <w:color w:val="auto"/>
          <w:kern w:val="0"/>
          <w:lang w:val="pt-BR"/>
        </w:rPr>
        <w:t>+3H</w:t>
      </w:r>
      <w:r>
        <w:rPr>
          <w:rFonts w:ascii="Times New Roman"/>
          <w:color w:val="auto"/>
          <w:kern w:val="0"/>
          <w:vertAlign w:val="subscript"/>
          <w:lang w:val="pt-BR"/>
        </w:rPr>
        <w:t>2</w:t>
      </w:r>
      <w:r>
        <w:rPr>
          <w:rFonts w:ascii="Times New Roman"/>
          <w:color w:val="auto"/>
          <w:kern w:val="0"/>
          <w:lang w:val="pt-BR"/>
        </w:rPr>
        <w:t>O</w:t>
      </w:r>
      <w:r>
        <w:rPr>
          <w:rFonts w:ascii="Times New Roman"/>
          <w:color w:val="auto"/>
          <w:kern w:val="0"/>
          <w:vertAlign w:val="subscript"/>
          <w:lang w:val="pt-BR"/>
        </w:rPr>
        <w:t>2</w:t>
      </w:r>
      <w:r>
        <w:rPr>
          <w:rFonts w:ascii="Times New Roman"/>
          <w:color w:val="auto"/>
          <w:kern w:val="0"/>
          <w:lang w:val="pt-BR"/>
        </w:rPr>
        <w:t>+2H</w:t>
      </w:r>
      <w:r>
        <w:rPr>
          <w:rFonts w:ascii="Times New Roman"/>
          <w:color w:val="auto"/>
          <w:kern w:val="0"/>
          <w:vertAlign w:val="subscript"/>
          <w:lang w:val="pt-BR"/>
        </w:rPr>
        <w:t>2</w:t>
      </w:r>
      <w:r>
        <w:rPr>
          <w:rFonts w:ascii="Times New Roman"/>
          <w:color w:val="auto"/>
          <w:kern w:val="0"/>
          <w:lang w:val="pt-BR"/>
        </w:rPr>
        <w:t>O→2H</w:t>
      </w:r>
      <w:r>
        <w:rPr>
          <w:rFonts w:ascii="Times New Roman"/>
          <w:color w:val="auto"/>
          <w:kern w:val="0"/>
          <w:vertAlign w:val="subscript"/>
          <w:lang w:val="pt-BR"/>
        </w:rPr>
        <w:t>2</w:t>
      </w:r>
      <w:r>
        <w:rPr>
          <w:rFonts w:ascii="Times New Roman"/>
          <w:color w:val="auto"/>
          <w:kern w:val="0"/>
          <w:lang w:val="pt-BR"/>
        </w:rPr>
        <w:t>FeO</w:t>
      </w:r>
      <w:r>
        <w:rPr>
          <w:rFonts w:ascii="Times New Roman"/>
          <w:color w:val="auto"/>
          <w:kern w:val="0"/>
          <w:vertAlign w:val="subscript"/>
          <w:lang w:val="pt-BR"/>
        </w:rPr>
        <w:t>4</w:t>
      </w:r>
      <w:r>
        <w:rPr>
          <w:rFonts w:ascii="Times New Roman"/>
          <w:color w:val="auto"/>
          <w:kern w:val="0"/>
          <w:lang w:val="pt-BR"/>
        </w:rPr>
        <w:t>+6H</w:t>
      </w:r>
      <w:r>
        <w:rPr>
          <w:rFonts w:ascii="Times New Roman"/>
          <w:color w:val="auto"/>
          <w:kern w:val="0"/>
          <w:vertAlign w:val="superscript"/>
          <w:lang w:val="pt-BR"/>
        </w:rPr>
        <w:t>+</w:t>
      </w:r>
    </w:p>
    <w:p>
      <w:pPr>
        <w:pStyle w:val="2589"/>
        <w:snapToGrid w:val="0"/>
        <w:ind w:firstLine="480"/>
        <w:rPr>
          <w:rFonts w:ascii="Times New Roman"/>
          <w:color w:val="auto"/>
          <w:kern w:val="0"/>
          <w:lang w:val="pt-BR"/>
        </w:rPr>
      </w:pPr>
      <w:r>
        <w:rPr>
          <w:rFonts w:ascii="Times New Roman"/>
          <w:color w:val="auto"/>
          <w:kern w:val="0"/>
          <w:lang w:val="pt-BR"/>
        </w:rPr>
        <w:t>2H</w:t>
      </w:r>
      <w:r>
        <w:rPr>
          <w:rFonts w:ascii="Times New Roman"/>
          <w:color w:val="auto"/>
          <w:kern w:val="0"/>
          <w:vertAlign w:val="subscript"/>
          <w:lang w:val="pt-BR"/>
        </w:rPr>
        <w:t>2</w:t>
      </w:r>
      <w:r>
        <w:rPr>
          <w:rFonts w:ascii="Times New Roman"/>
          <w:color w:val="auto"/>
          <w:kern w:val="0"/>
          <w:lang w:val="pt-BR"/>
        </w:rPr>
        <w:t>FeO</w:t>
      </w:r>
      <w:r>
        <w:rPr>
          <w:rFonts w:ascii="Times New Roman"/>
          <w:color w:val="auto"/>
          <w:kern w:val="0"/>
          <w:vertAlign w:val="subscript"/>
          <w:lang w:val="pt-BR"/>
        </w:rPr>
        <w:t>4</w:t>
      </w:r>
      <w:r>
        <w:rPr>
          <w:rFonts w:ascii="Times New Roman"/>
          <w:color w:val="auto"/>
          <w:kern w:val="0"/>
          <w:lang w:val="pt-BR"/>
        </w:rPr>
        <w:t>+3H</w:t>
      </w:r>
      <w:r>
        <w:rPr>
          <w:rFonts w:ascii="Times New Roman"/>
          <w:color w:val="auto"/>
          <w:kern w:val="0"/>
          <w:vertAlign w:val="subscript"/>
          <w:lang w:val="pt-BR"/>
        </w:rPr>
        <w:t>2</w:t>
      </w:r>
      <w:r>
        <w:rPr>
          <w:rFonts w:ascii="Times New Roman"/>
          <w:color w:val="auto"/>
          <w:kern w:val="0"/>
          <w:lang w:val="pt-BR"/>
        </w:rPr>
        <w:t>O</w:t>
      </w:r>
      <w:r>
        <w:rPr>
          <w:rFonts w:ascii="Times New Roman"/>
          <w:color w:val="auto"/>
          <w:kern w:val="0"/>
          <w:vertAlign w:val="subscript"/>
          <w:lang w:val="pt-BR"/>
        </w:rPr>
        <w:t>2</w:t>
      </w:r>
      <w:r>
        <w:rPr>
          <w:rFonts w:ascii="Times New Roman"/>
          <w:color w:val="auto"/>
          <w:kern w:val="0"/>
          <w:lang w:val="pt-BR"/>
        </w:rPr>
        <w:t>→Fe(OH)</w:t>
      </w:r>
      <w:r>
        <w:rPr>
          <w:rFonts w:ascii="Times New Roman"/>
          <w:color w:val="auto"/>
          <w:kern w:val="0"/>
          <w:vertAlign w:val="subscript"/>
          <w:lang w:val="pt-BR"/>
        </w:rPr>
        <w:t>3</w:t>
      </w:r>
      <w:r>
        <w:rPr>
          <w:rFonts w:ascii="Times New Roman"/>
          <w:color w:val="auto"/>
          <w:kern w:val="0"/>
          <w:lang w:val="pt-BR"/>
        </w:rPr>
        <w:t>+2H</w:t>
      </w:r>
      <w:r>
        <w:rPr>
          <w:rFonts w:ascii="Times New Roman"/>
          <w:color w:val="auto"/>
          <w:kern w:val="0"/>
          <w:vertAlign w:val="subscript"/>
          <w:lang w:val="pt-BR"/>
        </w:rPr>
        <w:t>2</w:t>
      </w:r>
      <w:r>
        <w:rPr>
          <w:rFonts w:ascii="Times New Roman"/>
          <w:color w:val="auto"/>
          <w:kern w:val="0"/>
          <w:lang w:val="pt-BR"/>
        </w:rPr>
        <w:t>O+3O</w:t>
      </w:r>
      <w:r>
        <w:rPr>
          <w:rFonts w:ascii="Times New Roman"/>
          <w:color w:val="auto"/>
          <w:kern w:val="0"/>
          <w:vertAlign w:val="subscript"/>
          <w:lang w:val="pt-BR"/>
        </w:rPr>
        <w:t>2</w:t>
      </w:r>
    </w:p>
    <w:p>
      <w:pPr>
        <w:pStyle w:val="2589"/>
        <w:snapToGrid w:val="0"/>
        <w:ind w:firstLine="480"/>
        <w:rPr>
          <w:rFonts w:ascii="Times New Roman"/>
          <w:color w:val="auto"/>
          <w:kern w:val="0"/>
        </w:rPr>
      </w:pPr>
      <w:r>
        <w:rPr>
          <w:rFonts w:hint="eastAsia" w:ascii="Times New Roman"/>
          <w:color w:val="auto"/>
          <w:kern w:val="0"/>
        </w:rPr>
        <w:t>在一定酸度下，</w:t>
      </w:r>
      <w:r>
        <w:rPr>
          <w:rFonts w:ascii="Times New Roman"/>
          <w:color w:val="auto"/>
          <w:kern w:val="0"/>
        </w:rPr>
        <w:t>Fe(OH)</w:t>
      </w:r>
      <w:r>
        <w:rPr>
          <w:rFonts w:ascii="Times New Roman"/>
          <w:color w:val="auto"/>
          <w:kern w:val="0"/>
          <w:vertAlign w:val="subscript"/>
        </w:rPr>
        <w:t>3</w:t>
      </w:r>
      <w:r>
        <w:rPr>
          <w:rFonts w:hint="eastAsia" w:ascii="Times New Roman"/>
          <w:color w:val="auto"/>
          <w:kern w:val="0"/>
        </w:rPr>
        <w:t>以胶体形态存在，具有凝聚、吸附性能，可除去水中金属铅和金属铬以及部分悬浮物和杂质。</w:t>
      </w:r>
    </w:p>
    <w:p>
      <w:pPr>
        <w:pStyle w:val="2589"/>
        <w:snapToGrid w:val="0"/>
        <w:ind w:firstLine="480"/>
        <w:rPr>
          <w:rFonts w:ascii="Times New Roman"/>
          <w:color w:val="auto"/>
          <w:kern w:val="0"/>
        </w:rPr>
      </w:pPr>
      <w:r>
        <w:rPr>
          <w:rFonts w:hint="eastAsia" w:ascii="Times New Roman"/>
          <w:color w:val="auto"/>
          <w:kern w:val="0"/>
        </w:rPr>
        <w:t>过氧化氢作为一种强的氧化剂可将水中有机的、无机的毒性污染物氧化成为无毒或较易被微生物分解的化合物。但一般说来，对于高浓度难降解的有机污染物，仅用过氧化氢效果并不十分理想。</w:t>
      </w:r>
      <w:r>
        <w:rPr>
          <w:rFonts w:ascii="Times New Roman"/>
          <w:color w:val="auto"/>
          <w:kern w:val="0"/>
        </w:rPr>
        <w:t>FeSO</w:t>
      </w:r>
      <w:r>
        <w:rPr>
          <w:rFonts w:ascii="Times New Roman"/>
          <w:color w:val="auto"/>
          <w:kern w:val="0"/>
          <w:vertAlign w:val="subscript"/>
        </w:rPr>
        <w:t>4</w:t>
      </w:r>
      <w:r>
        <w:rPr>
          <w:rFonts w:hint="eastAsia" w:ascii="Times New Roman"/>
          <w:color w:val="auto"/>
          <w:kern w:val="0"/>
        </w:rPr>
        <w:t>的引入则大大提高了过氧化氢的处理效果。对于一般有机废水来讲用</w:t>
      </w:r>
      <w:r>
        <w:rPr>
          <w:rFonts w:ascii="Times New Roman"/>
          <w:color w:val="auto"/>
          <w:kern w:val="0"/>
        </w:rPr>
        <w:t>H</w:t>
      </w:r>
      <w:r>
        <w:rPr>
          <w:rFonts w:ascii="Times New Roman"/>
          <w:color w:val="auto"/>
          <w:kern w:val="0"/>
          <w:vertAlign w:val="subscript"/>
        </w:rPr>
        <w:t>2</w:t>
      </w:r>
      <w:r>
        <w:rPr>
          <w:rFonts w:ascii="Times New Roman"/>
          <w:color w:val="auto"/>
          <w:kern w:val="0"/>
        </w:rPr>
        <w:t>O</w:t>
      </w:r>
      <w:r>
        <w:rPr>
          <w:rFonts w:ascii="Times New Roman"/>
          <w:color w:val="auto"/>
          <w:kern w:val="0"/>
          <w:vertAlign w:val="subscript"/>
        </w:rPr>
        <w:t>2</w:t>
      </w:r>
      <w:r>
        <w:rPr>
          <w:rFonts w:hint="eastAsia" w:ascii="Times New Roman"/>
          <w:color w:val="auto"/>
          <w:kern w:val="0"/>
        </w:rPr>
        <w:t>进行催化氧化处理是一种操作简单且十分有效的处理方法。</w:t>
      </w:r>
    </w:p>
    <w:p>
      <w:pPr>
        <w:pStyle w:val="2589"/>
        <w:snapToGrid w:val="0"/>
        <w:ind w:firstLine="480"/>
        <w:rPr>
          <w:rFonts w:ascii="Times New Roman"/>
          <w:color w:val="auto"/>
          <w:kern w:val="0"/>
        </w:rPr>
      </w:pPr>
      <w:r>
        <w:rPr>
          <w:rFonts w:ascii="Times New Roman"/>
          <w:color w:val="auto"/>
          <w:kern w:val="0"/>
        </w:rPr>
        <w:t>H</w:t>
      </w:r>
      <w:r>
        <w:rPr>
          <w:rFonts w:ascii="Times New Roman"/>
          <w:color w:val="auto"/>
          <w:kern w:val="0"/>
          <w:vertAlign w:val="subscript"/>
        </w:rPr>
        <w:t>2</w:t>
      </w:r>
      <w:r>
        <w:rPr>
          <w:rFonts w:ascii="Times New Roman"/>
          <w:color w:val="auto"/>
          <w:kern w:val="0"/>
        </w:rPr>
        <w:t>O</w:t>
      </w:r>
      <w:r>
        <w:rPr>
          <w:rFonts w:ascii="Times New Roman"/>
          <w:color w:val="auto"/>
          <w:kern w:val="0"/>
          <w:vertAlign w:val="subscript"/>
        </w:rPr>
        <w:t>2</w:t>
      </w:r>
      <w:r>
        <w:rPr>
          <w:rFonts w:hint="eastAsia" w:ascii="Times New Roman"/>
          <w:color w:val="auto"/>
          <w:kern w:val="0"/>
        </w:rPr>
        <w:t>催化氧化具备以下优越性：</w:t>
      </w:r>
    </w:p>
    <w:p>
      <w:pPr>
        <w:pStyle w:val="2589"/>
        <w:snapToGrid w:val="0"/>
        <w:ind w:firstLine="480"/>
        <w:rPr>
          <w:rFonts w:ascii="Times New Roman"/>
          <w:color w:val="auto"/>
          <w:kern w:val="0"/>
        </w:rPr>
      </w:pPr>
      <w:r>
        <w:rPr>
          <w:rFonts w:ascii="Times New Roman"/>
          <w:color w:val="auto"/>
          <w:kern w:val="0"/>
        </w:rPr>
        <w:t>a.</w:t>
      </w:r>
      <w:r>
        <w:rPr>
          <w:rFonts w:hint="eastAsia" w:ascii="Times New Roman"/>
          <w:color w:val="auto"/>
          <w:kern w:val="0"/>
        </w:rPr>
        <w:t>高效催化剂的使用提高了反应速率及氧化效率，克服了对有机物氧化的选择性，处理效果好。　</w:t>
      </w:r>
    </w:p>
    <w:p>
      <w:pPr>
        <w:pStyle w:val="2589"/>
        <w:snapToGrid w:val="0"/>
        <w:ind w:firstLine="480"/>
        <w:rPr>
          <w:rFonts w:ascii="Times New Roman"/>
          <w:color w:val="auto"/>
          <w:kern w:val="0"/>
        </w:rPr>
      </w:pPr>
      <w:r>
        <w:rPr>
          <w:rFonts w:ascii="Times New Roman"/>
          <w:color w:val="auto"/>
          <w:kern w:val="0"/>
        </w:rPr>
        <w:t>b.</w:t>
      </w:r>
      <w:r>
        <w:rPr>
          <w:rFonts w:hint="eastAsia" w:ascii="Times New Roman"/>
          <w:color w:val="auto"/>
          <w:kern w:val="0"/>
        </w:rPr>
        <w:t>氧化剂及催化剂采购制备简便，投资及运行费用低，与其它处理方法的费用相比，比较低廉。</w:t>
      </w:r>
    </w:p>
    <w:p>
      <w:pPr>
        <w:pStyle w:val="2589"/>
        <w:snapToGrid w:val="0"/>
        <w:ind w:firstLine="480"/>
        <w:rPr>
          <w:rFonts w:ascii="Times New Roman"/>
          <w:color w:val="auto"/>
          <w:kern w:val="0"/>
        </w:rPr>
      </w:pPr>
      <w:r>
        <w:rPr>
          <w:rFonts w:ascii="Times New Roman"/>
          <w:color w:val="auto"/>
          <w:kern w:val="0"/>
        </w:rPr>
        <w:t>c.</w:t>
      </w:r>
      <w:r>
        <w:rPr>
          <w:rFonts w:hint="eastAsia" w:ascii="Times New Roman"/>
          <w:color w:val="auto"/>
          <w:kern w:val="0"/>
        </w:rPr>
        <w:t>氧化剂</w:t>
      </w:r>
      <w:r>
        <w:rPr>
          <w:rFonts w:ascii="Times New Roman"/>
          <w:color w:val="auto"/>
          <w:kern w:val="0"/>
        </w:rPr>
        <w:t>H</w:t>
      </w:r>
      <w:r>
        <w:rPr>
          <w:rFonts w:ascii="Times New Roman"/>
          <w:color w:val="auto"/>
          <w:kern w:val="0"/>
          <w:vertAlign w:val="subscript"/>
        </w:rPr>
        <w:t>2</w:t>
      </w:r>
      <w:r>
        <w:rPr>
          <w:rFonts w:ascii="Times New Roman"/>
          <w:color w:val="auto"/>
          <w:kern w:val="0"/>
        </w:rPr>
        <w:t>O</w:t>
      </w:r>
      <w:r>
        <w:rPr>
          <w:rFonts w:ascii="Times New Roman"/>
          <w:color w:val="auto"/>
          <w:kern w:val="0"/>
          <w:vertAlign w:val="subscript"/>
        </w:rPr>
        <w:t>2</w:t>
      </w:r>
      <w:r>
        <w:rPr>
          <w:rFonts w:hint="eastAsia" w:ascii="Times New Roman"/>
          <w:color w:val="auto"/>
          <w:kern w:val="0"/>
        </w:rPr>
        <w:t>为绿色氧化剂，分解后变成</w:t>
      </w:r>
      <w:r>
        <w:rPr>
          <w:rFonts w:ascii="Times New Roman"/>
          <w:color w:val="auto"/>
          <w:kern w:val="0"/>
        </w:rPr>
        <w:t>H</w:t>
      </w:r>
      <w:r>
        <w:rPr>
          <w:rFonts w:ascii="Times New Roman"/>
          <w:color w:val="auto"/>
          <w:kern w:val="0"/>
          <w:vertAlign w:val="subscript"/>
        </w:rPr>
        <w:t>2</w:t>
      </w:r>
      <w:r>
        <w:rPr>
          <w:rFonts w:ascii="Times New Roman"/>
          <w:color w:val="auto"/>
          <w:kern w:val="0"/>
        </w:rPr>
        <w:t>O</w:t>
      </w:r>
      <w:r>
        <w:rPr>
          <w:rFonts w:hint="eastAsia" w:ascii="Times New Roman"/>
          <w:color w:val="auto"/>
          <w:kern w:val="0"/>
        </w:rPr>
        <w:t>和</w:t>
      </w:r>
      <w:r>
        <w:rPr>
          <w:rFonts w:ascii="Times New Roman"/>
          <w:color w:val="auto"/>
          <w:kern w:val="0"/>
        </w:rPr>
        <w:t>O</w:t>
      </w:r>
      <w:r>
        <w:rPr>
          <w:rFonts w:ascii="Times New Roman"/>
          <w:color w:val="auto"/>
          <w:kern w:val="0"/>
          <w:vertAlign w:val="subscript"/>
        </w:rPr>
        <w:t>2</w:t>
      </w:r>
      <w:r>
        <w:rPr>
          <w:rFonts w:hint="eastAsia" w:ascii="Times New Roman"/>
          <w:color w:val="auto"/>
          <w:kern w:val="0"/>
        </w:rPr>
        <w:t>，不会产生二次污染。</w:t>
      </w:r>
    </w:p>
    <w:p>
      <w:pPr>
        <w:pStyle w:val="178"/>
        <w:snapToGrid w:val="0"/>
        <w:ind w:firstLine="480"/>
        <w:jc w:val="both"/>
        <w:rPr>
          <w:rFonts w:ascii="Times New Roman" w:hAnsi="Times New Roman"/>
          <w:kern w:val="0"/>
        </w:rPr>
      </w:pPr>
      <w:r>
        <w:rPr>
          <w:rFonts w:ascii="Times New Roman" w:hAnsi="Times New Roman"/>
        </w:rPr>
        <w:t>d.</w:t>
      </w:r>
      <w:r>
        <w:rPr>
          <w:rFonts w:hint="eastAsia" w:ascii="Times New Roman" w:hAnsi="Times New Roman"/>
        </w:rPr>
        <w:t>氧化反应在常温常压下进行，反应条件温和，易于操作，设备投资少。</w:t>
      </w:r>
    </w:p>
    <w:p>
      <w:pPr>
        <w:pStyle w:val="739"/>
        <w:ind w:firstLine="480"/>
        <w:outlineLvl w:val="0"/>
      </w:pPr>
      <w:bookmarkStart w:id="510" w:name="_Toc13760258"/>
      <w:bookmarkStart w:id="511" w:name="_Toc13582227"/>
      <w:r>
        <w:rPr>
          <w:rFonts w:hint="eastAsia"/>
        </w:rPr>
        <w:t>②强制循环蒸发器</w:t>
      </w:r>
      <w:bookmarkEnd w:id="510"/>
      <w:bookmarkEnd w:id="511"/>
    </w:p>
    <w:p>
      <w:pPr>
        <w:adjustRightInd w:val="0"/>
        <w:snapToGrid w:val="0"/>
        <w:ind w:firstLine="480"/>
      </w:pPr>
      <w:r>
        <w:rPr>
          <w:rFonts w:hint="eastAsia"/>
        </w:rPr>
        <w:t>本项目采用三效</w:t>
      </w:r>
      <w:r>
        <w:rPr>
          <w:rFonts w:hint="eastAsia"/>
          <w:szCs w:val="24"/>
        </w:rPr>
        <w:t>强制循环蒸发器处理</w:t>
      </w:r>
      <w:bookmarkStart w:id="512" w:name="OLE_LINK27"/>
      <w:bookmarkStart w:id="513" w:name="OLE_LINK28"/>
      <w:r>
        <w:rPr>
          <w:kern w:val="0"/>
          <w:szCs w:val="24"/>
        </w:rPr>
        <w:t>Fenton</w:t>
      </w:r>
      <w:r>
        <w:rPr>
          <w:rFonts w:hint="eastAsia"/>
          <w:kern w:val="0"/>
          <w:szCs w:val="24"/>
        </w:rPr>
        <w:t>装置出水</w:t>
      </w:r>
      <w:bookmarkEnd w:id="512"/>
      <w:bookmarkEnd w:id="513"/>
      <w:r>
        <w:rPr>
          <w:rFonts w:hint="eastAsia"/>
          <w:szCs w:val="24"/>
        </w:rPr>
        <w:t>。用</w:t>
      </w:r>
      <w:r>
        <w:rPr>
          <w:rFonts w:hint="eastAsia"/>
        </w:rPr>
        <w:t>泵将</w:t>
      </w:r>
      <w:r>
        <w:rPr>
          <w:kern w:val="0"/>
          <w:szCs w:val="24"/>
        </w:rPr>
        <w:t>Fenton</w:t>
      </w:r>
      <w:r>
        <w:rPr>
          <w:rFonts w:hint="eastAsia"/>
          <w:kern w:val="0"/>
          <w:szCs w:val="24"/>
        </w:rPr>
        <w:t>装置出水</w:t>
      </w:r>
      <w:r>
        <w:rPr>
          <w:rFonts w:hint="eastAsia"/>
        </w:rPr>
        <w:t>加压后送第一效蒸发器中部，蒸发器在操作压力为</w:t>
      </w:r>
      <w:r>
        <w:t>0.098 Mpa(a)</w:t>
      </w:r>
      <w:r>
        <w:rPr>
          <w:rFonts w:hint="eastAsia"/>
        </w:rPr>
        <w:t>，再沸器采用强制循环，用</w:t>
      </w:r>
      <w:r>
        <w:t>0.8Mpa(a)</w:t>
      </w:r>
      <w:r>
        <w:rPr>
          <w:rFonts w:hint="eastAsia"/>
        </w:rPr>
        <w:t>蒸汽为热源。蒸汽冷凝液经疏水器入闪蒸槽，闪蒸出的蒸汽送第三效蒸发器再沸器作为热源，闪蒸后的冷凝液送至冷凝液贮槽。第一效出来的工艺蒸汽进入第二效再沸器，第一效蒸发器底部溶液靠重力流入第二效蒸发器。为了减少再沸器堵塞和强化传热，溶液用泵强制循环。再沸器热源为第一效工艺蒸汽。再沸器出来的工艺冷凝液送至冷凝液贮槽。</w:t>
      </w:r>
    </w:p>
    <w:p>
      <w:pPr>
        <w:adjustRightInd w:val="0"/>
        <w:snapToGrid w:val="0"/>
        <w:ind w:firstLine="480"/>
      </w:pPr>
      <w:r>
        <w:rPr>
          <w:rFonts w:hint="eastAsia"/>
        </w:rPr>
        <w:t>第二效出来的工艺蒸汽进入第三效蒸发器的再沸器，蒸发器溶液用泵强制循环。工艺冷凝液送至冷凝液贮槽。第二效出来溶液靠重力送到第三效蒸发器。</w:t>
      </w:r>
    </w:p>
    <w:p>
      <w:pPr>
        <w:adjustRightInd w:val="0"/>
        <w:snapToGrid w:val="0"/>
        <w:ind w:firstLine="480"/>
      </w:pPr>
      <w:r>
        <w:rPr>
          <w:rFonts w:hint="eastAsia"/>
        </w:rPr>
        <w:t>第三效蒸发器入再沸器的溶液采用泵强制循环。再沸器出来的冷凝液送至冷凝液贮槽。第三效蒸发器出来的冷凝液送至冷凝液贮槽。第三效蒸发器盐泥送至固化车间。冷凝得到的冷凝液送至厂区污水处理站进行进一步处理。</w:t>
      </w:r>
    </w:p>
    <w:p>
      <w:pPr>
        <w:pStyle w:val="739"/>
        <w:ind w:firstLine="480"/>
        <w:outlineLvl w:val="0"/>
      </w:pPr>
      <w:bookmarkStart w:id="514" w:name="_Toc13582228"/>
      <w:bookmarkStart w:id="515" w:name="_Toc13760259"/>
      <w:r>
        <w:t>(4)</w:t>
      </w:r>
      <w:r>
        <w:rPr>
          <w:rFonts w:hint="eastAsia"/>
        </w:rPr>
        <w:t>效果分析</w:t>
      </w:r>
      <w:bookmarkEnd w:id="514"/>
      <w:bookmarkEnd w:id="515"/>
    </w:p>
    <w:p>
      <w:pPr>
        <w:ind w:firstLine="480"/>
      </w:pPr>
      <w:r>
        <w:rPr>
          <w:rFonts w:hint="eastAsia"/>
          <w:snapToGrid w:val="0"/>
          <w:kern w:val="0"/>
        </w:rPr>
        <w:t>该污水处理模块利用</w:t>
      </w:r>
      <w:r>
        <w:rPr>
          <w:snapToGrid w:val="0"/>
          <w:kern w:val="0"/>
        </w:rPr>
        <w:t>Fenton</w:t>
      </w:r>
      <w:r>
        <w:rPr>
          <w:rFonts w:hint="eastAsia"/>
          <w:snapToGrid w:val="0"/>
          <w:kern w:val="0"/>
        </w:rPr>
        <w:t>试剂的强氧化性去除</w:t>
      </w:r>
      <w:r>
        <w:rPr>
          <w:snapToGrid w:val="0"/>
          <w:kern w:val="0"/>
        </w:rPr>
        <w:t>COD</w:t>
      </w:r>
      <w:r>
        <w:rPr>
          <w:rFonts w:hint="eastAsia"/>
          <w:snapToGrid w:val="0"/>
          <w:kern w:val="0"/>
        </w:rPr>
        <w:t>，最后通过强制循环蒸发，可使</w:t>
      </w:r>
      <w:r>
        <w:rPr>
          <w:snapToGrid w:val="0"/>
          <w:kern w:val="0"/>
        </w:rPr>
        <w:t>Fenton</w:t>
      </w:r>
      <w:r>
        <w:rPr>
          <w:rFonts w:hint="eastAsia"/>
          <w:snapToGrid w:val="0"/>
          <w:kern w:val="0"/>
        </w:rPr>
        <w:t>出水的盐分进入盐泥中，使冷凝液中各污染物的含量大幅下降，减轻本项目污水处理站的处理压力。类比同类项目环境影响报告书中的相关内容，该模块主要污染物的进出水水质见表7.2—2。</w:t>
      </w:r>
    </w:p>
    <w:p>
      <w:pPr>
        <w:pStyle w:val="161"/>
        <w:ind w:firstLine="480"/>
        <w:rPr>
          <w:rFonts w:cs="Times New Roman"/>
          <w:kern w:val="0"/>
          <w:szCs w:val="20"/>
        </w:rPr>
      </w:pPr>
      <w:r>
        <w:rPr>
          <w:rFonts w:hint="eastAsia"/>
        </w:rPr>
        <w:t>表</w:t>
      </w:r>
      <w:r>
        <w:rPr>
          <w:rFonts w:hint="eastAsia"/>
          <w:snapToGrid w:val="0"/>
          <w:kern w:val="0"/>
        </w:rPr>
        <w:t>7.2—2</w:t>
      </w:r>
      <w:r>
        <w:rPr>
          <w:rFonts w:hint="eastAsia"/>
        </w:rPr>
        <w:t>“</w:t>
      </w:r>
      <w:r>
        <w:t>Fenton+</w:t>
      </w:r>
      <w:r>
        <w:rPr>
          <w:rFonts w:hint="eastAsia"/>
        </w:rPr>
        <w:t>强制循环蒸发”段主要污染物进出水水质情况</w:t>
      </w:r>
    </w:p>
    <w:tbl>
      <w:tblPr>
        <w:tblStyle w:val="88"/>
        <w:tblW w:w="9854"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70"/>
        <w:gridCol w:w="1971"/>
        <w:gridCol w:w="1971"/>
        <w:gridCol w:w="1971"/>
        <w:gridCol w:w="197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single" w:color="auto" w:sz="12" w:space="0"/>
              <w:left w:val="nil"/>
              <w:bottom w:val="single" w:color="auto" w:sz="12" w:space="0"/>
              <w:right w:val="dotted" w:color="auto" w:sz="4" w:space="0"/>
            </w:tcBorders>
            <w:vAlign w:val="center"/>
          </w:tcPr>
          <w:p>
            <w:pPr>
              <w:pStyle w:val="59"/>
              <w:spacing w:line="240" w:lineRule="atLeast"/>
              <w:ind w:firstLine="0" w:firstLineChars="0"/>
              <w:jc w:val="center"/>
              <w:rPr>
                <w:sz w:val="21"/>
              </w:rPr>
            </w:pPr>
            <w:r>
              <w:rPr>
                <w:rFonts w:hint="eastAsia"/>
                <w:b/>
                <w:sz w:val="21"/>
              </w:rPr>
              <w:t>序号</w:t>
            </w:r>
          </w:p>
        </w:tc>
        <w:tc>
          <w:tcPr>
            <w:tcW w:w="1971"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污染物</w:t>
            </w:r>
          </w:p>
        </w:tc>
        <w:tc>
          <w:tcPr>
            <w:tcW w:w="1971"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进水</w:t>
            </w:r>
            <w:r>
              <w:rPr>
                <w:spacing w:val="12"/>
                <w:sz w:val="21"/>
              </w:rPr>
              <w:t>(mg/L)</w:t>
            </w:r>
          </w:p>
        </w:tc>
        <w:tc>
          <w:tcPr>
            <w:tcW w:w="1971"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出水</w:t>
            </w:r>
            <w:r>
              <w:rPr>
                <w:spacing w:val="12"/>
                <w:sz w:val="21"/>
              </w:rPr>
              <w:t>(mg/L)</w:t>
            </w:r>
          </w:p>
        </w:tc>
        <w:tc>
          <w:tcPr>
            <w:tcW w:w="1971"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pacing w:val="12"/>
                <w:sz w:val="21"/>
              </w:rPr>
            </w:pPr>
            <w:r>
              <w:rPr>
                <w:rFonts w:hint="eastAsia"/>
                <w:spacing w:val="12"/>
                <w:sz w:val="21"/>
              </w:rPr>
              <w:t>去除率</w:t>
            </w:r>
            <w:r>
              <w:rPr>
                <w:spacing w:val="1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w:t>
            </w:r>
          </w:p>
        </w:tc>
        <w:tc>
          <w:tcPr>
            <w:tcW w:w="197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vertAlign w:val="subscript"/>
              </w:rPr>
            </w:pPr>
            <w:r>
              <w:rPr>
                <w:spacing w:val="12"/>
                <w:sz w:val="21"/>
              </w:rPr>
              <w:t>COD</w:t>
            </w:r>
            <w:r>
              <w:rPr>
                <w:spacing w:val="12"/>
                <w:sz w:val="21"/>
                <w:vertAlign w:val="subscript"/>
              </w:rPr>
              <w:t>cr</w:t>
            </w:r>
          </w:p>
        </w:tc>
        <w:tc>
          <w:tcPr>
            <w:tcW w:w="197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1995</w:t>
            </w:r>
          </w:p>
        </w:tc>
        <w:tc>
          <w:tcPr>
            <w:tcW w:w="197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200</w:t>
            </w:r>
          </w:p>
        </w:tc>
        <w:tc>
          <w:tcPr>
            <w:tcW w:w="1971"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89.97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vertAlign w:val="subscript"/>
              </w:rPr>
            </w:pPr>
            <w:r>
              <w:rPr>
                <w:spacing w:val="12"/>
                <w:sz w:val="21"/>
              </w:rPr>
              <w:t>BOD</w:t>
            </w:r>
            <w:r>
              <w:rPr>
                <w:spacing w:val="12"/>
                <w:sz w:val="21"/>
                <w:vertAlign w:val="subscript"/>
              </w:rPr>
              <w:t>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142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80</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43.66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3</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SS</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16</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16</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NH</w:t>
            </w:r>
            <w:r>
              <w:rPr>
                <w:spacing w:val="12"/>
                <w:sz w:val="21"/>
                <w:vertAlign w:val="subscript"/>
              </w:rPr>
              <w:t>3</w:t>
            </w:r>
            <w:r>
              <w:rPr>
                <w:spacing w:val="12"/>
                <w:sz w:val="21"/>
              </w:rPr>
              <w:t>-N</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33.6</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18</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46.43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石油类</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39.7</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84.89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6</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总磷</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25.00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7</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氰化物</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0.074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0.06</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18.92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8</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镍</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0.108</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0.108</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9</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铜</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0.565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0.565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10</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汞</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0.027</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0.027</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11</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铅</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0.222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0.222</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六价铬</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0.034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0.034</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13</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砷</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0.034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0.034</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镉</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0.027</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0.027</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锌</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0.034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0.034</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pacing w:val="12"/>
                <w:sz w:val="21"/>
              </w:rPr>
            </w:pPr>
            <w:r>
              <w:rPr>
                <w:spacing w:val="12"/>
                <w:sz w:val="21"/>
              </w:rPr>
              <w:t>16</w:t>
            </w:r>
          </w:p>
        </w:tc>
        <w:tc>
          <w:tcPr>
            <w:tcW w:w="19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盐类</w:t>
            </w:r>
          </w:p>
        </w:tc>
        <w:tc>
          <w:tcPr>
            <w:tcW w:w="19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9858</w:t>
            </w:r>
          </w:p>
        </w:tc>
        <w:tc>
          <w:tcPr>
            <w:tcW w:w="19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20</w:t>
            </w:r>
          </w:p>
        </w:tc>
        <w:tc>
          <w:tcPr>
            <w:tcW w:w="1971"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sz w:val="21"/>
              </w:rPr>
              <w:t>99.80</w:t>
            </w:r>
          </w:p>
        </w:tc>
      </w:tr>
    </w:tbl>
    <w:p>
      <w:pPr>
        <w:pStyle w:val="178"/>
        <w:ind w:firstLine="480"/>
        <w:jc w:val="both"/>
        <w:rPr>
          <w:rFonts w:ascii="Times New Roman" w:hAnsi="Times New Roman"/>
        </w:rPr>
      </w:pPr>
    </w:p>
    <w:p>
      <w:pPr>
        <w:pStyle w:val="178"/>
        <w:ind w:firstLine="480"/>
        <w:jc w:val="both"/>
        <w:rPr>
          <w:rFonts w:ascii="Times New Roman" w:hAnsi="Times New Roman"/>
        </w:rPr>
      </w:pPr>
      <w:r>
        <w:rPr>
          <w:rFonts w:ascii="Times New Roman" w:hAnsi="Times New Roman"/>
        </w:rPr>
        <w:t>(</w:t>
      </w:r>
      <w:r>
        <w:rPr>
          <w:rFonts w:hint="eastAsia" w:ascii="Times New Roman" w:hAnsi="Times New Roman"/>
        </w:rPr>
        <w:t>2</w:t>
      </w:r>
      <w:r>
        <w:rPr>
          <w:rFonts w:ascii="Times New Roman" w:hAnsi="Times New Roman"/>
        </w:rPr>
        <w:t>)</w:t>
      </w:r>
      <w:r>
        <w:rPr>
          <w:rFonts w:hint="eastAsia" w:ascii="Times New Roman" w:hAnsi="Times New Roman"/>
        </w:rPr>
        <w:t>处理规模</w:t>
      </w:r>
    </w:p>
    <w:p>
      <w:pPr>
        <w:pStyle w:val="178"/>
        <w:ind w:firstLine="480"/>
        <w:jc w:val="both"/>
        <w:rPr>
          <w:rFonts w:ascii="Times New Roman" w:hAnsi="Times New Roman"/>
        </w:rPr>
      </w:pPr>
      <w:r>
        <w:rPr>
          <w:rFonts w:hint="eastAsia" w:ascii="Times New Roman" w:hAnsi="Times New Roman"/>
        </w:rPr>
        <w:t>考虑设置一定的富余能力，全厂污水处理站处理能力为5</w:t>
      </w:r>
      <w:r>
        <w:rPr>
          <w:rFonts w:ascii="Times New Roman" w:hAnsi="Times New Roman"/>
        </w:rPr>
        <w:t>00m</w:t>
      </w:r>
      <w:r>
        <w:rPr>
          <w:rFonts w:ascii="Times New Roman" w:hAnsi="Times New Roman"/>
          <w:vertAlign w:val="superscript"/>
        </w:rPr>
        <w:t>3</w:t>
      </w:r>
      <w:r>
        <w:rPr>
          <w:rFonts w:ascii="Times New Roman" w:hAnsi="Times New Roman"/>
        </w:rPr>
        <w:t>/d</w:t>
      </w:r>
      <w:r>
        <w:rPr>
          <w:rFonts w:hint="eastAsia" w:ascii="Times New Roman" w:hAnsi="Times New Roman"/>
        </w:rPr>
        <w:t>。</w:t>
      </w:r>
    </w:p>
    <w:p>
      <w:pPr>
        <w:adjustRightInd w:val="0"/>
        <w:snapToGrid w:val="0"/>
        <w:ind w:firstLine="480"/>
        <w:rPr>
          <w:snapToGrid w:val="0"/>
          <w:kern w:val="0"/>
        </w:rPr>
      </w:pPr>
      <w:r>
        <w:rPr>
          <w:snapToGrid w:val="0"/>
          <w:kern w:val="0"/>
        </w:rPr>
        <w:t>(3)</w:t>
      </w:r>
      <w:r>
        <w:rPr>
          <w:rFonts w:hint="eastAsia"/>
          <w:snapToGrid w:val="0"/>
          <w:kern w:val="0"/>
        </w:rPr>
        <w:t>污水处理工艺流程简述</w:t>
      </w:r>
    </w:p>
    <w:p>
      <w:pPr>
        <w:adjustRightInd w:val="0"/>
        <w:snapToGrid w:val="0"/>
        <w:ind w:firstLine="480"/>
        <w:rPr>
          <w:snapToGrid w:val="0"/>
          <w:kern w:val="0"/>
        </w:rPr>
      </w:pPr>
      <w:r>
        <w:rPr>
          <w:rFonts w:hint="eastAsia"/>
        </w:rPr>
        <w:t>项目污水处理站采用</w:t>
      </w:r>
      <w:r>
        <w:rPr>
          <w:rFonts w:hint="eastAsia"/>
          <w:szCs w:val="24"/>
        </w:rPr>
        <w:t>“絮凝沉淀</w:t>
      </w:r>
      <w:r>
        <w:rPr>
          <w:szCs w:val="24"/>
        </w:rPr>
        <w:t>+</w:t>
      </w:r>
      <w:r>
        <w:rPr>
          <w:rFonts w:hint="eastAsia"/>
          <w:szCs w:val="24"/>
        </w:rPr>
        <w:t>水解酸化</w:t>
      </w:r>
      <w:r>
        <w:rPr>
          <w:szCs w:val="24"/>
        </w:rPr>
        <w:t>+MBR+</w:t>
      </w:r>
      <w:r>
        <w:rPr>
          <w:rFonts w:hint="eastAsia"/>
          <w:szCs w:val="24"/>
        </w:rPr>
        <w:t>回用系统”</w:t>
      </w:r>
      <w:r>
        <w:rPr>
          <w:rFonts w:hint="eastAsia"/>
        </w:rPr>
        <w:t>污水处理工艺。絮凝</w:t>
      </w:r>
      <w:r>
        <w:t>+</w:t>
      </w:r>
      <w:r>
        <w:rPr>
          <w:rFonts w:hint="eastAsia"/>
        </w:rPr>
        <w:t>沉淀可有效去除污水中的重金属离子含量，水解酸化可提高污水的可生化性，废水中的</w:t>
      </w:r>
      <w:r>
        <w:t>COD</w:t>
      </w:r>
      <w:r>
        <w:rPr>
          <w:rFonts w:hint="eastAsia"/>
        </w:rPr>
        <w:t>、氨氮等在</w:t>
      </w:r>
      <w:r>
        <w:t>MBR</w:t>
      </w:r>
      <w:r>
        <w:rPr>
          <w:rFonts w:hint="eastAsia"/>
        </w:rPr>
        <w:t>反应工段可得到有效的去除，</w:t>
      </w:r>
      <w:r>
        <w:t>MBR</w:t>
      </w:r>
      <w:r>
        <w:rPr>
          <w:rFonts w:hint="eastAsia"/>
        </w:rPr>
        <w:t>出水再经过</w:t>
      </w:r>
      <w:r>
        <w:t>RO+Super RO</w:t>
      </w:r>
      <w:r>
        <w:rPr>
          <w:rFonts w:hint="eastAsia"/>
        </w:rPr>
        <w:t>除去盐及部分残留的其他污染物。本项目污水处理工艺成熟可靠，在正常运行的情况的下，可满足本项目污水处理的需求。本项目污水处理站出水水质可达《城市污水再生利用工业用水水质》</w:t>
      </w:r>
      <w:r>
        <w:t>(GB/T19223-2005)</w:t>
      </w:r>
      <w:r>
        <w:rPr>
          <w:rFonts w:hint="eastAsia"/>
        </w:rPr>
        <w:t>和《污水综合排放标准》</w:t>
      </w:r>
      <w:r>
        <w:t>(GB8978-1996)</w:t>
      </w:r>
      <w:r>
        <w:rPr>
          <w:rFonts w:hint="eastAsia"/>
        </w:rPr>
        <w:t>中相关标准限值要求。</w:t>
      </w:r>
    </w:p>
    <w:p>
      <w:pPr>
        <w:adjustRightInd w:val="0"/>
        <w:snapToGrid w:val="0"/>
        <w:ind w:firstLine="480"/>
        <w:outlineLvl w:val="0"/>
        <w:rPr>
          <w:snapToGrid w:val="0"/>
          <w:kern w:val="0"/>
        </w:rPr>
      </w:pPr>
      <w:r>
        <w:rPr>
          <w:rFonts w:hint="eastAsia" w:hAnsi="宋体"/>
          <w:snapToGrid w:val="0"/>
          <w:kern w:val="0"/>
        </w:rPr>
        <w:t>①预处理工段</w:t>
      </w:r>
    </w:p>
    <w:p>
      <w:pPr>
        <w:adjustRightInd w:val="0"/>
        <w:snapToGrid w:val="0"/>
        <w:ind w:firstLine="480"/>
        <w:rPr>
          <w:snapToGrid w:val="0"/>
          <w:kern w:val="0"/>
        </w:rPr>
      </w:pPr>
      <w:r>
        <w:rPr>
          <w:rFonts w:hint="eastAsia"/>
          <w:snapToGrid w:val="0"/>
          <w:kern w:val="0"/>
        </w:rPr>
        <w:t>由于排入污水处理厂废水的</w:t>
      </w:r>
      <w:r>
        <w:rPr>
          <w:snapToGrid w:val="0"/>
          <w:kern w:val="0"/>
        </w:rPr>
        <w:t>COD</w:t>
      </w:r>
      <w:r>
        <w:rPr>
          <w:rFonts w:hint="eastAsia"/>
          <w:snapToGrid w:val="0"/>
          <w:kern w:val="0"/>
        </w:rPr>
        <w:t>较高，同时含有较高的重金属含量，因此，废水进入生化处理前仍需物化处理以去除其中的重金属成分。</w:t>
      </w:r>
    </w:p>
    <w:p>
      <w:pPr>
        <w:adjustRightInd w:val="0"/>
        <w:snapToGrid w:val="0"/>
        <w:ind w:firstLine="480"/>
        <w:rPr>
          <w:snapToGrid w:val="0"/>
          <w:kern w:val="0"/>
        </w:rPr>
      </w:pPr>
      <w:r>
        <w:rPr>
          <w:rFonts w:hint="eastAsia"/>
          <w:snapToGrid w:val="0"/>
          <w:kern w:val="0"/>
        </w:rPr>
        <w:t>本项目物化处理主要采用絮凝沉淀的工艺，在废水中添加</w:t>
      </w:r>
      <w:r>
        <w:rPr>
          <w:snapToGrid w:val="0"/>
          <w:kern w:val="0"/>
        </w:rPr>
        <w:t>Ca(OH)</w:t>
      </w:r>
      <w:r>
        <w:rPr>
          <w:snapToGrid w:val="0"/>
          <w:kern w:val="0"/>
          <w:vertAlign w:val="subscript"/>
        </w:rPr>
        <w:t>2</w:t>
      </w:r>
      <w:r>
        <w:rPr>
          <w:snapToGrid w:val="0"/>
          <w:kern w:val="0"/>
        </w:rPr>
        <w:t>/NaOH</w:t>
      </w:r>
      <w:r>
        <w:rPr>
          <w:rFonts w:hint="eastAsia"/>
          <w:snapToGrid w:val="0"/>
          <w:kern w:val="0"/>
        </w:rPr>
        <w:t>，调整废水的</w:t>
      </w:r>
      <w:r>
        <w:rPr>
          <w:snapToGrid w:val="0"/>
          <w:kern w:val="0"/>
        </w:rPr>
        <w:t>pH</w:t>
      </w:r>
      <w:r>
        <w:rPr>
          <w:rFonts w:hint="eastAsia"/>
          <w:snapToGrid w:val="0"/>
          <w:kern w:val="0"/>
        </w:rPr>
        <w:t>值，使废水中的重金属离子形成不溶性的氢氧化物，再以沉淀分离的方式进行去除。为了强化沉淀效果，在本工段设置二级沉淀，通过一级沉淀处理的出水进入二级沉淀池，再次投加</w:t>
      </w:r>
      <w:r>
        <w:rPr>
          <w:snapToGrid w:val="0"/>
          <w:kern w:val="0"/>
        </w:rPr>
        <w:t>Na</w:t>
      </w:r>
      <w:r>
        <w:rPr>
          <w:snapToGrid w:val="0"/>
          <w:kern w:val="0"/>
          <w:vertAlign w:val="subscript"/>
        </w:rPr>
        <w:t>2</w:t>
      </w:r>
      <w:r>
        <w:rPr>
          <w:snapToGrid w:val="0"/>
          <w:kern w:val="0"/>
        </w:rPr>
        <w:t>S/NaOH</w:t>
      </w:r>
      <w:r>
        <w:rPr>
          <w:rFonts w:hint="eastAsia"/>
          <w:snapToGrid w:val="0"/>
          <w:kern w:val="0"/>
        </w:rPr>
        <w:t>，进行再一次的絮凝沉淀，由于在</w:t>
      </w:r>
      <w:r>
        <w:rPr>
          <w:snapToGrid w:val="0"/>
          <w:kern w:val="0"/>
        </w:rPr>
        <w:t>Na</w:t>
      </w:r>
      <w:r>
        <w:rPr>
          <w:snapToGrid w:val="0"/>
          <w:kern w:val="0"/>
          <w:vertAlign w:val="subscript"/>
        </w:rPr>
        <w:t>2</w:t>
      </w:r>
      <w:r>
        <w:rPr>
          <w:snapToGrid w:val="0"/>
          <w:kern w:val="0"/>
        </w:rPr>
        <w:t>S</w:t>
      </w:r>
      <w:r>
        <w:rPr>
          <w:rFonts w:hint="eastAsia"/>
          <w:snapToGrid w:val="0"/>
          <w:kern w:val="0"/>
        </w:rPr>
        <w:t>的作用下污水发生水解反应可提高污水的酸度，促进水中大多数重金属离子与</w:t>
      </w:r>
      <w:r>
        <w:rPr>
          <w:snapToGrid w:val="0"/>
          <w:kern w:val="0"/>
        </w:rPr>
        <w:t>OH</w:t>
      </w:r>
      <w:r>
        <w:rPr>
          <w:snapToGrid w:val="0"/>
          <w:kern w:val="0"/>
          <w:vertAlign w:val="superscript"/>
        </w:rPr>
        <w:t>-</w:t>
      </w:r>
      <w:r>
        <w:rPr>
          <w:rFonts w:hint="eastAsia"/>
          <w:snapToGrid w:val="0"/>
          <w:kern w:val="0"/>
        </w:rPr>
        <w:t>发生沉淀，同时可促进形成聚合度大的胶体絮凝体，可有效的吸附、凝聚水中的污染物。在絮凝过程中，需要投加混凝剂、助凝剂进行混凝沉淀，各步反应如下：</w:t>
      </w:r>
    </w:p>
    <w:p>
      <w:pPr>
        <w:adjustRightInd w:val="0"/>
        <w:snapToGrid w:val="0"/>
        <w:ind w:firstLine="480"/>
        <w:rPr>
          <w:snapToGrid w:val="0"/>
          <w:kern w:val="0"/>
        </w:rPr>
      </w:pPr>
      <w:r>
        <w:rPr>
          <w:snapToGrid w:val="0"/>
          <w:kern w:val="0"/>
        </w:rPr>
        <w:t>M</w:t>
      </w:r>
      <w:r>
        <w:rPr>
          <w:snapToGrid w:val="0"/>
          <w:kern w:val="0"/>
          <w:vertAlign w:val="superscript"/>
        </w:rPr>
        <w:t>n+</w:t>
      </w:r>
      <w:r>
        <w:rPr>
          <w:snapToGrid w:val="0"/>
          <w:kern w:val="0"/>
        </w:rPr>
        <w:t>+nOH</w:t>
      </w:r>
      <w:r>
        <w:rPr>
          <w:snapToGrid w:val="0"/>
          <w:kern w:val="0"/>
          <w:vertAlign w:val="superscript"/>
        </w:rPr>
        <w:t>-</w:t>
      </w:r>
      <w:r>
        <w:rPr>
          <w:snapToGrid w:val="0"/>
          <w:kern w:val="0"/>
        </w:rPr>
        <w:t>→M(OH)</w:t>
      </w:r>
      <w:r>
        <w:rPr>
          <w:snapToGrid w:val="0"/>
          <w:kern w:val="0"/>
          <w:vertAlign w:val="subscript"/>
        </w:rPr>
        <w:t>n</w:t>
      </w:r>
    </w:p>
    <w:p>
      <w:pPr>
        <w:adjustRightInd w:val="0"/>
        <w:snapToGrid w:val="0"/>
        <w:ind w:firstLine="480"/>
        <w:rPr>
          <w:snapToGrid w:val="0"/>
          <w:kern w:val="0"/>
        </w:rPr>
      </w:pPr>
      <w:r>
        <w:rPr>
          <w:snapToGrid w:val="0"/>
          <w:kern w:val="0"/>
        </w:rPr>
        <w:t>M(OH)</w:t>
      </w:r>
      <w:r>
        <w:rPr>
          <w:snapToGrid w:val="0"/>
          <w:kern w:val="0"/>
          <w:vertAlign w:val="subscript"/>
        </w:rPr>
        <w:t>n</w:t>
      </w:r>
      <w:r>
        <w:rPr>
          <w:snapToGrid w:val="0"/>
          <w:kern w:val="0"/>
        </w:rPr>
        <w:t>+</w:t>
      </w:r>
      <w:r>
        <w:rPr>
          <w:rFonts w:hint="eastAsia"/>
          <w:snapToGrid w:val="0"/>
          <w:kern w:val="0"/>
          <w:lang w:val="pt-BR"/>
        </w:rPr>
        <w:t>混凝剂</w:t>
      </w:r>
      <w:r>
        <w:rPr>
          <w:snapToGrid w:val="0"/>
          <w:kern w:val="0"/>
        </w:rPr>
        <w:t>+</w:t>
      </w:r>
      <w:r>
        <w:rPr>
          <w:rFonts w:hint="eastAsia"/>
          <w:snapToGrid w:val="0"/>
          <w:kern w:val="0"/>
          <w:lang w:val="pt-BR"/>
        </w:rPr>
        <w:t>助凝剂</w:t>
      </w:r>
      <w:r>
        <w:rPr>
          <w:snapToGrid w:val="0"/>
          <w:kern w:val="0"/>
        </w:rPr>
        <w:t>→</w:t>
      </w:r>
      <w:r>
        <w:rPr>
          <w:rFonts w:hint="eastAsia"/>
          <w:snapToGrid w:val="0"/>
          <w:kern w:val="0"/>
          <w:lang w:val="pt-BR"/>
        </w:rPr>
        <w:t>絮凝体</w:t>
      </w:r>
    </w:p>
    <w:p>
      <w:pPr>
        <w:adjustRightInd w:val="0"/>
        <w:snapToGrid w:val="0"/>
        <w:ind w:firstLine="480"/>
        <w:rPr>
          <w:snapToGrid w:val="0"/>
          <w:kern w:val="0"/>
        </w:rPr>
      </w:pPr>
      <w:r>
        <w:rPr>
          <w:snapToGrid w:val="0"/>
          <w:kern w:val="0"/>
        </w:rPr>
        <w:t>OH</w:t>
      </w:r>
      <w:r>
        <w:rPr>
          <w:snapToGrid w:val="0"/>
          <w:kern w:val="0"/>
          <w:vertAlign w:val="superscript"/>
        </w:rPr>
        <w:t>-</w:t>
      </w:r>
      <w:r>
        <w:rPr>
          <w:snapToGrid w:val="0"/>
          <w:kern w:val="0"/>
        </w:rPr>
        <w:t>+H</w:t>
      </w:r>
      <w:r>
        <w:rPr>
          <w:snapToGrid w:val="0"/>
          <w:kern w:val="0"/>
          <w:vertAlign w:val="superscript"/>
        </w:rPr>
        <w:t>+</w:t>
      </w:r>
      <w:r>
        <w:rPr>
          <w:snapToGrid w:val="0"/>
          <w:kern w:val="0"/>
        </w:rPr>
        <w:t>→H</w:t>
      </w:r>
      <w:r>
        <w:rPr>
          <w:snapToGrid w:val="0"/>
          <w:kern w:val="0"/>
          <w:vertAlign w:val="subscript"/>
        </w:rPr>
        <w:t>2</w:t>
      </w:r>
      <w:r>
        <w:rPr>
          <w:snapToGrid w:val="0"/>
          <w:kern w:val="0"/>
        </w:rPr>
        <w:t>O</w:t>
      </w:r>
    </w:p>
    <w:p>
      <w:pPr>
        <w:adjustRightInd w:val="0"/>
        <w:snapToGrid w:val="0"/>
        <w:ind w:firstLine="480"/>
        <w:rPr>
          <w:snapToGrid w:val="0"/>
          <w:kern w:val="0"/>
        </w:rPr>
      </w:pPr>
      <w:r>
        <w:rPr>
          <w:rFonts w:hint="eastAsia"/>
          <w:snapToGrid w:val="0"/>
          <w:kern w:val="0"/>
          <w:lang w:val="pt-BR"/>
        </w:rPr>
        <w:t>经反应生成易沉大颗粒沉淀物</w:t>
      </w:r>
      <w:r>
        <w:rPr>
          <w:rFonts w:hint="eastAsia"/>
          <w:snapToGrid w:val="0"/>
          <w:kern w:val="0"/>
        </w:rPr>
        <w:t>，</w:t>
      </w:r>
      <w:r>
        <w:rPr>
          <w:rFonts w:hint="eastAsia"/>
          <w:snapToGrid w:val="0"/>
          <w:kern w:val="0"/>
          <w:lang w:val="pt-BR"/>
        </w:rPr>
        <w:t>废水在沉淀池中进行固液分离</w:t>
      </w:r>
      <w:r>
        <w:rPr>
          <w:rFonts w:hint="eastAsia"/>
          <w:snapToGrid w:val="0"/>
          <w:kern w:val="0"/>
        </w:rPr>
        <w:t>，</w:t>
      </w:r>
      <w:r>
        <w:rPr>
          <w:rFonts w:hint="eastAsia"/>
          <w:snapToGrid w:val="0"/>
          <w:kern w:val="0"/>
          <w:lang w:val="pt-BR"/>
        </w:rPr>
        <w:t>颗粒物沉入池底经污泥输送泵抽入污泥泵房</w:t>
      </w:r>
      <w:r>
        <w:rPr>
          <w:rFonts w:hint="eastAsia"/>
          <w:snapToGrid w:val="0"/>
          <w:kern w:val="0"/>
        </w:rPr>
        <w:t>，</w:t>
      </w:r>
      <w:r>
        <w:rPr>
          <w:rFonts w:hint="eastAsia"/>
          <w:snapToGrid w:val="0"/>
          <w:kern w:val="0"/>
          <w:lang w:val="pt-BR"/>
        </w:rPr>
        <w:t>再进行脱水处理。沉淀池上部污水进入调节池，调节后送至后续工段。</w:t>
      </w:r>
    </w:p>
    <w:p>
      <w:pPr>
        <w:adjustRightInd w:val="0"/>
        <w:snapToGrid w:val="0"/>
        <w:ind w:firstLine="480"/>
        <w:outlineLvl w:val="0"/>
        <w:rPr>
          <w:snapToGrid w:val="0"/>
          <w:kern w:val="0"/>
          <w:lang w:val="pt-BR"/>
        </w:rPr>
      </w:pPr>
      <w:r>
        <w:rPr>
          <w:rFonts w:hint="eastAsia" w:ascii="宋体" w:hAnsi="宋体" w:cs="宋体"/>
          <w:snapToGrid w:val="0"/>
          <w:kern w:val="0"/>
          <w:lang w:val="pt-BR"/>
        </w:rPr>
        <w:t>②</w:t>
      </w:r>
      <w:r>
        <w:rPr>
          <w:rFonts w:hint="eastAsia"/>
          <w:snapToGrid w:val="0"/>
          <w:kern w:val="0"/>
          <w:lang w:val="pt-BR"/>
        </w:rPr>
        <w:t>水解酸化</w:t>
      </w:r>
    </w:p>
    <w:p>
      <w:pPr>
        <w:adjustRightInd w:val="0"/>
        <w:snapToGrid w:val="0"/>
        <w:ind w:firstLine="480"/>
        <w:rPr>
          <w:snapToGrid w:val="0"/>
          <w:kern w:val="0"/>
          <w:lang w:val="pt-BR"/>
        </w:rPr>
      </w:pPr>
      <w:r>
        <w:rPr>
          <w:rFonts w:hint="eastAsia"/>
          <w:snapToGrid w:val="0"/>
          <w:kern w:val="0"/>
          <w:lang w:val="pt-BR"/>
        </w:rPr>
        <w:t>来自预处理工段的污水送至水解酸化池。水解酸化能将难降解有机物分解成易降解有机物、将大分子有机物降解成小分子有机物，而微生物对有机物的摄取只有溶解性的小分子物质才可直接进入细胞内，而不溶性大分子物质首先要通过胞外酶的分解才得以进入微生物体内代谢。因此，水解酸化的产物为微生物摄取有机物提供了有利条件，水解酸化可大大提高废水的可生化性，改善后续生化处理的条件。经水解酸化后的污水送至</w:t>
      </w:r>
      <w:r>
        <w:rPr>
          <w:snapToGrid w:val="0"/>
          <w:kern w:val="0"/>
          <w:lang w:val="pt-BR"/>
        </w:rPr>
        <w:t>MBR</w:t>
      </w:r>
      <w:r>
        <w:rPr>
          <w:rFonts w:hint="eastAsia"/>
          <w:snapToGrid w:val="0"/>
          <w:kern w:val="0"/>
          <w:lang w:val="pt-BR"/>
        </w:rPr>
        <w:t>系统。</w:t>
      </w:r>
    </w:p>
    <w:p>
      <w:pPr>
        <w:adjustRightInd w:val="0"/>
        <w:snapToGrid w:val="0"/>
        <w:ind w:firstLine="480"/>
        <w:rPr>
          <w:snapToGrid w:val="0"/>
          <w:kern w:val="0"/>
          <w:lang w:val="pt-BR"/>
        </w:rPr>
      </w:pPr>
      <w:r>
        <w:rPr>
          <w:rFonts w:hint="eastAsia" w:hAnsi="宋体"/>
          <w:snapToGrid w:val="0"/>
          <w:kern w:val="0"/>
          <w:lang w:val="pt-BR"/>
        </w:rPr>
        <w:t>③</w:t>
      </w:r>
      <w:r>
        <w:rPr>
          <w:snapToGrid w:val="0"/>
          <w:kern w:val="0"/>
          <w:lang w:val="pt-BR"/>
        </w:rPr>
        <w:t>MBR</w:t>
      </w:r>
      <w:r>
        <w:rPr>
          <w:rFonts w:hint="eastAsia"/>
          <w:snapToGrid w:val="0"/>
          <w:kern w:val="0"/>
          <w:lang w:val="pt-BR"/>
        </w:rPr>
        <w:t>系统</w:t>
      </w:r>
    </w:p>
    <w:p>
      <w:pPr>
        <w:pStyle w:val="178"/>
        <w:ind w:firstLine="480"/>
        <w:jc w:val="both"/>
        <w:rPr>
          <w:rFonts w:ascii="Times New Roman" w:hAnsi="Times New Roman"/>
          <w:kern w:val="0"/>
        </w:rPr>
      </w:pPr>
      <w:r>
        <w:rPr>
          <w:rFonts w:hint="eastAsia" w:ascii="Times New Roman" w:hAnsi="Times New Roman"/>
          <w:snapToGrid w:val="0"/>
          <w:lang w:val="pt-BR"/>
        </w:rPr>
        <w:t>来自水解酸化工段的污水</w:t>
      </w:r>
      <w:r>
        <w:rPr>
          <w:rFonts w:hint="eastAsia" w:ascii="Times New Roman" w:hAnsi="Times New Roman"/>
        </w:rPr>
        <w:t>送入</w:t>
      </w:r>
      <w:r>
        <w:rPr>
          <w:rFonts w:ascii="Times New Roman" w:hAnsi="Times New Roman"/>
        </w:rPr>
        <w:t>MBR</w:t>
      </w:r>
      <w:r>
        <w:rPr>
          <w:rFonts w:hint="eastAsia" w:ascii="Times New Roman" w:hAnsi="Times New Roman"/>
        </w:rPr>
        <w:t>反应系统。</w:t>
      </w:r>
    </w:p>
    <w:p>
      <w:pPr>
        <w:pStyle w:val="178"/>
        <w:ind w:firstLine="480"/>
        <w:jc w:val="both"/>
        <w:rPr>
          <w:rFonts w:ascii="Times New Roman" w:hAnsi="Times New Roman"/>
        </w:rPr>
      </w:pPr>
      <w:r>
        <w:rPr>
          <w:rFonts w:ascii="Times New Roman" w:hAnsi="Times New Roman"/>
        </w:rPr>
        <w:t>MBR</w:t>
      </w:r>
      <w:r>
        <w:rPr>
          <w:rFonts w:hint="eastAsia" w:ascii="Times New Roman" w:hAnsi="Times New Roman"/>
        </w:rPr>
        <w:t>又称膜生物反应器，是膜分离技术与生物技术有机结合的污水处理技术，也称膜分离活性污泥法。本项目采用</w:t>
      </w:r>
      <w:r>
        <w:rPr>
          <w:rFonts w:hint="eastAsia" w:ascii="Times New Roman" w:hAnsi="Times New Roman"/>
          <w:color w:val="000000"/>
        </w:rPr>
        <w:t>一体化膜生物反应器，该工艺将膜组件置于生物反应器中，由水解酸化工段来的污水经</w:t>
      </w:r>
      <w:r>
        <w:rPr>
          <w:rFonts w:hint="eastAsia" w:ascii="Times New Roman" w:hAnsi="Times New Roman"/>
        </w:rPr>
        <w:t>膜生物反应器自带的调节池进行</w:t>
      </w:r>
      <w:r>
        <w:rPr>
          <w:rFonts w:hint="eastAsia" w:ascii="Times New Roman" w:hAnsi="Times New Roman"/>
          <w:color w:val="000000"/>
        </w:rPr>
        <w:t>调节后，由泵打入</w:t>
      </w:r>
      <w:r>
        <w:rPr>
          <w:rFonts w:ascii="Times New Roman" w:hAnsi="Times New Roman"/>
          <w:color w:val="000000"/>
        </w:rPr>
        <w:t>MBR</w:t>
      </w:r>
      <w:r>
        <w:rPr>
          <w:rFonts w:hint="eastAsia" w:ascii="Times New Roman" w:hAnsi="Times New Roman"/>
          <w:color w:val="000000"/>
        </w:rPr>
        <w:t>反应池中。在该池中污水与活性污泥进行混合，为了满足生化要求，在反应器中同时鼓入空气，通过曝气在池内造成一定的旋转流，为微生物提供氧，同时以增加膜表面的紊流和减轻膜表面的污染。充分反应后的污水通过膜组件，可以把固形物及污水中所含有的大分子物质直接留在</w:t>
      </w:r>
      <w:r>
        <w:rPr>
          <w:rFonts w:hint="eastAsia" w:ascii="Times New Roman" w:hAnsi="Times New Roman"/>
        </w:rPr>
        <w:t>膜</w:t>
      </w:r>
      <w:r>
        <w:rPr>
          <w:rFonts w:hint="eastAsia" w:ascii="Times New Roman" w:hAnsi="Times New Roman"/>
          <w:color w:val="000000"/>
        </w:rPr>
        <w:t>生物反应器及活性污泥中，出水送至回用水系统。本项目</w:t>
      </w:r>
      <w:r>
        <w:rPr>
          <w:rFonts w:ascii="Times New Roman" w:hAnsi="Times New Roman"/>
          <w:color w:val="000000"/>
        </w:rPr>
        <w:t>MBR</w:t>
      </w:r>
      <w:r>
        <w:rPr>
          <w:rFonts w:hint="eastAsia" w:ascii="Times New Roman" w:hAnsi="Times New Roman"/>
          <w:color w:val="000000"/>
        </w:rPr>
        <w:t>反应器组成见图7.2—</w:t>
      </w:r>
      <w:r>
        <w:rPr>
          <w:rFonts w:ascii="Times New Roman" w:hAnsi="Times New Roman"/>
          <w:color w:val="000000"/>
        </w:rPr>
        <w:t>1</w:t>
      </w:r>
      <w:r>
        <w:rPr>
          <w:rFonts w:hint="eastAsia" w:ascii="Times New Roman" w:hAnsi="Times New Roman"/>
          <w:color w:val="000000"/>
        </w:rPr>
        <w:t>。</w:t>
      </w:r>
    </w:p>
    <w:p>
      <w:pPr>
        <w:pStyle w:val="178"/>
        <w:ind w:firstLine="0" w:firstLineChars="0"/>
        <w:jc w:val="both"/>
        <w:rPr>
          <w:rFonts w:ascii="Times New Roman" w:hAnsi="Times New Roman"/>
        </w:rPr>
      </w:pPr>
      <w:r>
        <w:rPr>
          <w:b/>
        </w:rPr>
        <w:drawing>
          <wp:inline distT="0" distB="0" distL="0" distR="0">
            <wp:extent cx="5349875" cy="2122170"/>
            <wp:effectExtent l="19050" t="0" r="3175" b="0"/>
            <wp:docPr id="35"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1"/>
                    <pic:cNvPicPr>
                      <a:picLocks noChangeAspect="1" noChangeArrowheads="1"/>
                    </pic:cNvPicPr>
                  </pic:nvPicPr>
                  <pic:blipFill>
                    <a:blip r:embed="rId59" cstate="print"/>
                    <a:srcRect/>
                    <a:stretch>
                      <a:fillRect/>
                    </a:stretch>
                  </pic:blipFill>
                  <pic:spPr>
                    <a:xfrm>
                      <a:off x="0" y="0"/>
                      <a:ext cx="5349875" cy="2122170"/>
                    </a:xfrm>
                    <a:prstGeom prst="rect">
                      <a:avLst/>
                    </a:prstGeom>
                    <a:noFill/>
                    <a:ln w="9525">
                      <a:noFill/>
                      <a:miter lim="800000"/>
                      <a:headEnd/>
                      <a:tailEnd/>
                    </a:ln>
                  </pic:spPr>
                </pic:pic>
              </a:graphicData>
            </a:graphic>
          </wp:inline>
        </w:drawing>
      </w:r>
    </w:p>
    <w:p>
      <w:pPr>
        <w:pStyle w:val="178"/>
        <w:ind w:firstLine="480"/>
        <w:jc w:val="both"/>
        <w:rPr>
          <w:rFonts w:ascii="Times New Roman" w:hAnsi="Times New Roman"/>
        </w:rPr>
      </w:pPr>
      <w:r>
        <w:rPr>
          <w:rFonts w:hint="eastAsia" w:ascii="Times New Roman" w:hAnsi="Times New Roman"/>
        </w:rPr>
        <w:t>图</w:t>
      </w:r>
      <w:r>
        <w:rPr>
          <w:rFonts w:hint="eastAsia" w:ascii="Times New Roman" w:hAnsi="Times New Roman"/>
          <w:color w:val="000000"/>
        </w:rPr>
        <w:t>图7.2—</w:t>
      </w:r>
      <w:r>
        <w:rPr>
          <w:rFonts w:ascii="Times New Roman" w:hAnsi="Times New Roman"/>
          <w:color w:val="000000"/>
        </w:rPr>
        <w:t>1</w:t>
      </w:r>
      <w:r>
        <w:rPr>
          <w:rFonts w:ascii="Times New Roman" w:hAnsi="Times New Roman"/>
        </w:rPr>
        <w:t xml:space="preserve">                 MBR</w:t>
      </w:r>
      <w:r>
        <w:rPr>
          <w:rFonts w:hint="eastAsia" w:ascii="Times New Roman" w:hAnsi="Times New Roman"/>
        </w:rPr>
        <w:t>反应器组成图</w:t>
      </w:r>
    </w:p>
    <w:p>
      <w:pPr>
        <w:tabs>
          <w:tab w:val="left" w:pos="420"/>
        </w:tabs>
        <w:adjustRightInd w:val="0"/>
        <w:snapToGrid w:val="0"/>
        <w:ind w:firstLine="480"/>
        <w:rPr>
          <w:color w:val="000000"/>
          <w:kern w:val="0"/>
        </w:rPr>
      </w:pPr>
      <w:r>
        <w:rPr>
          <w:rFonts w:hint="eastAsia"/>
          <w:color w:val="000000"/>
          <w:kern w:val="0"/>
        </w:rPr>
        <w:t>本项目所采用</w:t>
      </w:r>
      <w:r>
        <w:rPr>
          <w:color w:val="000000"/>
          <w:kern w:val="0"/>
        </w:rPr>
        <w:t>MBR</w:t>
      </w:r>
      <w:r>
        <w:rPr>
          <w:rFonts w:hint="eastAsia"/>
          <w:color w:val="000000"/>
          <w:kern w:val="0"/>
        </w:rPr>
        <w:t>反应器具有如下优点：</w:t>
      </w:r>
    </w:p>
    <w:p>
      <w:pPr>
        <w:tabs>
          <w:tab w:val="left" w:pos="420"/>
        </w:tabs>
        <w:adjustRightInd w:val="0"/>
        <w:snapToGrid w:val="0"/>
        <w:ind w:firstLine="480"/>
        <w:rPr>
          <w:color w:val="000000"/>
          <w:kern w:val="0"/>
        </w:rPr>
      </w:pPr>
      <w:r>
        <w:rPr>
          <w:color w:val="000000"/>
          <w:kern w:val="0"/>
        </w:rPr>
        <w:t>a.</w:t>
      </w:r>
      <w:r>
        <w:rPr>
          <w:rFonts w:hint="eastAsia"/>
          <w:color w:val="000000"/>
          <w:kern w:val="0"/>
        </w:rPr>
        <w:t>高效地进行固液分离，抗冲击负荷能力强，出水水质优质稳定，</w:t>
      </w:r>
      <w:r>
        <w:rPr>
          <w:color w:val="000000"/>
          <w:kern w:val="0"/>
        </w:rPr>
        <w:t>SS</w:t>
      </w:r>
      <w:r>
        <w:rPr>
          <w:rFonts w:hint="eastAsia"/>
          <w:color w:val="000000"/>
          <w:kern w:val="0"/>
        </w:rPr>
        <w:t>去除效率高，对细菌和病毒也有很好的截留效果；</w:t>
      </w:r>
    </w:p>
    <w:p>
      <w:pPr>
        <w:tabs>
          <w:tab w:val="left" w:pos="420"/>
        </w:tabs>
        <w:adjustRightInd w:val="0"/>
        <w:snapToGrid w:val="0"/>
        <w:ind w:firstLine="480"/>
        <w:rPr>
          <w:color w:val="000000"/>
          <w:kern w:val="0"/>
        </w:rPr>
      </w:pPr>
      <w:r>
        <w:rPr>
          <w:color w:val="000000"/>
          <w:kern w:val="0"/>
        </w:rPr>
        <w:t>b.</w:t>
      </w:r>
      <w:r>
        <w:rPr>
          <w:rFonts w:hint="eastAsia"/>
          <w:color w:val="000000"/>
          <w:kern w:val="0"/>
        </w:rPr>
        <w:t>由于膜的高效截留作用，可使微生物完全截留在生物反应器内，实现反应器水力停留时间</w:t>
      </w:r>
      <w:r>
        <w:rPr>
          <w:color w:val="000000"/>
          <w:kern w:val="0"/>
        </w:rPr>
        <w:t>(HRT)</w:t>
      </w:r>
      <w:r>
        <w:rPr>
          <w:rFonts w:hint="eastAsia"/>
          <w:color w:val="000000"/>
          <w:kern w:val="0"/>
        </w:rPr>
        <w:t>和污泥龄</w:t>
      </w:r>
      <w:r>
        <w:rPr>
          <w:color w:val="000000"/>
          <w:kern w:val="0"/>
        </w:rPr>
        <w:t>(SRT)</w:t>
      </w:r>
      <w:r>
        <w:rPr>
          <w:rFonts w:hint="eastAsia"/>
          <w:color w:val="000000"/>
          <w:kern w:val="0"/>
        </w:rPr>
        <w:t>的完全分离，使运行控制更加灵活稳定；</w:t>
      </w:r>
    </w:p>
    <w:p>
      <w:pPr>
        <w:tabs>
          <w:tab w:val="left" w:pos="420"/>
        </w:tabs>
        <w:adjustRightInd w:val="0"/>
        <w:snapToGrid w:val="0"/>
        <w:ind w:firstLine="480"/>
        <w:rPr>
          <w:color w:val="000000"/>
          <w:kern w:val="0"/>
        </w:rPr>
      </w:pPr>
      <w:r>
        <w:rPr>
          <w:color w:val="000000"/>
          <w:kern w:val="0"/>
        </w:rPr>
        <w:t>c.</w:t>
      </w:r>
      <w:r>
        <w:rPr>
          <w:rFonts w:hint="eastAsia"/>
          <w:color w:val="000000"/>
          <w:kern w:val="0"/>
        </w:rPr>
        <w:t>生物反应器内能维持高浓度的微生物量，可高达</w:t>
      </w:r>
      <w:r>
        <w:rPr>
          <w:color w:val="000000"/>
          <w:kern w:val="0"/>
        </w:rPr>
        <w:t>10g/L</w:t>
      </w:r>
      <w:r>
        <w:rPr>
          <w:rFonts w:hint="eastAsia"/>
          <w:color w:val="000000"/>
          <w:kern w:val="0"/>
        </w:rPr>
        <w:t>以上，处理装置容积负荷高，占地面积可减少到传统活性污泥法的</w:t>
      </w:r>
      <w:r>
        <w:rPr>
          <w:color w:val="000000"/>
          <w:kern w:val="0"/>
        </w:rPr>
        <w:t>1/3</w:t>
      </w:r>
      <w:r>
        <w:rPr>
          <w:rFonts w:hint="eastAsia"/>
          <w:color w:val="000000"/>
          <w:kern w:val="0"/>
        </w:rPr>
        <w:t>到</w:t>
      </w:r>
      <w:r>
        <w:rPr>
          <w:color w:val="000000"/>
          <w:kern w:val="0"/>
        </w:rPr>
        <w:t>1/5</w:t>
      </w:r>
      <w:r>
        <w:rPr>
          <w:rFonts w:hint="eastAsia"/>
          <w:color w:val="000000"/>
          <w:kern w:val="0"/>
        </w:rPr>
        <w:t>；</w:t>
      </w:r>
    </w:p>
    <w:p>
      <w:pPr>
        <w:tabs>
          <w:tab w:val="left" w:pos="420"/>
        </w:tabs>
        <w:adjustRightInd w:val="0"/>
        <w:snapToGrid w:val="0"/>
        <w:ind w:firstLine="480"/>
        <w:rPr>
          <w:color w:val="000000"/>
          <w:kern w:val="0"/>
        </w:rPr>
      </w:pPr>
      <w:r>
        <w:rPr>
          <w:color w:val="000000"/>
          <w:kern w:val="0"/>
        </w:rPr>
        <w:t>d.</w:t>
      </w:r>
      <w:r>
        <w:rPr>
          <w:rFonts w:hint="eastAsia"/>
          <w:color w:val="000000"/>
          <w:kern w:val="0"/>
        </w:rPr>
        <w:t>有利于增殖缓慢的微生物如硝化细菌的截留和生长，系统硝化效率得以提高。也可增长一些难降解有机物在系统中的水力停留时间，有效地将分解难降解有机物的微生物滞留在反应器内，有利于难降解有机物降解效率的提高；</w:t>
      </w:r>
    </w:p>
    <w:p>
      <w:pPr>
        <w:tabs>
          <w:tab w:val="left" w:pos="420"/>
        </w:tabs>
        <w:adjustRightInd w:val="0"/>
        <w:snapToGrid w:val="0"/>
        <w:ind w:firstLine="480"/>
        <w:rPr>
          <w:color w:val="000000"/>
          <w:kern w:val="0"/>
        </w:rPr>
      </w:pPr>
      <w:r>
        <w:rPr>
          <w:color w:val="000000"/>
          <w:kern w:val="0"/>
        </w:rPr>
        <w:t>e.MBR</w:t>
      </w:r>
      <w:r>
        <w:rPr>
          <w:rFonts w:hint="eastAsia"/>
          <w:color w:val="000000"/>
          <w:kern w:val="0"/>
        </w:rPr>
        <w:t>一般都在高容积负荷、低污泥负荷下运行，剩余污泥产量低，降低了污泥处理费用；</w:t>
      </w:r>
    </w:p>
    <w:p>
      <w:pPr>
        <w:tabs>
          <w:tab w:val="left" w:pos="420"/>
        </w:tabs>
        <w:adjustRightInd w:val="0"/>
        <w:snapToGrid w:val="0"/>
        <w:ind w:firstLine="480"/>
        <w:rPr>
          <w:color w:val="000000"/>
          <w:kern w:val="0"/>
        </w:rPr>
      </w:pPr>
      <w:r>
        <w:rPr>
          <w:color w:val="000000"/>
          <w:kern w:val="0"/>
        </w:rPr>
        <w:t>f.</w:t>
      </w:r>
      <w:r>
        <w:rPr>
          <w:rFonts w:hint="eastAsia"/>
          <w:color w:val="000000"/>
          <w:kern w:val="0"/>
        </w:rPr>
        <w:t>系统出水水质稳定且优于传统的污水处理设备。</w:t>
      </w:r>
    </w:p>
    <w:p>
      <w:pPr>
        <w:pStyle w:val="178"/>
        <w:adjustRightInd w:val="0"/>
        <w:snapToGrid w:val="0"/>
        <w:ind w:firstLine="480"/>
        <w:jc w:val="both"/>
        <w:rPr>
          <w:rFonts w:ascii="Times New Roman" w:hAnsi="Times New Roman"/>
          <w:color w:val="000000"/>
          <w:kern w:val="0"/>
        </w:rPr>
      </w:pPr>
      <w:r>
        <w:rPr>
          <w:rFonts w:ascii="Times New Roman" w:hAnsi="Times New Roman"/>
          <w:color w:val="000000"/>
        </w:rPr>
        <w:t>g.</w:t>
      </w:r>
      <w:r>
        <w:rPr>
          <w:rFonts w:hint="eastAsia" w:ascii="Times New Roman" w:hAnsi="Times New Roman"/>
          <w:color w:val="000000"/>
        </w:rPr>
        <w:t>通过独特的运行方式，膜表面不易堵塞，膜清洗间隔时间长，洗膜方式简单易行，从而减少了设备维护工作。</w:t>
      </w:r>
    </w:p>
    <w:p>
      <w:pPr>
        <w:adjustRightInd w:val="0"/>
        <w:snapToGrid w:val="0"/>
        <w:ind w:firstLine="480"/>
        <w:outlineLvl w:val="0"/>
        <w:rPr>
          <w:snapToGrid w:val="0"/>
          <w:kern w:val="0"/>
          <w:lang w:val="pt-BR"/>
        </w:rPr>
      </w:pPr>
      <w:r>
        <w:rPr>
          <w:rFonts w:hint="eastAsia" w:hAnsi="宋体"/>
          <w:snapToGrid w:val="0"/>
          <w:kern w:val="0"/>
          <w:lang w:val="pt-BR"/>
        </w:rPr>
        <w:t>④回用系统</w:t>
      </w:r>
    </w:p>
    <w:p>
      <w:pPr>
        <w:tabs>
          <w:tab w:val="left" w:pos="420"/>
        </w:tabs>
        <w:adjustRightInd w:val="0"/>
        <w:snapToGrid w:val="0"/>
        <w:ind w:firstLine="480"/>
        <w:rPr>
          <w:snapToGrid w:val="0"/>
          <w:kern w:val="0"/>
          <w:lang w:val="pt-BR"/>
        </w:rPr>
      </w:pPr>
      <w:r>
        <w:rPr>
          <w:rFonts w:hint="eastAsia"/>
          <w:color w:val="000000"/>
          <w:kern w:val="0"/>
        </w:rPr>
        <w:t>来自</w:t>
      </w:r>
      <w:r>
        <w:rPr>
          <w:color w:val="000000"/>
          <w:kern w:val="0"/>
        </w:rPr>
        <w:t>MBR</w:t>
      </w:r>
      <w:r>
        <w:rPr>
          <w:rFonts w:hint="eastAsia"/>
          <w:color w:val="000000"/>
          <w:kern w:val="0"/>
        </w:rPr>
        <w:t>系统的出水送至回用水系统进行处理。因全厂污水处理站的进水的硬度及含盐量相对较低，本项目采用抗污染型卷式反渗透膜进行预浓缩，出水进入会回用水池，再使用</w:t>
      </w:r>
      <w:r>
        <w:rPr>
          <w:color w:val="000000"/>
          <w:kern w:val="0"/>
        </w:rPr>
        <w:t>Super RO</w:t>
      </w:r>
      <w:r>
        <w:rPr>
          <w:rFonts w:hint="eastAsia"/>
          <w:color w:val="000000"/>
          <w:kern w:val="0"/>
        </w:rPr>
        <w:t>对抗污染型卷式反渗透膜出的浓水进行进一步处理，处理后的出水汇入回用水池，部分回用至固化车间，部分回用至焚烧车间。</w:t>
      </w:r>
      <w:r>
        <w:rPr>
          <w:color w:val="000000"/>
          <w:kern w:val="0"/>
        </w:rPr>
        <w:t>Super RO</w:t>
      </w:r>
      <w:r>
        <w:rPr>
          <w:rFonts w:hint="eastAsia"/>
          <w:color w:val="000000"/>
          <w:kern w:val="0"/>
        </w:rPr>
        <w:t>排浓水送至物化车间污水处理模块进行处置。</w:t>
      </w:r>
    </w:p>
    <w:p>
      <w:pPr>
        <w:tabs>
          <w:tab w:val="left" w:pos="420"/>
        </w:tabs>
        <w:adjustRightInd w:val="0"/>
        <w:snapToGrid w:val="0"/>
        <w:ind w:firstLine="480"/>
        <w:rPr>
          <w:color w:val="000000"/>
          <w:kern w:val="0"/>
        </w:rPr>
      </w:pPr>
      <w:r>
        <w:rPr>
          <w:rFonts w:hint="eastAsia"/>
          <w:color w:val="000000"/>
          <w:kern w:val="0"/>
        </w:rPr>
        <w:t>本项目采用的</w:t>
      </w:r>
      <w:bookmarkStart w:id="516" w:name="OLE_LINK29"/>
      <w:r>
        <w:rPr>
          <w:color w:val="000000"/>
          <w:kern w:val="0"/>
        </w:rPr>
        <w:t>RO+Super RO</w:t>
      </w:r>
      <w:bookmarkEnd w:id="516"/>
      <w:r>
        <w:rPr>
          <w:color w:val="000000"/>
          <w:kern w:val="0"/>
        </w:rPr>
        <w:t>(</w:t>
      </w:r>
      <w:r>
        <w:rPr>
          <w:rFonts w:hint="eastAsia"/>
          <w:color w:val="000000"/>
          <w:kern w:val="0"/>
        </w:rPr>
        <w:t>反渗透技术</w:t>
      </w:r>
      <w:r>
        <w:rPr>
          <w:color w:val="000000"/>
          <w:kern w:val="0"/>
        </w:rPr>
        <w:t>)</w:t>
      </w:r>
      <w:r>
        <w:rPr>
          <w:rFonts w:hint="eastAsia"/>
          <w:color w:val="000000"/>
          <w:kern w:val="0"/>
        </w:rPr>
        <w:t>是一种膜分离技术。这种技术是使欲分离的溶液的某些成份</w:t>
      </w:r>
      <w:r>
        <w:rPr>
          <w:color w:val="000000"/>
          <w:kern w:val="0"/>
        </w:rPr>
        <w:t>(</w:t>
      </w:r>
      <w:r>
        <w:rPr>
          <w:rFonts w:hint="eastAsia"/>
          <w:color w:val="000000"/>
          <w:kern w:val="0"/>
        </w:rPr>
        <w:t>如海水中的水</w:t>
      </w:r>
      <w:r>
        <w:rPr>
          <w:color w:val="000000"/>
          <w:kern w:val="0"/>
        </w:rPr>
        <w:t>)</w:t>
      </w:r>
      <w:r>
        <w:rPr>
          <w:rFonts w:hint="eastAsia"/>
          <w:color w:val="000000"/>
          <w:kern w:val="0"/>
        </w:rPr>
        <w:t>在压力的作用下，透过一种具有选择透过性的半透膜</w:t>
      </w:r>
      <w:r>
        <w:rPr>
          <w:color w:val="000000"/>
          <w:kern w:val="0"/>
        </w:rPr>
        <w:t>——</w:t>
      </w:r>
      <w:r>
        <w:rPr>
          <w:rFonts w:hint="eastAsia"/>
          <w:color w:val="000000"/>
          <w:kern w:val="0"/>
        </w:rPr>
        <w:t>反渗透膜，在膜的低压侧收集透过物，而在膜的高压侧则为被阻留的其它成分的浓溶液。</w:t>
      </w:r>
    </w:p>
    <w:p>
      <w:pPr>
        <w:tabs>
          <w:tab w:val="left" w:pos="420"/>
        </w:tabs>
        <w:adjustRightInd w:val="0"/>
        <w:snapToGrid w:val="0"/>
        <w:ind w:firstLine="480"/>
        <w:rPr>
          <w:color w:val="000000"/>
          <w:kern w:val="0"/>
        </w:rPr>
      </w:pPr>
      <w:r>
        <w:rPr>
          <w:rFonts w:hint="eastAsia"/>
          <w:color w:val="000000"/>
          <w:kern w:val="0"/>
        </w:rPr>
        <w:t>水通过一种半透膜进入一种溶液或从一种稀溶液向一种比较浓的溶液的自然流动称作渗透。这种对水或溶液具有选择透过性的膜称之为半透膜。但是在浓溶液一边加上适当的压力则可使渗透停止，当稀溶液向浓溶液的渗透停止时的压力称为渗透压。反渗透则是在浓溶液一边加上比自然渗透压更高的压力，扭转自然渗透方向，把浓溶液中的水压到半透膜的另一边，这和自然界的正常渗透过程相反，因此称为反渗透。这种特制的半透膜称为反渗透膜。</w:t>
      </w:r>
    </w:p>
    <w:p>
      <w:pPr>
        <w:tabs>
          <w:tab w:val="left" w:pos="420"/>
        </w:tabs>
        <w:adjustRightInd w:val="0"/>
        <w:snapToGrid w:val="0"/>
        <w:ind w:firstLine="480"/>
        <w:rPr>
          <w:snapToGrid w:val="0"/>
          <w:kern w:val="0"/>
          <w:lang w:val="pt-BR"/>
        </w:rPr>
      </w:pPr>
      <w:r>
        <w:rPr>
          <w:rFonts w:hint="eastAsia"/>
          <w:color w:val="000000"/>
          <w:kern w:val="0"/>
        </w:rPr>
        <w:t>反渗透</w:t>
      </w:r>
      <w:r>
        <w:rPr>
          <w:color w:val="000000"/>
          <w:kern w:val="0"/>
        </w:rPr>
        <w:t>(RO)</w:t>
      </w:r>
      <w:r>
        <w:rPr>
          <w:rFonts w:hint="eastAsia"/>
          <w:color w:val="000000"/>
          <w:kern w:val="0"/>
        </w:rPr>
        <w:t>对离子的截留没有选择性，对有机物、各种盐类均有相当高的脱除率，可去除大部分的颗粒物、有机物、无机物盐份以及细菌、病毒等微生物，出水综合指标优良。</w:t>
      </w:r>
    </w:p>
    <w:p>
      <w:pPr>
        <w:adjustRightInd w:val="0"/>
        <w:snapToGrid w:val="0"/>
        <w:ind w:firstLine="480"/>
        <w:outlineLvl w:val="0"/>
        <w:rPr>
          <w:snapToGrid w:val="0"/>
          <w:kern w:val="0"/>
          <w:lang w:val="pt-BR"/>
        </w:rPr>
      </w:pPr>
      <w:r>
        <w:rPr>
          <w:rFonts w:hint="eastAsia" w:hAnsi="宋体"/>
          <w:snapToGrid w:val="0"/>
          <w:kern w:val="0"/>
          <w:lang w:val="pt-BR"/>
        </w:rPr>
        <w:t>⑤污泥处理</w:t>
      </w:r>
    </w:p>
    <w:p>
      <w:pPr>
        <w:adjustRightInd w:val="0"/>
        <w:snapToGrid w:val="0"/>
        <w:ind w:firstLine="480"/>
        <w:rPr>
          <w:snapToGrid w:val="0"/>
          <w:kern w:val="0"/>
          <w:lang w:val="pt-BR"/>
        </w:rPr>
      </w:pPr>
      <w:r>
        <w:rPr>
          <w:rFonts w:hint="eastAsia" w:hAnsi="宋体"/>
          <w:snapToGrid w:val="0"/>
          <w:kern w:val="0"/>
          <w:lang w:val="pt-BR"/>
        </w:rPr>
        <w:t>来自各沉淀池、水解酸化系统及</w:t>
      </w:r>
      <w:r>
        <w:rPr>
          <w:rFonts w:hAnsi="宋体"/>
          <w:snapToGrid w:val="0"/>
          <w:kern w:val="0"/>
          <w:lang w:val="pt-BR"/>
        </w:rPr>
        <w:t>MBR</w:t>
      </w:r>
      <w:r>
        <w:rPr>
          <w:rFonts w:hint="eastAsia" w:hAnsi="宋体"/>
          <w:snapToGrid w:val="0"/>
          <w:kern w:val="0"/>
          <w:lang w:val="pt-BR"/>
        </w:rPr>
        <w:t>系统的的污泥收集集中送至污泥浓缩池，浓缩池上清液回流回调节池，底泥由泥浆泵加压送至污泥浓缩脱水机，污泥浓缩脱水的废液送回调节池，污泥</w:t>
      </w:r>
      <w:r>
        <w:rPr>
          <w:snapToGrid w:val="0"/>
          <w:kern w:val="0"/>
          <w:lang w:val="pt-BR"/>
        </w:rPr>
        <w:t>S8</w:t>
      </w:r>
      <w:r>
        <w:rPr>
          <w:rFonts w:hint="eastAsia" w:hAnsi="宋体"/>
          <w:snapToGrid w:val="0"/>
          <w:kern w:val="0"/>
          <w:lang w:val="pt-BR"/>
        </w:rPr>
        <w:t>脱水后送至固化车间。</w:t>
      </w:r>
    </w:p>
    <w:p>
      <w:pPr>
        <w:pStyle w:val="739"/>
        <w:ind w:firstLine="480"/>
        <w:outlineLvl w:val="0"/>
        <w:rPr>
          <w:snapToGrid w:val="0"/>
          <w:kern w:val="0"/>
          <w:lang w:val="pt-BR"/>
        </w:rPr>
      </w:pPr>
      <w:bookmarkStart w:id="517" w:name="_Toc13582229"/>
      <w:bookmarkStart w:id="518" w:name="_Toc13760260"/>
      <w:r>
        <w:rPr>
          <w:snapToGrid w:val="0"/>
          <w:kern w:val="0"/>
          <w:lang w:val="pt-BR"/>
        </w:rPr>
        <w:t>(4)</w:t>
      </w:r>
      <w:r>
        <w:rPr>
          <w:rFonts w:hint="eastAsia"/>
          <w:snapToGrid w:val="0"/>
          <w:kern w:val="0"/>
          <w:lang w:val="pt-BR"/>
        </w:rPr>
        <w:t>处理效果分析</w:t>
      </w:r>
      <w:bookmarkEnd w:id="517"/>
      <w:bookmarkEnd w:id="518"/>
    </w:p>
    <w:p>
      <w:pPr>
        <w:autoSpaceDE w:val="0"/>
        <w:autoSpaceDN w:val="0"/>
        <w:adjustRightInd w:val="0"/>
        <w:snapToGrid w:val="0"/>
        <w:ind w:firstLine="480"/>
        <w:rPr>
          <w:kern w:val="0"/>
        </w:rPr>
      </w:pPr>
      <w:r>
        <w:rPr>
          <w:rFonts w:hint="eastAsia"/>
          <w:kern w:val="0"/>
        </w:rPr>
        <w:t>本项目废水处理工艺最主要的处理项目是</w:t>
      </w:r>
      <w:r>
        <w:rPr>
          <w:kern w:val="0"/>
        </w:rPr>
        <w:t>COD</w:t>
      </w:r>
      <w:r>
        <w:rPr>
          <w:rFonts w:hint="eastAsia"/>
          <w:kern w:val="0"/>
        </w:rPr>
        <w:t>、重金属、氨氮等。采用物化处理工艺不仅可以使废水中的所有重金属离子得到有效的处理，同时对</w:t>
      </w:r>
      <w:r>
        <w:rPr>
          <w:kern w:val="0"/>
        </w:rPr>
        <w:t>COD</w:t>
      </w:r>
      <w:r>
        <w:rPr>
          <w:rFonts w:hint="eastAsia"/>
          <w:kern w:val="0"/>
        </w:rPr>
        <w:t>和</w:t>
      </w:r>
      <w:r>
        <w:rPr>
          <w:kern w:val="0"/>
        </w:rPr>
        <w:t>BOD</w:t>
      </w:r>
      <w:r>
        <w:rPr>
          <w:rFonts w:hint="eastAsia"/>
          <w:kern w:val="0"/>
        </w:rPr>
        <w:t>也有一定的处理效果，例如蒋胜韬、王三秀的研究</w:t>
      </w:r>
      <w:r>
        <w:rPr>
          <w:kern w:val="0"/>
        </w:rPr>
        <w:t>(</w:t>
      </w:r>
      <w:r>
        <w:rPr>
          <w:rFonts w:hint="eastAsia"/>
          <w:kern w:val="0"/>
        </w:rPr>
        <w:t>《混凝沉淀</w:t>
      </w:r>
      <w:r>
        <w:rPr>
          <w:kern w:val="0"/>
        </w:rPr>
        <w:t>/</w:t>
      </w:r>
      <w:r>
        <w:rPr>
          <w:rFonts w:hint="eastAsia"/>
          <w:kern w:val="0"/>
        </w:rPr>
        <w:t>水解酸化</w:t>
      </w:r>
      <w:r>
        <w:rPr>
          <w:kern w:val="0"/>
        </w:rPr>
        <w:t xml:space="preserve">/BAF </w:t>
      </w:r>
      <w:r>
        <w:rPr>
          <w:rFonts w:hint="eastAsia"/>
          <w:kern w:val="0"/>
        </w:rPr>
        <w:t>工艺处理明胶废水》，发表于《中国给水排水》</w:t>
      </w:r>
      <w:r>
        <w:rPr>
          <w:kern w:val="0"/>
        </w:rPr>
        <w:t xml:space="preserve">2010 </w:t>
      </w:r>
      <w:r>
        <w:rPr>
          <w:rFonts w:hint="eastAsia"/>
          <w:kern w:val="0"/>
        </w:rPr>
        <w:t>年第</w:t>
      </w:r>
      <w:r>
        <w:rPr>
          <w:kern w:val="0"/>
        </w:rPr>
        <w:t xml:space="preserve">26 </w:t>
      </w:r>
      <w:r>
        <w:rPr>
          <w:rFonts w:hint="eastAsia"/>
          <w:kern w:val="0"/>
        </w:rPr>
        <w:t>卷第</w:t>
      </w:r>
      <w:r>
        <w:rPr>
          <w:kern w:val="0"/>
        </w:rPr>
        <w:t xml:space="preserve">6 </w:t>
      </w:r>
      <w:r>
        <w:rPr>
          <w:rFonts w:hint="eastAsia"/>
          <w:kern w:val="0"/>
        </w:rPr>
        <w:t>期</w:t>
      </w:r>
      <w:r>
        <w:rPr>
          <w:kern w:val="0"/>
        </w:rPr>
        <w:t>)</w:t>
      </w:r>
      <w:r>
        <w:rPr>
          <w:rFonts w:hint="eastAsia"/>
          <w:kern w:val="0"/>
        </w:rPr>
        <w:t>就发现采用物化处理方法对</w:t>
      </w:r>
      <w:r>
        <w:rPr>
          <w:kern w:val="0"/>
        </w:rPr>
        <w:t>COD</w:t>
      </w:r>
      <w:r>
        <w:rPr>
          <w:rFonts w:hint="eastAsia"/>
          <w:kern w:val="0"/>
        </w:rPr>
        <w:t>的去除率可达到</w:t>
      </w:r>
      <w:r>
        <w:rPr>
          <w:kern w:val="0"/>
        </w:rPr>
        <w:t>62%</w:t>
      </w:r>
      <w:r>
        <w:rPr>
          <w:rFonts w:hint="eastAsia"/>
          <w:kern w:val="0"/>
        </w:rPr>
        <w:t>，对</w:t>
      </w:r>
      <w:r>
        <w:rPr>
          <w:kern w:val="0"/>
        </w:rPr>
        <w:t>BOD</w:t>
      </w:r>
      <w:r>
        <w:rPr>
          <w:kern w:val="0"/>
          <w:sz w:val="16"/>
          <w:szCs w:val="16"/>
        </w:rPr>
        <w:t xml:space="preserve">5 </w:t>
      </w:r>
      <w:r>
        <w:rPr>
          <w:rFonts w:hint="eastAsia"/>
          <w:kern w:val="0"/>
        </w:rPr>
        <w:t>的去除率可达到</w:t>
      </w:r>
      <w:r>
        <w:rPr>
          <w:kern w:val="0"/>
        </w:rPr>
        <w:t>63%</w:t>
      </w:r>
      <w:r>
        <w:rPr>
          <w:rFonts w:hint="eastAsia"/>
          <w:kern w:val="0"/>
        </w:rPr>
        <w:t>，对</w:t>
      </w:r>
      <w:r>
        <w:rPr>
          <w:kern w:val="0"/>
        </w:rPr>
        <w:t>SS</w:t>
      </w:r>
      <w:r>
        <w:rPr>
          <w:rFonts w:hint="eastAsia"/>
          <w:kern w:val="0"/>
        </w:rPr>
        <w:t>的去除效率可达</w:t>
      </w:r>
      <w:r>
        <w:rPr>
          <w:kern w:val="0"/>
        </w:rPr>
        <w:t>73%</w:t>
      </w:r>
      <w:r>
        <w:rPr>
          <w:rFonts w:hint="eastAsia"/>
          <w:kern w:val="0"/>
        </w:rPr>
        <w:t>。</w:t>
      </w:r>
    </w:p>
    <w:p>
      <w:pPr>
        <w:autoSpaceDE w:val="0"/>
        <w:autoSpaceDN w:val="0"/>
        <w:adjustRightInd w:val="0"/>
        <w:snapToGrid w:val="0"/>
        <w:ind w:firstLine="480"/>
        <w:rPr>
          <w:kern w:val="0"/>
        </w:rPr>
      </w:pPr>
      <w:r>
        <w:rPr>
          <w:rFonts w:hint="eastAsia"/>
          <w:kern w:val="0"/>
        </w:rPr>
        <w:t>经过调节后进入水解酸化及</w:t>
      </w:r>
      <w:r>
        <w:rPr>
          <w:kern w:val="0"/>
        </w:rPr>
        <w:t>MBR</w:t>
      </w:r>
      <w:r>
        <w:rPr>
          <w:rFonts w:hint="eastAsia"/>
          <w:kern w:val="0"/>
        </w:rPr>
        <w:t>系统，去除废水中</w:t>
      </w:r>
      <w:r>
        <w:rPr>
          <w:kern w:val="0"/>
        </w:rPr>
        <w:t>COD</w:t>
      </w:r>
      <w:r>
        <w:rPr>
          <w:rFonts w:hint="eastAsia"/>
          <w:kern w:val="0"/>
        </w:rPr>
        <w:t>、</w:t>
      </w:r>
      <w:r>
        <w:rPr>
          <w:kern w:val="0"/>
        </w:rPr>
        <w:t>NH</w:t>
      </w:r>
      <w:r>
        <w:rPr>
          <w:kern w:val="0"/>
          <w:sz w:val="16"/>
          <w:szCs w:val="16"/>
        </w:rPr>
        <w:t>3</w:t>
      </w:r>
      <w:r>
        <w:rPr>
          <w:kern w:val="0"/>
        </w:rPr>
        <w:t>-N</w:t>
      </w:r>
      <w:r>
        <w:rPr>
          <w:rFonts w:hint="eastAsia"/>
          <w:kern w:val="0"/>
        </w:rPr>
        <w:t>、</w:t>
      </w:r>
      <w:r>
        <w:rPr>
          <w:kern w:val="0"/>
        </w:rPr>
        <w:t>BOD</w:t>
      </w:r>
      <w:r>
        <w:rPr>
          <w:rFonts w:hint="eastAsia"/>
          <w:kern w:val="0"/>
        </w:rPr>
        <w:t>、</w:t>
      </w:r>
      <w:r>
        <w:rPr>
          <w:kern w:val="0"/>
        </w:rPr>
        <w:t>SS</w:t>
      </w:r>
      <w:r>
        <w:rPr>
          <w:rFonts w:hint="eastAsia"/>
          <w:kern w:val="0"/>
        </w:rPr>
        <w:t>等。</w:t>
      </w:r>
      <w:r>
        <w:rPr>
          <w:rFonts w:hint="eastAsia"/>
          <w:snapToGrid w:val="0"/>
          <w:kern w:val="0"/>
          <w:lang w:val="pt-BR"/>
        </w:rPr>
        <w:t>水解酸化能将难降解有机物分解成易降解有机物、将大分子有机物降解成小分子有机物，改善后续生化处理的条件</w:t>
      </w:r>
      <w:r>
        <w:rPr>
          <w:rFonts w:hint="eastAsia"/>
          <w:kern w:val="0"/>
        </w:rPr>
        <w:t>。在</w:t>
      </w:r>
      <w:r>
        <w:rPr>
          <w:kern w:val="0"/>
        </w:rPr>
        <w:t>MBR</w:t>
      </w:r>
      <w:r>
        <w:rPr>
          <w:rFonts w:hint="eastAsia"/>
          <w:kern w:val="0"/>
        </w:rPr>
        <w:t>反应器中，膜分离反应设备将反应池中的活性污泥和大分子有机物质进行截留，水力停留时间和污泥停留时间可以分别控制，而难降解的物质在反应器中不断反应，降解。膜截留了反应池中的微生物，使得反应池中的活性污泥浓度大大增加，使得降解污水中污染物的生化反应进行的更加迅速彻底。</w:t>
      </w:r>
    </w:p>
    <w:p>
      <w:pPr>
        <w:autoSpaceDE w:val="0"/>
        <w:autoSpaceDN w:val="0"/>
        <w:adjustRightInd w:val="0"/>
        <w:snapToGrid w:val="0"/>
        <w:ind w:firstLine="480"/>
        <w:rPr>
          <w:kern w:val="0"/>
        </w:rPr>
      </w:pPr>
      <w:r>
        <w:rPr>
          <w:rFonts w:hint="eastAsia"/>
          <w:kern w:val="0"/>
        </w:rPr>
        <w:t>生化出水经过</w:t>
      </w:r>
      <w:r>
        <w:rPr>
          <w:color w:val="000000"/>
          <w:kern w:val="0"/>
        </w:rPr>
        <w:t>RO+Super RO</w:t>
      </w:r>
      <w:r>
        <w:rPr>
          <w:rFonts w:hint="eastAsia"/>
          <w:color w:val="000000"/>
          <w:kern w:val="0"/>
        </w:rPr>
        <w:t>后，可进一步除去水中所含的全盐量及残留的大分子物质，出水满足回用要求，进入回用水池，浓水返回至物化车间污水处理模块，可真正做到全厂污水“零排放”。</w:t>
      </w:r>
    </w:p>
    <w:p>
      <w:pPr>
        <w:adjustRightInd w:val="0"/>
        <w:snapToGrid w:val="0"/>
        <w:ind w:firstLine="480"/>
        <w:rPr>
          <w:snapToGrid w:val="0"/>
          <w:kern w:val="0"/>
        </w:rPr>
      </w:pPr>
      <w:r>
        <w:rPr>
          <w:rFonts w:hint="eastAsia"/>
          <w:snapToGrid w:val="0"/>
          <w:kern w:val="0"/>
        </w:rPr>
        <w:t>综上可见，本项目所采用的污水处理方式对本项目污水中各污染物去除率较高，本项目污水处理站主要污染物的进出水水质见表7</w:t>
      </w:r>
      <w:r>
        <w:rPr>
          <w:snapToGrid w:val="0"/>
          <w:kern w:val="0"/>
        </w:rPr>
        <w:t>.2</w:t>
      </w:r>
      <w:r>
        <w:rPr>
          <w:rFonts w:hint="eastAsia"/>
          <w:snapToGrid w:val="0"/>
          <w:kern w:val="0"/>
        </w:rPr>
        <w:t>—3。</w:t>
      </w:r>
    </w:p>
    <w:p>
      <w:pPr>
        <w:pStyle w:val="178"/>
        <w:ind w:firstLine="480"/>
        <w:rPr>
          <w:rFonts w:ascii="Times New Roman" w:hAnsi="Times New Roman"/>
          <w:kern w:val="0"/>
        </w:rPr>
      </w:pPr>
      <w:r>
        <w:rPr>
          <w:rFonts w:ascii="Times New Roman" w:hAnsi="Times New Roman" w:cs="Times New Roman"/>
        </w:rPr>
        <w:t>表</w:t>
      </w:r>
      <w:r>
        <w:rPr>
          <w:rFonts w:ascii="Times New Roman" w:hAnsi="Times New Roman" w:cs="Times New Roman"/>
          <w:snapToGrid w:val="0"/>
          <w:kern w:val="0"/>
        </w:rPr>
        <w:t>7.2—3</w:t>
      </w:r>
      <w:r>
        <w:rPr>
          <w:rFonts w:hint="eastAsia" w:ascii="Times New Roman" w:hAnsi="Times New Roman"/>
        </w:rPr>
        <w:t>主要污染物进出水水质情况</w:t>
      </w:r>
    </w:p>
    <w:tbl>
      <w:tblPr>
        <w:tblStyle w:val="88"/>
        <w:tblW w:w="9854"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70"/>
        <w:gridCol w:w="1971"/>
        <w:gridCol w:w="1971"/>
        <w:gridCol w:w="1971"/>
        <w:gridCol w:w="197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single" w:color="auto" w:sz="12" w:space="0"/>
              <w:left w:val="nil"/>
              <w:bottom w:val="single" w:color="auto" w:sz="12" w:space="0"/>
              <w:right w:val="dotted" w:color="auto" w:sz="4" w:space="0"/>
            </w:tcBorders>
            <w:vAlign w:val="center"/>
          </w:tcPr>
          <w:p>
            <w:pPr>
              <w:pStyle w:val="59"/>
              <w:spacing w:line="240" w:lineRule="atLeast"/>
              <w:ind w:firstLine="0" w:firstLineChars="0"/>
              <w:jc w:val="center"/>
              <w:rPr>
                <w:sz w:val="21"/>
              </w:rPr>
            </w:pPr>
            <w:r>
              <w:rPr>
                <w:rFonts w:hint="eastAsia"/>
                <w:b/>
                <w:sz w:val="21"/>
              </w:rPr>
              <w:t>序号</w:t>
            </w:r>
          </w:p>
        </w:tc>
        <w:tc>
          <w:tcPr>
            <w:tcW w:w="1971"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污染物</w:t>
            </w:r>
          </w:p>
        </w:tc>
        <w:tc>
          <w:tcPr>
            <w:tcW w:w="1971"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进水</w:t>
            </w:r>
            <w:r>
              <w:rPr>
                <w:spacing w:val="12"/>
                <w:sz w:val="21"/>
              </w:rPr>
              <w:t>(mg/L)</w:t>
            </w:r>
          </w:p>
        </w:tc>
        <w:tc>
          <w:tcPr>
            <w:tcW w:w="1971"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出水</w:t>
            </w:r>
            <w:r>
              <w:rPr>
                <w:spacing w:val="12"/>
                <w:sz w:val="21"/>
              </w:rPr>
              <w:t>(mg/L)</w:t>
            </w:r>
          </w:p>
        </w:tc>
        <w:tc>
          <w:tcPr>
            <w:tcW w:w="1971"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pacing w:val="12"/>
                <w:sz w:val="21"/>
              </w:rPr>
            </w:pPr>
            <w:r>
              <w:rPr>
                <w:rFonts w:hint="eastAsia"/>
                <w:spacing w:val="12"/>
                <w:sz w:val="21"/>
              </w:rPr>
              <w:t>去除率</w:t>
            </w:r>
            <w:r>
              <w:rPr>
                <w:spacing w:val="1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w:t>
            </w:r>
          </w:p>
        </w:tc>
        <w:tc>
          <w:tcPr>
            <w:tcW w:w="197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vertAlign w:val="subscript"/>
              </w:rPr>
            </w:pPr>
            <w:r>
              <w:rPr>
                <w:spacing w:val="12"/>
                <w:sz w:val="21"/>
              </w:rPr>
              <w:t>COD</w:t>
            </w:r>
            <w:r>
              <w:rPr>
                <w:spacing w:val="12"/>
                <w:sz w:val="21"/>
                <w:vertAlign w:val="subscript"/>
              </w:rPr>
              <w:t>cr</w:t>
            </w:r>
          </w:p>
        </w:tc>
        <w:tc>
          <w:tcPr>
            <w:tcW w:w="197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487</w:t>
            </w:r>
          </w:p>
        </w:tc>
        <w:tc>
          <w:tcPr>
            <w:tcW w:w="1971"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48.7</w:t>
            </w:r>
          </w:p>
        </w:tc>
        <w:tc>
          <w:tcPr>
            <w:tcW w:w="1971"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vertAlign w:val="subscript"/>
              </w:rPr>
            </w:pPr>
            <w:r>
              <w:rPr>
                <w:spacing w:val="12"/>
                <w:sz w:val="21"/>
              </w:rPr>
              <w:t>BOD</w:t>
            </w:r>
            <w:r>
              <w:rPr>
                <w:spacing w:val="12"/>
                <w:sz w:val="21"/>
                <w:vertAlign w:val="subscript"/>
              </w:rPr>
              <w:t>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172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12</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93.00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3</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SS</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202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95.00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NH</w:t>
            </w:r>
            <w:r>
              <w:rPr>
                <w:spacing w:val="12"/>
                <w:sz w:val="21"/>
                <w:vertAlign w:val="subscript"/>
              </w:rPr>
              <w:t>3</w:t>
            </w:r>
            <w:r>
              <w:rPr>
                <w:spacing w:val="12"/>
                <w:sz w:val="21"/>
              </w:rPr>
              <w:t>-N</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23.9</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4.8</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80.00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石油类</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30.1</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6</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总磷</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0.911</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0.18</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80.00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7</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镍</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0.756</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0.0765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8</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铜</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1.095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0.1095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9</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汞</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0.015</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0.0015</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10</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铅</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0.264</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0.0264</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11</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六价铬</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0.241</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0.0241</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12</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砷</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0.053</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0.0053</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pacing w:val="12"/>
                <w:sz w:val="21"/>
              </w:rPr>
            </w:pPr>
            <w:r>
              <w:rPr>
                <w:spacing w:val="12"/>
                <w:sz w:val="21"/>
              </w:rPr>
              <w:t>13</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镉</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0.033</w:t>
            </w:r>
          </w:p>
        </w:tc>
        <w:tc>
          <w:tcPr>
            <w:tcW w:w="1971"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0.0033</w:t>
            </w:r>
          </w:p>
        </w:tc>
        <w:tc>
          <w:tcPr>
            <w:tcW w:w="197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pacing w:val="12"/>
                <w:sz w:val="21"/>
              </w:rPr>
            </w:pPr>
            <w:r>
              <w:rPr>
                <w:spacing w:val="12"/>
                <w:sz w:val="21"/>
              </w:rPr>
              <w:t>90.00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970"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pacing w:val="12"/>
                <w:sz w:val="21"/>
              </w:rPr>
            </w:pPr>
            <w:r>
              <w:rPr>
                <w:spacing w:val="12"/>
                <w:sz w:val="21"/>
              </w:rPr>
              <w:t>14</w:t>
            </w:r>
          </w:p>
        </w:tc>
        <w:tc>
          <w:tcPr>
            <w:tcW w:w="19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pacing w:val="12"/>
                <w:sz w:val="21"/>
              </w:rPr>
            </w:pPr>
            <w:r>
              <w:rPr>
                <w:rFonts w:hint="eastAsia"/>
                <w:spacing w:val="12"/>
                <w:sz w:val="21"/>
              </w:rPr>
              <w:t>锌</w:t>
            </w:r>
          </w:p>
        </w:tc>
        <w:tc>
          <w:tcPr>
            <w:tcW w:w="19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0.202</w:t>
            </w:r>
          </w:p>
        </w:tc>
        <w:tc>
          <w:tcPr>
            <w:tcW w:w="1971"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0.0202</w:t>
            </w:r>
          </w:p>
        </w:tc>
        <w:tc>
          <w:tcPr>
            <w:tcW w:w="1971"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pacing w:val="12"/>
                <w:sz w:val="21"/>
              </w:rPr>
            </w:pPr>
            <w:r>
              <w:rPr>
                <w:spacing w:val="12"/>
                <w:sz w:val="21"/>
              </w:rPr>
              <w:t>90.00</w:t>
            </w:r>
          </w:p>
        </w:tc>
      </w:tr>
    </w:tbl>
    <w:p>
      <w:pPr>
        <w:pStyle w:val="178"/>
        <w:ind w:firstLine="480"/>
        <w:rPr>
          <w:rFonts w:ascii="Times New Roman" w:hAnsi="Times New Roman"/>
        </w:rPr>
      </w:pPr>
    </w:p>
    <w:p>
      <w:pPr>
        <w:pStyle w:val="4"/>
        <w:rPr>
          <w:sz w:val="24"/>
        </w:rPr>
      </w:pPr>
      <w:bookmarkStart w:id="519" w:name="_Toc354065881"/>
      <w:bookmarkStart w:id="520" w:name="_Toc503369018"/>
      <w:bookmarkStart w:id="521" w:name="_Toc13760261"/>
      <w:r>
        <w:rPr>
          <w:rFonts w:hint="eastAsia"/>
          <w:lang w:val="zh-CN"/>
        </w:rPr>
        <w:t>7.3固体废物</w:t>
      </w:r>
      <w:bookmarkEnd w:id="519"/>
      <w:r>
        <w:rPr>
          <w:rFonts w:hint="eastAsia"/>
          <w:lang w:val="zh-CN"/>
        </w:rPr>
        <w:t>治理措施</w:t>
      </w:r>
      <w:bookmarkEnd w:id="520"/>
      <w:bookmarkEnd w:id="521"/>
    </w:p>
    <w:p>
      <w:pPr>
        <w:adjustRightInd w:val="0"/>
        <w:snapToGrid w:val="0"/>
        <w:ind w:firstLine="480"/>
        <w:rPr>
          <w:rFonts w:hAnsi="宋体"/>
          <w:snapToGrid w:val="0"/>
          <w:kern w:val="0"/>
        </w:rPr>
      </w:pPr>
      <w:r>
        <w:rPr>
          <w:rFonts w:hint="eastAsia" w:hAnsi="宋体"/>
          <w:snapToGrid w:val="0"/>
          <w:kern w:val="0"/>
        </w:rPr>
        <w:t>本项目处理处置外收危险废物的方式包括物化处理、焚烧处置、稳定化</w:t>
      </w:r>
      <w:r>
        <w:rPr>
          <w:rFonts w:hAnsi="宋体"/>
          <w:snapToGrid w:val="0"/>
          <w:kern w:val="0"/>
        </w:rPr>
        <w:t>/</w:t>
      </w:r>
      <w:r>
        <w:rPr>
          <w:rFonts w:hint="eastAsia" w:hAnsi="宋体"/>
          <w:snapToGrid w:val="0"/>
          <w:kern w:val="0"/>
        </w:rPr>
        <w:t>固化和安全填埋。危险废物处理处置过程会产生固体废物，</w:t>
      </w:r>
      <w:r>
        <w:rPr>
          <w:rFonts w:hint="eastAsia"/>
          <w:kern w:val="0"/>
        </w:rPr>
        <w:t>主要是危废暂存库有机废气净化器的废渣，物化车间澄清池废渣、隔油池废油和沉淀池废渣，危险废物焚烧过程中产生的炉渣、飞灰和喷淋洗涤塔滤渣，强制循环蒸发系统产生的盐泥和净化器废渣，厂区污水处理站产生的污泥</w:t>
      </w:r>
      <w:r>
        <w:rPr>
          <w:rFonts w:hint="eastAsia" w:hAnsi="宋体"/>
          <w:snapToGrid w:val="0"/>
          <w:kern w:val="0"/>
        </w:rPr>
        <w:t>。日常运营期间，还产生一定量生活垃圾。</w:t>
      </w:r>
    </w:p>
    <w:p>
      <w:pPr>
        <w:adjustRightInd w:val="0"/>
        <w:snapToGrid w:val="0"/>
        <w:ind w:firstLine="480"/>
        <w:outlineLvl w:val="0"/>
        <w:rPr>
          <w:kern w:val="0"/>
        </w:rPr>
      </w:pPr>
      <w:r>
        <w:rPr>
          <w:kern w:val="0"/>
        </w:rPr>
        <w:t>(1)</w:t>
      </w:r>
      <w:r>
        <w:rPr>
          <w:rFonts w:hint="eastAsia"/>
          <w:kern w:val="0"/>
        </w:rPr>
        <w:t>本项目有机废气净化器产生的废物主要为废活性炭，送至回转窑进行焚烧处理；</w:t>
      </w:r>
    </w:p>
    <w:p>
      <w:pPr>
        <w:adjustRightInd w:val="0"/>
        <w:snapToGrid w:val="0"/>
        <w:ind w:firstLine="480"/>
        <w:rPr>
          <w:kern w:val="0"/>
        </w:rPr>
      </w:pPr>
      <w:r>
        <w:rPr>
          <w:kern w:val="0"/>
        </w:rPr>
        <w:t>(2)</w:t>
      </w:r>
      <w:r>
        <w:rPr>
          <w:rFonts w:hint="eastAsia"/>
          <w:kern w:val="0"/>
        </w:rPr>
        <w:t>物化车间澄清池废渣主要成分为碳酸钙等，送至固化车间经固化后安全填埋；</w:t>
      </w:r>
    </w:p>
    <w:p>
      <w:pPr>
        <w:adjustRightInd w:val="0"/>
        <w:snapToGrid w:val="0"/>
        <w:ind w:firstLine="480"/>
        <w:outlineLvl w:val="0"/>
        <w:rPr>
          <w:kern w:val="0"/>
        </w:rPr>
      </w:pPr>
      <w:r>
        <w:rPr>
          <w:kern w:val="0"/>
        </w:rPr>
        <w:t>(3)</w:t>
      </w:r>
      <w:r>
        <w:rPr>
          <w:rFonts w:hint="eastAsia"/>
          <w:kern w:val="0"/>
        </w:rPr>
        <w:t>物化车间隔油池产生的废油送至回转窑进行焚烧处理；</w:t>
      </w:r>
    </w:p>
    <w:p>
      <w:pPr>
        <w:adjustRightInd w:val="0"/>
        <w:snapToGrid w:val="0"/>
        <w:ind w:firstLine="480"/>
        <w:rPr>
          <w:kern w:val="0"/>
        </w:rPr>
      </w:pPr>
      <w:r>
        <w:rPr>
          <w:kern w:val="0"/>
        </w:rPr>
        <w:t>(4)</w:t>
      </w:r>
      <w:r>
        <w:rPr>
          <w:rFonts w:hint="eastAsia"/>
          <w:kern w:val="0"/>
        </w:rPr>
        <w:t>物化车间沉淀池废渣主要成分为含重沉淀物等，送至固化车间经固化后安全填埋</w:t>
      </w:r>
    </w:p>
    <w:p>
      <w:pPr>
        <w:adjustRightInd w:val="0"/>
        <w:snapToGrid w:val="0"/>
        <w:ind w:firstLine="480"/>
        <w:rPr>
          <w:kern w:val="0"/>
        </w:rPr>
      </w:pPr>
      <w:r>
        <w:rPr>
          <w:kern w:val="0"/>
        </w:rPr>
        <w:t>(5)</w:t>
      </w:r>
      <w:r>
        <w:rPr>
          <w:rFonts w:hint="eastAsia"/>
          <w:kern w:val="0"/>
        </w:rPr>
        <w:t>焚烧车间产生的焚烧炉炉渣、飞灰和喷淋洗涤塔滤渣主要成分为焚烧残渣及含重颗粒物等，送至固化车间经固化后安全填埋；</w:t>
      </w:r>
    </w:p>
    <w:p>
      <w:pPr>
        <w:adjustRightInd w:val="0"/>
        <w:snapToGrid w:val="0"/>
        <w:ind w:firstLine="480"/>
        <w:outlineLvl w:val="0"/>
        <w:rPr>
          <w:kern w:val="0"/>
        </w:rPr>
      </w:pPr>
      <w:r>
        <w:rPr>
          <w:kern w:val="0"/>
        </w:rPr>
        <w:t>(6)</w:t>
      </w:r>
      <w:r>
        <w:rPr>
          <w:rFonts w:hint="eastAsia"/>
          <w:kern w:val="0"/>
        </w:rPr>
        <w:t>厂区污水处理站污泥送至固化车间经固化后安全填埋；</w:t>
      </w:r>
    </w:p>
    <w:p>
      <w:pPr>
        <w:adjustRightInd w:val="0"/>
        <w:snapToGrid w:val="0"/>
        <w:ind w:firstLine="480"/>
        <w:rPr>
          <w:kern w:val="0"/>
        </w:rPr>
      </w:pPr>
      <w:r>
        <w:rPr>
          <w:kern w:val="0"/>
        </w:rPr>
        <w:t>(7)</w:t>
      </w:r>
      <w:r>
        <w:rPr>
          <w:rFonts w:hint="eastAsia"/>
          <w:kern w:val="0"/>
        </w:rPr>
        <w:t>强制循环蒸发系统产生盐泥主要成分为盐类及重金属，送至固化车间经固化后安全填埋；</w:t>
      </w:r>
    </w:p>
    <w:p>
      <w:pPr>
        <w:adjustRightInd w:val="0"/>
        <w:snapToGrid w:val="0"/>
        <w:ind w:firstLine="480"/>
        <w:outlineLvl w:val="0"/>
        <w:rPr>
          <w:kern w:val="0"/>
        </w:rPr>
      </w:pPr>
      <w:r>
        <w:rPr>
          <w:kern w:val="0"/>
        </w:rPr>
        <w:t>(8)</w:t>
      </w:r>
      <w:r>
        <w:rPr>
          <w:rFonts w:hint="eastAsia"/>
          <w:kern w:val="0"/>
        </w:rPr>
        <w:t>强制循环蒸发系统净化器产生的废物主要成分为废活性炭，送至回转窑进行焚烧处理；</w:t>
      </w:r>
    </w:p>
    <w:p>
      <w:pPr>
        <w:adjustRightInd w:val="0"/>
        <w:snapToGrid w:val="0"/>
        <w:ind w:firstLine="480"/>
      </w:pPr>
      <w:r>
        <w:rPr>
          <w:kern w:val="0"/>
        </w:rPr>
        <w:t>(9)</w:t>
      </w:r>
      <w:r>
        <w:rPr>
          <w:rFonts w:hint="eastAsia"/>
        </w:rPr>
        <w:t>生活垃圾由当地环卫部门进行统一处理。</w:t>
      </w:r>
    </w:p>
    <w:p>
      <w:pPr>
        <w:pStyle w:val="4"/>
        <w:adjustRightInd w:val="0"/>
        <w:snapToGrid w:val="0"/>
        <w:jc w:val="left"/>
        <w:rPr>
          <w:sz w:val="24"/>
        </w:rPr>
      </w:pPr>
      <w:bookmarkStart w:id="522" w:name="_Toc13760262"/>
      <w:bookmarkStart w:id="523" w:name="_Toc503369019"/>
      <w:r>
        <w:rPr>
          <w:rFonts w:hint="eastAsia"/>
          <w:sz w:val="28"/>
          <w:szCs w:val="24"/>
          <w:lang w:val="zh-CN"/>
        </w:rPr>
        <w:t>7.4噪声治理措施</w:t>
      </w:r>
      <w:bookmarkEnd w:id="522"/>
      <w:bookmarkEnd w:id="523"/>
    </w:p>
    <w:p>
      <w:pPr>
        <w:pStyle w:val="2595"/>
        <w:rPr>
          <w:kern w:val="0"/>
        </w:rPr>
      </w:pPr>
      <w:r>
        <w:rPr>
          <w:rFonts w:hint="eastAsia"/>
          <w:kern w:val="0"/>
        </w:rPr>
        <w:t>厂区噪声主要来源于各生产车间机械设备和动力设施、运输车辆产生的噪声。首先是尽量选用低噪声设备，其次采用消声、隔声、减震和个体防护等措施，其具体措施如下：</w:t>
      </w:r>
    </w:p>
    <w:p>
      <w:pPr>
        <w:pStyle w:val="2595"/>
        <w:rPr>
          <w:kern w:val="0"/>
        </w:rPr>
      </w:pPr>
      <w:r>
        <w:rPr>
          <w:kern w:val="0"/>
        </w:rPr>
        <w:t>(1)</w:t>
      </w:r>
      <w:r>
        <w:rPr>
          <w:rFonts w:hint="eastAsia"/>
          <w:kern w:val="0"/>
        </w:rPr>
        <w:t>对车辆噪声除了选用低噪声的废物运输车外，主要靠车辆的低速平稳行驶和少鸣喇叭等措施降噪。</w:t>
      </w:r>
    </w:p>
    <w:p>
      <w:pPr>
        <w:pStyle w:val="2595"/>
        <w:rPr>
          <w:kern w:val="0"/>
        </w:rPr>
      </w:pPr>
      <w:r>
        <w:rPr>
          <w:kern w:val="0"/>
        </w:rPr>
        <w:t>(2)</w:t>
      </w:r>
      <w:r>
        <w:rPr>
          <w:rFonts w:hint="eastAsia"/>
          <w:kern w:val="0"/>
        </w:rPr>
        <w:t>在鼓风机、引风机进出口装设软管，在吸气口和排气口安装消声器。</w:t>
      </w:r>
    </w:p>
    <w:p>
      <w:pPr>
        <w:pStyle w:val="2595"/>
        <w:rPr>
          <w:kern w:val="0"/>
        </w:rPr>
      </w:pPr>
      <w:r>
        <w:rPr>
          <w:kern w:val="0"/>
        </w:rPr>
        <w:t>(3)</w:t>
      </w:r>
      <w:r>
        <w:rPr>
          <w:rFonts w:hint="eastAsia"/>
          <w:kern w:val="0"/>
        </w:rPr>
        <w:t>搅拌机、空压机、破碎机、离心机、鼓风机和水泵尽量安装在厂房内，室内墙壁安装吸声材料。</w:t>
      </w:r>
    </w:p>
    <w:p>
      <w:pPr>
        <w:pStyle w:val="2595"/>
        <w:rPr>
          <w:kern w:val="0"/>
        </w:rPr>
      </w:pPr>
      <w:r>
        <w:rPr>
          <w:kern w:val="0"/>
        </w:rPr>
        <w:t>(4)</w:t>
      </w:r>
      <w:r>
        <w:rPr>
          <w:rFonts w:hint="eastAsia"/>
          <w:kern w:val="0"/>
        </w:rPr>
        <w:t>对水泵、风机安装隔声罩，并在风机、水泵、破碎机、离心机、空压机与基础之间安装减振器。</w:t>
      </w:r>
    </w:p>
    <w:p>
      <w:pPr>
        <w:pStyle w:val="2595"/>
        <w:rPr>
          <w:kern w:val="0"/>
        </w:rPr>
      </w:pPr>
      <w:r>
        <w:rPr>
          <w:kern w:val="0"/>
        </w:rPr>
        <w:t>(5)</w:t>
      </w:r>
      <w:r>
        <w:rPr>
          <w:rFonts w:hint="eastAsia"/>
          <w:kern w:val="0"/>
        </w:rPr>
        <w:t>管路系统噪声控制：合理设计和布置管线，设计管道时尽量选用较大管径以降低流速，减少管道拐弯、交叉和变径，弯头的曲率半径至少</w:t>
      </w:r>
      <w:r>
        <w:rPr>
          <w:kern w:val="0"/>
        </w:rPr>
        <w:t xml:space="preserve">1.5 </w:t>
      </w:r>
      <w:r>
        <w:rPr>
          <w:rFonts w:hint="eastAsia"/>
          <w:kern w:val="0"/>
        </w:rPr>
        <w:t>倍于管径，管线支承架设要牢固，靠近振源的管线处设置波纹膨胀节或其它软接头，隔绝固体声传播，在管线穿过墙体时最好采用弹性连接；在管道外壁敷设阻尼隔声层。</w:t>
      </w:r>
    </w:p>
    <w:p>
      <w:pPr>
        <w:pStyle w:val="2595"/>
        <w:rPr>
          <w:kern w:val="0"/>
        </w:rPr>
      </w:pPr>
      <w:r>
        <w:rPr>
          <w:rFonts w:hint="eastAsia"/>
          <w:kern w:val="0"/>
        </w:rPr>
        <w:t>另外，厂界内外种植一定的绿化带，不仅有利于减少噪声污染，还有利于美化厂区环境。</w:t>
      </w:r>
    </w:p>
    <w:p>
      <w:pPr>
        <w:pStyle w:val="4"/>
        <w:rPr>
          <w:sz w:val="24"/>
        </w:rPr>
      </w:pPr>
      <w:bookmarkStart w:id="524" w:name="_Toc503369020"/>
      <w:bookmarkStart w:id="525" w:name="_Toc13760263"/>
      <w:r>
        <w:rPr>
          <w:rFonts w:hint="eastAsia"/>
          <w:lang w:val="zh-CN"/>
        </w:rPr>
        <w:t>7.5储运过程污染治理措施</w:t>
      </w:r>
      <w:bookmarkEnd w:id="524"/>
      <w:bookmarkEnd w:id="525"/>
    </w:p>
    <w:p>
      <w:pPr>
        <w:ind w:firstLine="480"/>
      </w:pPr>
      <w:r>
        <w:rPr>
          <w:rFonts w:hint="eastAsia"/>
        </w:rPr>
        <w:t>危险废物储运过程中应严格执行《危险废物转移联单管理》、《道路危险废物运输管理规定》、《危险品运输管理规范》、《道路运输危险货物车辆标志》以及《危险废物贮存污染控制标准》</w:t>
      </w:r>
      <w:r>
        <w:t>(GB18597-2001)</w:t>
      </w:r>
      <w:r>
        <w:rPr>
          <w:rFonts w:hint="eastAsia"/>
        </w:rPr>
        <w:t>等相关规定和要求。根据国家有关危险废物贮运法规要求，采取运输、储存全过程的安全和环保措施。</w:t>
      </w:r>
    </w:p>
    <w:p>
      <w:pPr>
        <w:pStyle w:val="5"/>
        <w:rPr>
          <w:rStyle w:val="199"/>
          <w:rFonts w:hint="default" w:hAnsi="宋体" w:eastAsia="楷体_GB2312"/>
          <w:b w:val="0"/>
          <w:bCs w:val="0"/>
          <w:szCs w:val="28"/>
        </w:rPr>
      </w:pPr>
      <w:bookmarkStart w:id="526" w:name="_Toc13760264"/>
      <w:bookmarkStart w:id="527" w:name="_Toc503369021"/>
      <w:r>
        <w:rPr>
          <w:rFonts w:hint="eastAsia"/>
        </w:rPr>
        <w:t>7.5.1危险废物收集、运输过程污染防治措施</w:t>
      </w:r>
      <w:bookmarkEnd w:id="526"/>
      <w:bookmarkEnd w:id="527"/>
    </w:p>
    <w:p>
      <w:pPr>
        <w:pStyle w:val="739"/>
        <w:ind w:firstLine="480"/>
        <w:rPr>
          <w:szCs w:val="20"/>
        </w:rPr>
      </w:pPr>
      <w:r>
        <w:t>(1)</w:t>
      </w:r>
      <w:r>
        <w:rPr>
          <w:rFonts w:hint="eastAsia"/>
        </w:rPr>
        <w:t>危险废物供收双方应签订协议，明确各自责任。供方能修建废物储存库，库容量应考虑装车规模及</w:t>
      </w:r>
      <w:r>
        <w:t>7~10</w:t>
      </w:r>
      <w:r>
        <w:rPr>
          <w:rFonts w:hint="eastAsia"/>
        </w:rPr>
        <w:t>天的储量，供方负责包装危废，提供装车设备，协助装车。收方按照协议要求及时收运。</w:t>
      </w:r>
    </w:p>
    <w:p>
      <w:pPr>
        <w:adjustRightInd w:val="0"/>
        <w:snapToGrid w:val="0"/>
        <w:ind w:firstLine="480"/>
      </w:pPr>
      <w:r>
        <w:t>(2)</w:t>
      </w:r>
      <w:r>
        <w:rPr>
          <w:rFonts w:hint="eastAsia"/>
        </w:rPr>
        <w:t>制定合理的危废运输路线。由于项目危废来源于</w:t>
      </w:r>
      <w:r>
        <w:rPr>
          <w:rFonts w:hint="eastAsia"/>
          <w:szCs w:val="24"/>
        </w:rPr>
        <w:t>腾格里经济技术开发区</w:t>
      </w:r>
      <w:r>
        <w:rPr>
          <w:rFonts w:hint="eastAsia"/>
        </w:rPr>
        <w:t>及周边地区，因此应根据各地到达本项目厂址的道路情况及沿途环境情况，制定合理的运输路线，路线应避免通过水源地、居民密集区和各种重要的敏感目标。</w:t>
      </w:r>
    </w:p>
    <w:p>
      <w:pPr>
        <w:adjustRightInd w:val="0"/>
        <w:snapToGrid w:val="0"/>
        <w:ind w:firstLine="480"/>
      </w:pPr>
      <w:r>
        <w:t>(3)</w:t>
      </w:r>
      <w:r>
        <w:rPr>
          <w:rFonts w:hint="eastAsia"/>
        </w:rPr>
        <w:t>对危废运输应制定严格的制度，建立专业的运输队伍，不得随意安排其他运输部门承担。</w:t>
      </w:r>
    </w:p>
    <w:p>
      <w:pPr>
        <w:adjustRightInd w:val="0"/>
        <w:snapToGrid w:val="0"/>
        <w:ind w:firstLine="480"/>
      </w:pPr>
      <w:r>
        <w:t>(4)</w:t>
      </w:r>
      <w:r>
        <w:rPr>
          <w:rFonts w:hint="eastAsia"/>
        </w:rPr>
        <w:t>危险废物必须妥善分类，并采用专用内衬高密度聚乙烯储罐等、密闭罐车等专用运输车运送到处置中心，装卸完成后对运输车辆进行消毒。</w:t>
      </w:r>
    </w:p>
    <w:p>
      <w:pPr>
        <w:adjustRightInd w:val="0"/>
        <w:snapToGrid w:val="0"/>
        <w:ind w:firstLine="480"/>
      </w:pPr>
      <w:r>
        <w:t>(5)</w:t>
      </w:r>
      <w:r>
        <w:rPr>
          <w:rFonts w:hint="eastAsia"/>
        </w:rPr>
        <w:t>运输</w:t>
      </w:r>
      <w:r>
        <w:rPr>
          <w:rFonts w:hint="eastAsia" w:hAnsi="宋体"/>
        </w:rPr>
        <w:t>车辆必须由专业生产企业定点生产，并经检测、检验合格，方可使用。</w:t>
      </w:r>
      <w:r>
        <w:rPr>
          <w:rFonts w:hint="eastAsia"/>
        </w:rPr>
        <w:t>车上配置橡胶手套、工作手套、口罩、消毒水、急救药箱、灭火器和紧急应变手册。</w:t>
      </w:r>
    </w:p>
    <w:p>
      <w:pPr>
        <w:adjustRightInd w:val="0"/>
        <w:snapToGrid w:val="0"/>
        <w:ind w:firstLine="480"/>
      </w:pPr>
      <w:r>
        <w:t>(6)</w:t>
      </w:r>
      <w:r>
        <w:rPr>
          <w:rFonts w:hint="eastAsia"/>
        </w:rPr>
        <w:t>在运输过程中，采取专车专用的方式，禁止将危险废物与人员及其它货物同车运输。</w:t>
      </w:r>
    </w:p>
    <w:p>
      <w:pPr>
        <w:adjustRightInd w:val="0"/>
        <w:snapToGrid w:val="0"/>
        <w:ind w:firstLine="480"/>
      </w:pPr>
      <w:r>
        <w:t>(7)</w:t>
      </w:r>
      <w:r>
        <w:rPr>
          <w:rFonts w:hint="eastAsia"/>
        </w:rPr>
        <w:t>危险废物运输车辆通过桥梁时，应减速行驶，打开双闪提示后续车辆注意安全，避免各类交通事故的发生，应尽量避免雨天运输。</w:t>
      </w:r>
    </w:p>
    <w:p>
      <w:pPr>
        <w:adjustRightInd w:val="0"/>
        <w:snapToGrid w:val="0"/>
        <w:ind w:firstLine="480"/>
      </w:pPr>
      <w:r>
        <w:t>(8)</w:t>
      </w:r>
      <w:r>
        <w:rPr>
          <w:rFonts w:hint="eastAsia"/>
        </w:rPr>
        <w:t>危险废物运输途经城市时，必须取得当地公安交通部门确定的运输路线，按要求路线行驶，应尽量绕城行驶，不得穿越城区。</w:t>
      </w:r>
    </w:p>
    <w:p>
      <w:pPr>
        <w:adjustRightInd w:val="0"/>
        <w:snapToGrid w:val="0"/>
        <w:ind w:firstLine="480"/>
      </w:pPr>
      <w:r>
        <w:t>(9)</w:t>
      </w:r>
      <w:r>
        <w:rPr>
          <w:rFonts w:hint="eastAsia"/>
        </w:rPr>
        <w:t>对运输车进行严格管理，须备有车辆里程登记表并做好每日登记，做好车辆日常的维护。</w:t>
      </w:r>
    </w:p>
    <w:p>
      <w:pPr>
        <w:adjustRightInd w:val="0"/>
        <w:snapToGrid w:val="0"/>
        <w:ind w:firstLine="480"/>
      </w:pPr>
      <w:r>
        <w:t>(10)</w:t>
      </w:r>
      <w:r>
        <w:rPr>
          <w:rFonts w:hint="eastAsia"/>
        </w:rPr>
        <w:t>从事危险废物运输的人员</w:t>
      </w:r>
      <w:r>
        <w:t>(</w:t>
      </w:r>
      <w:r>
        <w:rPr>
          <w:rFonts w:hint="eastAsia"/>
        </w:rPr>
        <w:t>包括司机</w:t>
      </w:r>
      <w:r>
        <w:t>)</w:t>
      </w:r>
      <w:r>
        <w:rPr>
          <w:rFonts w:hint="eastAsia"/>
        </w:rPr>
        <w:t>，应当接受专业培训，经考核合格，方可从事该项工作，必须了解所运载的危险品的性质、危害特性、包装容器的使用特性和发生意外时的应急措施。运输车辆须有特殊标志，以引起关注；危险废物运输车辆需持有危险废物运输通行证。</w:t>
      </w:r>
    </w:p>
    <w:p>
      <w:pPr>
        <w:pStyle w:val="785"/>
        <w:snapToGrid w:val="0"/>
        <w:ind w:firstLine="480"/>
        <w:rPr>
          <w:rFonts w:ascii="Times New Roman"/>
          <w:color w:val="auto"/>
        </w:rPr>
      </w:pPr>
      <w:r>
        <w:rPr>
          <w:rFonts w:ascii="Times New Roman"/>
          <w:color w:val="auto"/>
        </w:rPr>
        <w:t>(11)</w:t>
      </w:r>
      <w:r>
        <w:rPr>
          <w:rFonts w:hint="eastAsia" w:ascii="Times New Roman"/>
          <w:color w:val="auto"/>
        </w:rPr>
        <w:t>在公路运输途中发生被盗、丢失、流散、泄漏等情况时，立即向当地公安部门报告，并采取一切可能的警示措施。在运输过程中发生事故，单位主要负责人应当按照本单位制定的应急救援预案，立即组织救援，</w:t>
      </w:r>
    </w:p>
    <w:p>
      <w:pPr>
        <w:adjustRightInd w:val="0"/>
        <w:snapToGrid w:val="0"/>
        <w:ind w:firstLine="480"/>
      </w:pPr>
      <w:r>
        <w:t>(12)</w:t>
      </w:r>
      <w:r>
        <w:rPr>
          <w:rFonts w:hint="eastAsia"/>
        </w:rPr>
        <w:t>为了保证危险废物运输的安全无误，必须遵守国家和地方制定的危险废物转移联单管理办法中的有关规定。</w:t>
      </w:r>
    </w:p>
    <w:p>
      <w:pPr>
        <w:pStyle w:val="5"/>
        <w:rPr>
          <w:rStyle w:val="199"/>
          <w:rFonts w:hint="default" w:hAnsi="宋体" w:eastAsia="楷体_GB2312"/>
          <w:b w:val="0"/>
          <w:bCs w:val="0"/>
          <w:szCs w:val="28"/>
        </w:rPr>
      </w:pPr>
      <w:bookmarkStart w:id="528" w:name="_Toc13760265"/>
      <w:bookmarkStart w:id="529" w:name="_Toc503369022"/>
      <w:r>
        <w:rPr>
          <w:rFonts w:hint="eastAsia"/>
        </w:rPr>
        <w:t>7.5.2危险废物贮存过程污染防治措施</w:t>
      </w:r>
      <w:bookmarkEnd w:id="528"/>
      <w:bookmarkEnd w:id="529"/>
    </w:p>
    <w:p>
      <w:pPr>
        <w:snapToGrid w:val="0"/>
        <w:ind w:firstLine="480"/>
        <w:rPr>
          <w:szCs w:val="20"/>
        </w:rPr>
      </w:pPr>
      <w:r>
        <w:rPr>
          <w:rFonts w:hint="eastAsia"/>
        </w:rPr>
        <w:t>本项目所接收的危险废物进入场内，须进入危险废物贮存仓库存放，存放过程中应严格执行《危险废物贮存污染控制标准》</w:t>
      </w:r>
      <w:r>
        <w:t>(GB18597-2001)</w:t>
      </w:r>
      <w:r>
        <w:rPr>
          <w:rFonts w:hint="eastAsia"/>
        </w:rPr>
        <w:t>等相关规定：危废暂存库</w:t>
      </w:r>
      <w:r>
        <w:rPr>
          <w:rFonts w:hint="eastAsia" w:hAnsi="宋体"/>
        </w:rPr>
        <w:t>建成封闭的库房，库底和墙体均应进行防渗处理，铺设厚度不小于</w:t>
      </w:r>
      <w:r>
        <w:rPr>
          <w:rFonts w:hAnsi="宋体"/>
        </w:rPr>
        <w:t>2mm</w:t>
      </w:r>
      <w:r>
        <w:rPr>
          <w:rFonts w:hint="eastAsia" w:hAnsi="宋体"/>
        </w:rPr>
        <w:t>的，饱和渗透系数</w:t>
      </w:r>
      <w:r>
        <w:t>≤1.0×10</w:t>
      </w:r>
      <w:r>
        <w:rPr>
          <w:rFonts w:hint="eastAsia" w:hAnsi="宋体"/>
          <w:vertAlign w:val="superscript"/>
        </w:rPr>
        <w:t>－</w:t>
      </w:r>
      <w:r>
        <w:rPr>
          <w:vertAlign w:val="superscript"/>
        </w:rPr>
        <w:t>10</w:t>
      </w:r>
      <w:r>
        <w:t>cm/s</w:t>
      </w:r>
      <w:r>
        <w:rPr>
          <w:rFonts w:hint="eastAsia"/>
        </w:rPr>
        <w:t>的人工防渗膜</w:t>
      </w:r>
      <w:r>
        <w:rPr>
          <w:rFonts w:hint="eastAsia" w:hAnsi="宋体"/>
        </w:rPr>
        <w:t>，避免二次污染影响环境；危险废物临时贮存库内分区存放，禁止将不相容的危险废物在同一容器内混装，装载液体、半固体危废容器内必须留有足够空间，容器顶部与液体表面保留</w:t>
      </w:r>
      <w:r>
        <w:t>100mm</w:t>
      </w:r>
      <w:r>
        <w:rPr>
          <w:rFonts w:hint="eastAsia" w:hAnsi="宋体"/>
        </w:rPr>
        <w:t>以上得空间，装载危险废物得容器上必须粘贴符合</w:t>
      </w:r>
      <w:r>
        <w:t>GB18597-2001</w:t>
      </w:r>
      <w:r>
        <w:rPr>
          <w:rFonts w:hint="eastAsia" w:hAnsi="宋体"/>
        </w:rPr>
        <w:t>标准附录</w:t>
      </w:r>
      <w:r>
        <w:t>A</w:t>
      </w:r>
      <w:r>
        <w:rPr>
          <w:rFonts w:hint="eastAsia" w:hAnsi="宋体"/>
        </w:rPr>
        <w:t>所示的标签；危险废物临时存放库要做好防风、防雨、防晒工作。具体防治措施如下：</w:t>
      </w:r>
    </w:p>
    <w:p>
      <w:pPr>
        <w:snapToGrid w:val="0"/>
        <w:ind w:firstLine="480"/>
      </w:pPr>
      <w:r>
        <w:t>(1)</w:t>
      </w:r>
      <w:r>
        <w:rPr>
          <w:rFonts w:hint="eastAsia"/>
        </w:rPr>
        <w:t>严格执行危险废物进场储存程序、即经地磅称重、取样、化验、登记后运至储存库卸货。</w:t>
      </w:r>
    </w:p>
    <w:p>
      <w:pPr>
        <w:snapToGrid w:val="0"/>
        <w:ind w:firstLine="480"/>
      </w:pPr>
      <w:r>
        <w:t>(2)</w:t>
      </w:r>
      <w:r>
        <w:rPr>
          <w:rFonts w:hint="eastAsia"/>
        </w:rPr>
        <w:t>废物储存容器应坚固结实，材质强度应满足贮存要求，材质不能与危险废物发生化学反应，定期检查危险废物盛装容器的破损、泄漏等情况。</w:t>
      </w:r>
    </w:p>
    <w:p>
      <w:pPr>
        <w:snapToGrid w:val="0"/>
        <w:ind w:firstLine="480"/>
      </w:pPr>
      <w:r>
        <w:t>(3)</w:t>
      </w:r>
      <w:r>
        <w:rPr>
          <w:rFonts w:hint="eastAsia"/>
        </w:rPr>
        <w:t>所有危险废物贮存应严格按贮存工艺及技术要求进行，包括：</w:t>
      </w:r>
    </w:p>
    <w:p>
      <w:pPr>
        <w:snapToGrid w:val="0"/>
        <w:ind w:firstLine="480"/>
      </w:pPr>
      <w:r>
        <w:rPr>
          <w:rFonts w:hint="eastAsia" w:cs="宋体"/>
        </w:rPr>
        <w:t>①</w:t>
      </w:r>
      <w:r>
        <w:rPr>
          <w:rFonts w:hint="eastAsia"/>
        </w:rPr>
        <w:t>所有的危险废物有专用的贮存设施；</w:t>
      </w:r>
    </w:p>
    <w:p>
      <w:pPr>
        <w:snapToGrid w:val="0"/>
        <w:ind w:firstLine="480"/>
      </w:pPr>
      <w:r>
        <w:rPr>
          <w:rFonts w:hint="eastAsia" w:cs="宋体"/>
        </w:rPr>
        <w:t>②</w:t>
      </w:r>
      <w:r>
        <w:rPr>
          <w:rFonts w:hint="eastAsia"/>
        </w:rPr>
        <w:t>在常温常压下易燃易爆的危险废物必须预处理；</w:t>
      </w:r>
    </w:p>
    <w:p>
      <w:pPr>
        <w:snapToGrid w:val="0"/>
        <w:ind w:firstLine="480"/>
      </w:pPr>
      <w:r>
        <w:rPr>
          <w:rFonts w:hint="eastAsia" w:cs="宋体"/>
        </w:rPr>
        <w:t>③</w:t>
      </w:r>
      <w:r>
        <w:rPr>
          <w:rFonts w:hint="eastAsia"/>
        </w:rPr>
        <w:t>常温常压下不水解、不挥发的固体废物分别堆放；</w:t>
      </w:r>
    </w:p>
    <w:p>
      <w:pPr>
        <w:snapToGrid w:val="0"/>
        <w:ind w:firstLine="480"/>
      </w:pPr>
      <w:r>
        <w:rPr>
          <w:rFonts w:hint="eastAsia" w:cs="宋体"/>
        </w:rPr>
        <w:t>④</w:t>
      </w:r>
      <w:r>
        <w:rPr>
          <w:rFonts w:hint="eastAsia"/>
        </w:rPr>
        <w:t>禁止不相容的危险废物装入同一容器；</w:t>
      </w:r>
    </w:p>
    <w:p>
      <w:pPr>
        <w:snapToGrid w:val="0"/>
        <w:ind w:firstLine="480"/>
      </w:pPr>
      <w:r>
        <w:rPr>
          <w:rFonts w:hint="eastAsia" w:cs="宋体"/>
        </w:rPr>
        <w:t>⑤</w:t>
      </w:r>
      <w:r>
        <w:rPr>
          <w:rFonts w:hint="eastAsia"/>
        </w:rPr>
        <w:t>无法装入常用容器内的危险废物可用防漏胶带盛装；</w:t>
      </w:r>
    </w:p>
    <w:p>
      <w:pPr>
        <w:snapToGrid w:val="0"/>
        <w:ind w:firstLine="480"/>
      </w:pPr>
      <w:r>
        <w:rPr>
          <w:rFonts w:hint="eastAsia" w:cs="宋体"/>
        </w:rPr>
        <w:t>⑥</w:t>
      </w:r>
      <w:r>
        <w:rPr>
          <w:rFonts w:hint="eastAsia"/>
        </w:rPr>
        <w:t>内装液体、半固体的容器内必须留有足够的空间。</w:t>
      </w:r>
    </w:p>
    <w:p>
      <w:pPr>
        <w:snapToGrid w:val="0"/>
        <w:ind w:firstLine="480"/>
      </w:pPr>
      <w:r>
        <w:t>(4)</w:t>
      </w:r>
      <w:r>
        <w:rPr>
          <w:rFonts w:hint="eastAsia"/>
        </w:rPr>
        <w:t>贮存车间严格分区，项目危废暂存分为</w:t>
      </w:r>
      <w:r>
        <w:t>1#</w:t>
      </w:r>
      <w:r>
        <w:rPr>
          <w:rFonts w:hint="eastAsia"/>
        </w:rPr>
        <w:t>仓库、</w:t>
      </w:r>
      <w:r>
        <w:t>2#</w:t>
      </w:r>
      <w:r>
        <w:rPr>
          <w:rFonts w:hint="eastAsia"/>
        </w:rPr>
        <w:t>仓库和危废暂存罐区，每座仓库均设置废物接收区和废物存放区。对危废暂存罐区及</w:t>
      </w:r>
      <w:r>
        <w:t>1#</w:t>
      </w:r>
      <w:r>
        <w:rPr>
          <w:rFonts w:hint="eastAsia"/>
        </w:rPr>
        <w:t>仓库、</w:t>
      </w:r>
      <w:r>
        <w:t>2#</w:t>
      </w:r>
      <w:r>
        <w:rPr>
          <w:rFonts w:hint="eastAsia"/>
        </w:rPr>
        <w:t>仓库中废液集中储存区域设置围堰，在发生泄漏情况下，可有效收集泄漏的废物，并在</w:t>
      </w:r>
      <w:r>
        <w:t>1#</w:t>
      </w:r>
      <w:r>
        <w:rPr>
          <w:rFonts w:hint="eastAsia"/>
        </w:rPr>
        <w:t>仓库、</w:t>
      </w:r>
      <w:r>
        <w:t>2#</w:t>
      </w:r>
      <w:r>
        <w:rPr>
          <w:rFonts w:hint="eastAsia"/>
        </w:rPr>
        <w:t>仓库四周设环形收集槽，收集废物贮存过程中溢流的废水，并由地埋管道引致污水处理站处理。</w:t>
      </w:r>
    </w:p>
    <w:p>
      <w:pPr>
        <w:snapToGrid w:val="0"/>
        <w:ind w:firstLine="480"/>
      </w:pPr>
      <w:r>
        <w:t>(5)</w:t>
      </w:r>
      <w:r>
        <w:rPr>
          <w:rFonts w:hint="eastAsia"/>
        </w:rPr>
        <w:t>危险废物特性查明后按以下要求在废物仓库存放：</w:t>
      </w:r>
    </w:p>
    <w:p>
      <w:pPr>
        <w:snapToGrid w:val="0"/>
        <w:ind w:firstLine="480"/>
      </w:pPr>
      <w:r>
        <w:rPr>
          <w:rFonts w:hint="eastAsia" w:cs="宋体"/>
        </w:rPr>
        <w:t>①</w:t>
      </w:r>
      <w:r>
        <w:rPr>
          <w:rFonts w:hint="eastAsia"/>
        </w:rPr>
        <w:t>根据危险废物的不同性质采用桶装、袋装或罐装储存的，分别储存于各存放库内；</w:t>
      </w:r>
    </w:p>
    <w:p>
      <w:pPr>
        <w:snapToGrid w:val="0"/>
        <w:ind w:firstLine="480"/>
      </w:pPr>
      <w:r>
        <w:rPr>
          <w:rFonts w:hint="eastAsia" w:cs="宋体"/>
        </w:rPr>
        <w:t>②</w:t>
      </w:r>
      <w:r>
        <w:rPr>
          <w:rFonts w:hint="eastAsia"/>
        </w:rPr>
        <w:t>桶装或袋装储存的规划堆高</w:t>
      </w:r>
      <w:r>
        <w:t>4</w:t>
      </w:r>
      <w:r>
        <w:rPr>
          <w:rFonts w:hint="eastAsia"/>
        </w:rPr>
        <w:t>层，每层高度控制在</w:t>
      </w:r>
      <w:r>
        <w:t>1.5m</w:t>
      </w:r>
      <w:r>
        <w:rPr>
          <w:rFonts w:hint="eastAsia"/>
        </w:rPr>
        <w:t>；</w:t>
      </w:r>
    </w:p>
    <w:p>
      <w:pPr>
        <w:snapToGrid w:val="0"/>
        <w:ind w:firstLine="480"/>
      </w:pPr>
      <w:r>
        <w:rPr>
          <w:rFonts w:hint="eastAsia" w:cs="宋体"/>
        </w:rPr>
        <w:t>③</w:t>
      </w:r>
      <w:r>
        <w:rPr>
          <w:rFonts w:hint="eastAsia" w:cs="Arial"/>
        </w:rPr>
        <w:t>盛装危险废物的容器上必须粘贴符合《危险废物贮存污染控制标准》的标签。注明废物产生单位及其地址、电话、联系人等、废物化学成分、危险情况、安全措施。</w:t>
      </w:r>
      <w:r>
        <w:rPr>
          <w:rFonts w:hint="eastAsia"/>
        </w:rPr>
        <w:t>盛装危险废物容器的标志、标牌应并排粘贴，并位于其容器、箱、桶的竖向的中部的明显位置，一律朝外。</w:t>
      </w:r>
    </w:p>
    <w:p>
      <w:pPr>
        <w:pStyle w:val="186"/>
        <w:snapToGrid w:val="0"/>
        <w:ind w:firstLine="480"/>
        <w:rPr>
          <w:rFonts w:ascii="Times New Roman" w:hAnsi="Times New Roman"/>
          <w:color w:val="auto"/>
        </w:rPr>
      </w:pPr>
      <w:r>
        <w:rPr>
          <w:rFonts w:ascii="Times New Roman" w:hAnsi="Times New Roman"/>
          <w:color w:val="auto"/>
        </w:rPr>
        <w:t>(7)</w:t>
      </w:r>
      <w:r>
        <w:rPr>
          <w:rFonts w:hint="eastAsia"/>
          <w:color w:val="auto"/>
        </w:rPr>
        <w:t>贮存废矿物油等液体或其他半固体的车间，地面应采取防腐措施，并有足够的防渗性能，保证表面无裂缝，防止泄露的液体从裂缝中渗透。</w:t>
      </w:r>
    </w:p>
    <w:p>
      <w:pPr>
        <w:pStyle w:val="186"/>
        <w:snapToGrid w:val="0"/>
        <w:ind w:firstLine="480"/>
        <w:rPr>
          <w:rFonts w:ascii="Times New Roman" w:hAnsi="Times New Roman"/>
          <w:color w:val="auto"/>
          <w:lang w:val="zh-CN"/>
        </w:rPr>
      </w:pPr>
      <w:r>
        <w:rPr>
          <w:rFonts w:ascii="Times New Roman" w:hAnsi="Times New Roman"/>
          <w:color w:val="auto"/>
        </w:rPr>
        <w:t>(8)</w:t>
      </w:r>
      <w:r>
        <w:rPr>
          <w:rFonts w:hint="eastAsia" w:ascii="Times New Roman"/>
          <w:color w:val="auto"/>
        </w:rPr>
        <w:t>危废贮存场所</w:t>
      </w:r>
      <w:r>
        <w:rPr>
          <w:rFonts w:hint="eastAsia" w:ascii="Times New Roman" w:hAnsi="Times New Roman"/>
          <w:color w:val="auto"/>
        </w:rPr>
        <w:t>设计施工还应满足如下设计原则及要求：</w:t>
      </w:r>
    </w:p>
    <w:p>
      <w:pPr>
        <w:pStyle w:val="785"/>
        <w:snapToGrid w:val="0"/>
        <w:ind w:firstLine="480"/>
        <w:rPr>
          <w:rFonts w:ascii="Times New Roman" w:hAnsi="Times New Roman"/>
          <w:color w:val="auto"/>
        </w:rPr>
      </w:pPr>
      <w:r>
        <w:rPr>
          <w:rFonts w:ascii="Times New Roman"/>
          <w:color w:val="auto"/>
        </w:rPr>
        <w:fldChar w:fldCharType="begin"/>
      </w:r>
      <w:r>
        <w:rPr>
          <w:rFonts w:ascii="Times New Roman"/>
          <w:color w:val="auto"/>
        </w:rPr>
        <w:instrText xml:space="preserve"> = 1 \* GB3 </w:instrText>
      </w:r>
      <w:r>
        <w:rPr>
          <w:rFonts w:ascii="Times New Roman"/>
          <w:color w:val="auto"/>
        </w:rPr>
        <w:fldChar w:fldCharType="separate"/>
      </w:r>
      <w:r>
        <w:rPr>
          <w:rFonts w:hint="eastAsia"/>
          <w:color w:val="auto"/>
        </w:rPr>
        <w:t>①</w:t>
      </w:r>
      <w:r>
        <w:rPr>
          <w:rFonts w:ascii="Times New Roman"/>
          <w:color w:val="auto"/>
        </w:rPr>
        <w:fldChar w:fldCharType="end"/>
      </w:r>
      <w:r>
        <w:rPr>
          <w:rFonts w:hint="eastAsia" w:ascii="Times New Roman"/>
          <w:color w:val="auto"/>
        </w:rPr>
        <w:t>基础必须防渗，防渗层为至少</w:t>
      </w:r>
      <w:r>
        <w:rPr>
          <w:rFonts w:ascii="Times New Roman"/>
          <w:color w:val="auto"/>
        </w:rPr>
        <w:t>1m</w:t>
      </w:r>
      <w:r>
        <w:rPr>
          <w:rFonts w:hint="eastAsia" w:ascii="Times New Roman"/>
          <w:color w:val="auto"/>
        </w:rPr>
        <w:t>厚黏土层</w:t>
      </w:r>
      <w:r>
        <w:rPr>
          <w:rFonts w:ascii="Times New Roman"/>
          <w:color w:val="auto"/>
        </w:rPr>
        <w:t>(</w:t>
      </w:r>
      <w:r>
        <w:rPr>
          <w:rFonts w:hint="eastAsia" w:ascii="Times New Roman"/>
          <w:color w:val="auto"/>
        </w:rPr>
        <w:t>渗透系数</w:t>
      </w:r>
      <w:r>
        <w:rPr>
          <w:rFonts w:ascii="Times New Roman"/>
          <w:color w:val="auto"/>
        </w:rPr>
        <w:t>≤10</w:t>
      </w:r>
      <w:r>
        <w:rPr>
          <w:rFonts w:ascii="Times New Roman"/>
          <w:color w:val="auto"/>
          <w:vertAlign w:val="superscript"/>
        </w:rPr>
        <w:t>-7</w:t>
      </w:r>
      <w:r>
        <w:rPr>
          <w:rFonts w:ascii="Times New Roman"/>
          <w:color w:val="auto"/>
        </w:rPr>
        <w:t>cm/s)</w:t>
      </w:r>
      <w:r>
        <w:rPr>
          <w:rFonts w:hint="eastAsia" w:ascii="Times New Roman"/>
          <w:color w:val="auto"/>
        </w:rPr>
        <w:t>，或</w:t>
      </w:r>
      <w:r>
        <w:rPr>
          <w:rFonts w:ascii="Times New Roman"/>
          <w:color w:val="auto"/>
        </w:rPr>
        <w:t>2mm</w:t>
      </w:r>
      <w:r>
        <w:rPr>
          <w:rFonts w:hint="eastAsia" w:ascii="Times New Roman"/>
          <w:color w:val="auto"/>
        </w:rPr>
        <w:t>厚高密度聚乙烯，或至少</w:t>
      </w:r>
      <w:r>
        <w:rPr>
          <w:rFonts w:ascii="Times New Roman"/>
          <w:color w:val="auto"/>
        </w:rPr>
        <w:t>2mm</w:t>
      </w:r>
      <w:r>
        <w:rPr>
          <w:rFonts w:hint="eastAsia" w:ascii="Times New Roman"/>
          <w:color w:val="auto"/>
        </w:rPr>
        <w:t>厚的其他人工材料</w:t>
      </w:r>
      <w:r>
        <w:rPr>
          <w:rFonts w:ascii="Times New Roman"/>
          <w:color w:val="auto"/>
        </w:rPr>
        <w:t>(</w:t>
      </w:r>
      <w:r>
        <w:rPr>
          <w:rFonts w:hint="eastAsia" w:ascii="Times New Roman"/>
          <w:color w:val="auto"/>
        </w:rPr>
        <w:t>渗透系数</w:t>
      </w:r>
      <w:r>
        <w:rPr>
          <w:rFonts w:ascii="Times New Roman"/>
          <w:color w:val="auto"/>
        </w:rPr>
        <w:t>≤10</w:t>
      </w:r>
      <w:r>
        <w:rPr>
          <w:rFonts w:ascii="Times New Roman"/>
          <w:color w:val="auto"/>
          <w:vertAlign w:val="superscript"/>
        </w:rPr>
        <w:t>-10</w:t>
      </w:r>
      <w:r>
        <w:rPr>
          <w:rFonts w:ascii="Times New Roman"/>
          <w:color w:val="auto"/>
        </w:rPr>
        <w:t>cm/s)</w:t>
      </w:r>
      <w:r>
        <w:rPr>
          <w:rFonts w:hint="eastAsia" w:ascii="Times New Roman"/>
          <w:color w:val="auto"/>
        </w:rPr>
        <w:t>。</w:t>
      </w:r>
    </w:p>
    <w:p>
      <w:pPr>
        <w:pStyle w:val="785"/>
        <w:snapToGrid w:val="0"/>
        <w:ind w:firstLine="480"/>
        <w:rPr>
          <w:rFonts w:ascii="Times New Roman"/>
          <w:color w:val="auto"/>
        </w:rPr>
      </w:pPr>
      <w:r>
        <w:rPr>
          <w:rFonts w:ascii="Times New Roman"/>
          <w:color w:val="auto"/>
        </w:rPr>
        <w:fldChar w:fldCharType="begin"/>
      </w:r>
      <w:r>
        <w:rPr>
          <w:rFonts w:ascii="Times New Roman"/>
          <w:color w:val="auto"/>
        </w:rPr>
        <w:instrText xml:space="preserve"> = 2 \* GB3 </w:instrText>
      </w:r>
      <w:r>
        <w:rPr>
          <w:rFonts w:ascii="Times New Roman"/>
          <w:color w:val="auto"/>
        </w:rPr>
        <w:fldChar w:fldCharType="separate"/>
      </w:r>
      <w:r>
        <w:rPr>
          <w:rFonts w:hint="eastAsia"/>
          <w:color w:val="auto"/>
        </w:rPr>
        <w:t>②</w:t>
      </w:r>
      <w:r>
        <w:rPr>
          <w:rFonts w:ascii="Times New Roman"/>
          <w:color w:val="auto"/>
        </w:rPr>
        <w:fldChar w:fldCharType="end"/>
      </w:r>
      <w:r>
        <w:rPr>
          <w:rFonts w:hint="eastAsia" w:ascii="Times New Roman"/>
          <w:color w:val="auto"/>
        </w:rPr>
        <w:t>地面与裙角要用坚固、防渗的材料制造，建筑材料必须与危险废物兼容。</w:t>
      </w:r>
    </w:p>
    <w:p>
      <w:pPr>
        <w:pStyle w:val="785"/>
        <w:snapToGrid w:val="0"/>
        <w:ind w:firstLine="480"/>
        <w:rPr>
          <w:rFonts w:ascii="Times New Roman"/>
          <w:color w:val="auto"/>
        </w:rPr>
      </w:pPr>
      <w:r>
        <w:rPr>
          <w:rFonts w:ascii="Times New Roman"/>
          <w:color w:val="auto"/>
        </w:rPr>
        <w:fldChar w:fldCharType="begin"/>
      </w:r>
      <w:r>
        <w:rPr>
          <w:rFonts w:ascii="Times New Roman"/>
          <w:color w:val="auto"/>
        </w:rPr>
        <w:instrText xml:space="preserve"> = 3 \* GB3 </w:instrText>
      </w:r>
      <w:r>
        <w:rPr>
          <w:rFonts w:ascii="Times New Roman"/>
          <w:color w:val="auto"/>
        </w:rPr>
        <w:fldChar w:fldCharType="separate"/>
      </w:r>
      <w:r>
        <w:rPr>
          <w:rFonts w:hint="eastAsia"/>
          <w:color w:val="auto"/>
        </w:rPr>
        <w:t>③</w:t>
      </w:r>
      <w:r>
        <w:rPr>
          <w:rFonts w:ascii="Times New Roman"/>
          <w:color w:val="auto"/>
        </w:rPr>
        <w:fldChar w:fldCharType="end"/>
      </w:r>
      <w:r>
        <w:rPr>
          <w:rFonts w:hint="eastAsia" w:ascii="Times New Roman"/>
          <w:color w:val="auto"/>
        </w:rPr>
        <w:t>必须有泄露液体收集装置、气体导出口及气体净化装置。</w:t>
      </w:r>
    </w:p>
    <w:p>
      <w:pPr>
        <w:pStyle w:val="785"/>
        <w:snapToGrid w:val="0"/>
        <w:ind w:firstLine="480"/>
        <w:rPr>
          <w:rFonts w:ascii="Times New Roman"/>
          <w:color w:val="auto"/>
        </w:rPr>
      </w:pPr>
      <w:r>
        <w:rPr>
          <w:rFonts w:ascii="Times New Roman"/>
          <w:color w:val="auto"/>
        </w:rPr>
        <w:fldChar w:fldCharType="begin"/>
      </w:r>
      <w:r>
        <w:rPr>
          <w:rFonts w:ascii="Times New Roman"/>
          <w:color w:val="auto"/>
        </w:rPr>
        <w:instrText xml:space="preserve"> = 4 \* GB3 </w:instrText>
      </w:r>
      <w:r>
        <w:rPr>
          <w:rFonts w:ascii="Times New Roman"/>
          <w:color w:val="auto"/>
        </w:rPr>
        <w:fldChar w:fldCharType="separate"/>
      </w:r>
      <w:r>
        <w:rPr>
          <w:rFonts w:hint="eastAsia"/>
          <w:color w:val="auto"/>
        </w:rPr>
        <w:t>④</w:t>
      </w:r>
      <w:r>
        <w:rPr>
          <w:rFonts w:ascii="Times New Roman"/>
          <w:color w:val="auto"/>
        </w:rPr>
        <w:fldChar w:fldCharType="end"/>
      </w:r>
      <w:r>
        <w:rPr>
          <w:rFonts w:hint="eastAsia" w:ascii="Times New Roman"/>
          <w:color w:val="auto"/>
        </w:rPr>
        <w:t>设施内要有安全照明设施。</w:t>
      </w:r>
    </w:p>
    <w:p>
      <w:pPr>
        <w:pStyle w:val="785"/>
        <w:snapToGrid w:val="0"/>
        <w:ind w:firstLine="480"/>
        <w:rPr>
          <w:rFonts w:ascii="Times New Roman"/>
          <w:color w:val="auto"/>
        </w:rPr>
      </w:pPr>
      <w:r>
        <w:rPr>
          <w:rFonts w:ascii="Times New Roman"/>
          <w:color w:val="auto"/>
        </w:rPr>
        <w:fldChar w:fldCharType="begin"/>
      </w:r>
      <w:r>
        <w:rPr>
          <w:rFonts w:ascii="Times New Roman"/>
          <w:color w:val="auto"/>
        </w:rPr>
        <w:instrText xml:space="preserve"> = 5 \* GB3 </w:instrText>
      </w:r>
      <w:r>
        <w:rPr>
          <w:rFonts w:ascii="Times New Roman"/>
          <w:color w:val="auto"/>
        </w:rPr>
        <w:fldChar w:fldCharType="separate"/>
      </w:r>
      <w:r>
        <w:rPr>
          <w:rFonts w:hint="eastAsia"/>
          <w:color w:val="auto"/>
        </w:rPr>
        <w:t>⑤</w:t>
      </w:r>
      <w:r>
        <w:rPr>
          <w:rFonts w:ascii="Times New Roman"/>
          <w:color w:val="auto"/>
        </w:rPr>
        <w:fldChar w:fldCharType="end"/>
      </w:r>
      <w:r>
        <w:rPr>
          <w:rFonts w:hint="eastAsia" w:ascii="Times New Roman"/>
          <w:color w:val="auto"/>
        </w:rPr>
        <w:t>应设计堵截泄露的群脚，地面与群脚所围建的容积不低于堵截最大容器的最大储量或总储量的</w:t>
      </w:r>
      <w:r>
        <w:rPr>
          <w:rFonts w:ascii="Times New Roman"/>
          <w:color w:val="auto"/>
        </w:rPr>
        <w:t>1/5</w:t>
      </w:r>
      <w:r>
        <w:rPr>
          <w:rFonts w:hint="eastAsia" w:ascii="Times New Roman"/>
          <w:color w:val="auto"/>
        </w:rPr>
        <w:t>。</w:t>
      </w:r>
    </w:p>
    <w:p>
      <w:pPr>
        <w:pStyle w:val="785"/>
        <w:snapToGrid w:val="0"/>
        <w:ind w:firstLine="480"/>
        <w:rPr>
          <w:color w:val="auto"/>
        </w:rPr>
      </w:pPr>
      <w:r>
        <w:rPr>
          <w:rFonts w:ascii="Times New Roman"/>
          <w:color w:val="auto"/>
        </w:rPr>
        <w:fldChar w:fldCharType="begin"/>
      </w:r>
      <w:r>
        <w:rPr>
          <w:rFonts w:ascii="Times New Roman"/>
          <w:color w:val="auto"/>
        </w:rPr>
        <w:instrText xml:space="preserve"> = 6 \* GB3 </w:instrText>
      </w:r>
      <w:r>
        <w:rPr>
          <w:rFonts w:ascii="Times New Roman"/>
          <w:color w:val="auto"/>
        </w:rPr>
        <w:fldChar w:fldCharType="separate"/>
      </w:r>
      <w:r>
        <w:rPr>
          <w:rFonts w:hint="eastAsia"/>
          <w:color w:val="auto"/>
        </w:rPr>
        <w:t>⑥</w:t>
      </w:r>
      <w:r>
        <w:rPr>
          <w:rFonts w:ascii="Times New Roman"/>
          <w:color w:val="auto"/>
        </w:rPr>
        <w:fldChar w:fldCharType="end"/>
      </w:r>
      <w:r>
        <w:rPr>
          <w:rFonts w:hint="eastAsia"/>
          <w:color w:val="auto"/>
        </w:rPr>
        <w:t>危险废物临时贮存、处置场设有图形标志。</w:t>
      </w:r>
    </w:p>
    <w:p>
      <w:pPr>
        <w:pStyle w:val="5"/>
      </w:pPr>
      <w:bookmarkStart w:id="530" w:name="_Toc355628592"/>
      <w:bookmarkStart w:id="531" w:name="_Toc503369023"/>
      <w:bookmarkStart w:id="532" w:name="_Toc13760266"/>
      <w:r>
        <w:rPr>
          <w:rFonts w:hint="eastAsia"/>
        </w:rPr>
        <w:t>7.5.3储运过程环境影响分析小结</w:t>
      </w:r>
      <w:bookmarkEnd w:id="530"/>
      <w:bookmarkEnd w:id="531"/>
      <w:bookmarkEnd w:id="532"/>
    </w:p>
    <w:p>
      <w:pPr>
        <w:pStyle w:val="785"/>
        <w:snapToGrid w:val="0"/>
        <w:ind w:firstLine="480"/>
        <w:rPr>
          <w:rFonts w:ascii="Times New Roman"/>
          <w:color w:val="auto"/>
        </w:rPr>
      </w:pPr>
      <w:r>
        <w:rPr>
          <w:rFonts w:hint="eastAsia" w:ascii="Times New Roman"/>
          <w:color w:val="auto"/>
        </w:rPr>
        <w:t>项目危险废物采用合理的收集措施，制定科学的运输路线，建立专业的运输队伍，运输采取专车、专用容器进行，并严格按照规定程序进行贮存，运输过程中严格执行《危险废物转移联单管理》、《道路危险废物运输管理规定》、《危险品运输管理规范》、《道路运输危险货物车辆标志》等规定，贮存过程中应严格执行《危险废物贮存污染控制标准》</w:t>
      </w:r>
      <w:r>
        <w:rPr>
          <w:rFonts w:ascii="Times New Roman"/>
          <w:color w:val="auto"/>
        </w:rPr>
        <w:t>(GB18597-2001)</w:t>
      </w:r>
      <w:r>
        <w:rPr>
          <w:rFonts w:hint="eastAsia" w:ascii="Times New Roman"/>
          <w:color w:val="auto"/>
        </w:rPr>
        <w:t>等相关规定，选择运距较短、路况较好、运输较为安全的地段行驶，运输过程中避开水源地、桥梁、风景区、医院、学校等敏感点。采取以上措施后，项目在储运过程中对环境的影响较小。</w:t>
      </w:r>
    </w:p>
    <w:p>
      <w:pPr>
        <w:pStyle w:val="4"/>
        <w:spacing w:line="360" w:lineRule="auto"/>
        <w:rPr>
          <w:sz w:val="30"/>
          <w:szCs w:val="30"/>
        </w:rPr>
      </w:pPr>
      <w:bookmarkStart w:id="533" w:name="_Toc13760267"/>
      <w:r>
        <w:rPr>
          <w:rFonts w:hint="eastAsia"/>
          <w:lang w:val="zh-CN"/>
        </w:rPr>
        <w:t>7.6地下水环境保护措施及对策</w:t>
      </w:r>
      <w:bookmarkEnd w:id="533"/>
    </w:p>
    <w:p>
      <w:pPr>
        <w:pStyle w:val="5"/>
      </w:pPr>
      <w:bookmarkStart w:id="534" w:name="_Toc458673337"/>
      <w:bookmarkStart w:id="535" w:name="_Toc503368995"/>
      <w:bookmarkStart w:id="536" w:name="_Toc13760268"/>
      <w:bookmarkStart w:id="537" w:name="_Toc451941463"/>
      <w:r>
        <w:rPr>
          <w:rFonts w:hint="eastAsia"/>
        </w:rPr>
        <w:t>7.6.1</w:t>
      </w:r>
      <w:bookmarkEnd w:id="534"/>
      <w:r>
        <w:rPr>
          <w:rFonts w:hint="eastAsia"/>
        </w:rPr>
        <w:t>源头控制措施</w:t>
      </w:r>
      <w:bookmarkEnd w:id="535"/>
      <w:bookmarkEnd w:id="536"/>
    </w:p>
    <w:p>
      <w:pPr>
        <w:adjustRightInd w:val="0"/>
        <w:snapToGrid w:val="0"/>
        <w:ind w:firstLine="480"/>
        <w:rPr>
          <w:rFonts w:hAnsi="宋体"/>
          <w:szCs w:val="24"/>
        </w:rPr>
      </w:pPr>
      <w:r>
        <w:rPr>
          <w:rFonts w:hAnsi="宋体"/>
          <w:szCs w:val="24"/>
        </w:rPr>
        <w:t>(1)</w:t>
      </w:r>
      <w:r>
        <w:rPr>
          <w:rFonts w:hint="eastAsia" w:hAnsi="宋体"/>
          <w:szCs w:val="24"/>
        </w:rPr>
        <w:t>危废综合处置厂厂区</w:t>
      </w:r>
    </w:p>
    <w:p>
      <w:pPr>
        <w:adjustRightInd w:val="0"/>
        <w:snapToGrid w:val="0"/>
        <w:ind w:firstLine="480"/>
        <w:rPr>
          <w:rFonts w:hAnsi="宋体"/>
          <w:szCs w:val="24"/>
        </w:rPr>
      </w:pPr>
      <w:r>
        <w:rPr>
          <w:rFonts w:hint="eastAsia" w:hAnsi="宋体"/>
          <w:szCs w:val="24"/>
        </w:rPr>
        <w:t>厂区的任何废水皆禁止排入地下水中。</w:t>
      </w:r>
    </w:p>
    <w:p>
      <w:pPr>
        <w:adjustRightInd w:val="0"/>
        <w:snapToGrid w:val="0"/>
        <w:ind w:firstLine="480"/>
        <w:rPr>
          <w:rFonts w:hAnsi="宋体"/>
          <w:szCs w:val="24"/>
        </w:rPr>
      </w:pPr>
      <w:r>
        <w:rPr>
          <w:rFonts w:hint="eastAsia" w:hAnsi="宋体"/>
          <w:szCs w:val="24"/>
        </w:rPr>
        <w:t>将拟建场址采取整体分区防渗，危废综合处置厂全厂根据不同区域潜在的地下水污染风险性大小划分为：重点污染防治区、一般污染防治区和简单污染防治区。</w:t>
      </w:r>
    </w:p>
    <w:p>
      <w:pPr>
        <w:adjustRightInd w:val="0"/>
        <w:snapToGrid w:val="0"/>
        <w:ind w:firstLine="480"/>
        <w:rPr>
          <w:rFonts w:hAnsi="宋体"/>
          <w:szCs w:val="24"/>
        </w:rPr>
      </w:pPr>
      <w:r>
        <w:rPr>
          <w:rFonts w:hint="eastAsia" w:hAnsi="宋体"/>
          <w:szCs w:val="24"/>
        </w:rPr>
        <w:t>在拟建场址建立地下水污染跟踪监测井网，进行地下水污染跟踪监测，发现泄漏及时切断泄漏源，减小向地下水中的泄漏量。</w:t>
      </w:r>
    </w:p>
    <w:p>
      <w:pPr>
        <w:adjustRightInd w:val="0"/>
        <w:snapToGrid w:val="0"/>
        <w:ind w:firstLine="480"/>
        <w:rPr>
          <w:rFonts w:hAnsi="宋体"/>
          <w:szCs w:val="24"/>
        </w:rPr>
      </w:pPr>
      <w:r>
        <w:rPr>
          <w:rFonts w:hint="eastAsia" w:hAnsi="宋体"/>
          <w:szCs w:val="24"/>
        </w:rPr>
        <w:t>厂区污水输送管道皆采用明管敷设，减小向含水层中泄漏的风险。</w:t>
      </w:r>
    </w:p>
    <w:p>
      <w:pPr>
        <w:adjustRightInd w:val="0"/>
        <w:snapToGrid w:val="0"/>
        <w:ind w:firstLine="480"/>
        <w:rPr>
          <w:rFonts w:hAnsi="宋体"/>
          <w:szCs w:val="24"/>
        </w:rPr>
      </w:pPr>
      <w:r>
        <w:rPr>
          <w:rFonts w:hint="eastAsia" w:hAnsi="宋体"/>
          <w:szCs w:val="24"/>
        </w:rPr>
        <w:t>雨污分流：将污染区初期雨水与非污染区雨水</w:t>
      </w:r>
      <w:r>
        <w:rPr>
          <w:rFonts w:hAnsi="宋体"/>
          <w:szCs w:val="24"/>
        </w:rPr>
        <w:t>(</w:t>
      </w:r>
      <w:r>
        <w:rPr>
          <w:rFonts w:hint="eastAsia" w:hAnsi="宋体"/>
          <w:szCs w:val="24"/>
        </w:rPr>
        <w:t>含污染区后期雨水</w:t>
      </w:r>
      <w:r>
        <w:rPr>
          <w:rFonts w:hAnsi="宋体"/>
          <w:szCs w:val="24"/>
        </w:rPr>
        <w:t>)</w:t>
      </w:r>
      <w:r>
        <w:rPr>
          <w:rFonts w:hint="eastAsia" w:hAnsi="宋体"/>
          <w:szCs w:val="24"/>
        </w:rPr>
        <w:t>分别收集，分开处理。污染雨水进污水管沟、管网至污水处理站处理，未受污染的清净雨水进雨水管网监控后外排。</w:t>
      </w:r>
    </w:p>
    <w:p>
      <w:pPr>
        <w:adjustRightInd w:val="0"/>
        <w:snapToGrid w:val="0"/>
        <w:ind w:firstLine="480"/>
        <w:rPr>
          <w:rFonts w:hAnsi="宋体"/>
          <w:szCs w:val="24"/>
        </w:rPr>
      </w:pPr>
      <w:r>
        <w:rPr>
          <w:rFonts w:hint="eastAsia" w:hAnsi="宋体"/>
          <w:szCs w:val="24"/>
        </w:rPr>
        <w:t>厂区工艺废水经厂区污水处理站处理后，全部回用，不散排。</w:t>
      </w:r>
    </w:p>
    <w:bookmarkEnd w:id="537"/>
    <w:p>
      <w:pPr>
        <w:pStyle w:val="5"/>
        <w:rPr>
          <w:szCs w:val="24"/>
        </w:rPr>
      </w:pPr>
      <w:bookmarkStart w:id="538" w:name="_Toc503368996"/>
      <w:bookmarkStart w:id="539" w:name="_Toc13760269"/>
      <w:r>
        <w:rPr>
          <w:rFonts w:hint="eastAsia"/>
        </w:rPr>
        <w:t>7.6.2</w:t>
      </w:r>
      <w:r>
        <w:rPr>
          <w:rFonts w:hint="eastAsia"/>
          <w:b w:val="0"/>
          <w:szCs w:val="24"/>
        </w:rPr>
        <w:t>分区防控措施</w:t>
      </w:r>
      <w:bookmarkEnd w:id="538"/>
      <w:bookmarkEnd w:id="539"/>
    </w:p>
    <w:p>
      <w:pPr>
        <w:adjustRightInd w:val="0"/>
        <w:snapToGrid w:val="0"/>
        <w:ind w:firstLine="480"/>
        <w:rPr>
          <w:rFonts w:hAnsi="宋体"/>
          <w:szCs w:val="24"/>
        </w:rPr>
      </w:pPr>
      <w:r>
        <w:rPr>
          <w:rFonts w:hint="eastAsia" w:hAnsi="宋体"/>
          <w:szCs w:val="24"/>
        </w:rPr>
        <w:t>本次参照《环境影响评价技术导则地下水环境》</w:t>
      </w:r>
      <w:r>
        <w:rPr>
          <w:rFonts w:hAnsi="宋体"/>
          <w:szCs w:val="24"/>
        </w:rPr>
        <w:t>(HJ610 2016)</w:t>
      </w:r>
      <w:r>
        <w:rPr>
          <w:rFonts w:hint="eastAsia" w:hAnsi="宋体"/>
          <w:szCs w:val="24"/>
        </w:rPr>
        <w:t>、《石油化工工程防渗技术规范》</w:t>
      </w:r>
      <w:r>
        <w:rPr>
          <w:rFonts w:hAnsi="宋体"/>
          <w:szCs w:val="24"/>
        </w:rPr>
        <w:t>(GB/T 50934)</w:t>
      </w:r>
      <w:r>
        <w:rPr>
          <w:rFonts w:hint="eastAsia" w:hAnsi="宋体"/>
          <w:szCs w:val="24"/>
        </w:rPr>
        <w:t>、《危险废物贮存污染控制标准》</w:t>
      </w:r>
      <w:r>
        <w:rPr>
          <w:rFonts w:hAnsi="宋体"/>
          <w:szCs w:val="24"/>
        </w:rPr>
        <w:t>(GB 18597 2001)</w:t>
      </w:r>
      <w:r>
        <w:rPr>
          <w:rFonts w:hint="eastAsia" w:hAnsi="宋体"/>
          <w:szCs w:val="24"/>
        </w:rPr>
        <w:t>和《危险废物填埋污染控制标准》</w:t>
      </w:r>
      <w:r>
        <w:rPr>
          <w:rFonts w:hAnsi="宋体"/>
          <w:szCs w:val="24"/>
        </w:rPr>
        <w:t>(GB18598-2001)</w:t>
      </w:r>
      <w:r>
        <w:rPr>
          <w:rFonts w:hint="eastAsia" w:hAnsi="宋体"/>
          <w:szCs w:val="24"/>
        </w:rPr>
        <w:t>对厂区进行地下水污染防渗分区。具体见表7</w:t>
      </w:r>
      <w:r>
        <w:rPr>
          <w:rFonts w:hAnsi="宋体"/>
          <w:szCs w:val="24"/>
        </w:rPr>
        <w:t>.</w:t>
      </w:r>
      <w:r>
        <w:rPr>
          <w:rFonts w:hint="eastAsia" w:hAnsi="宋体"/>
          <w:szCs w:val="24"/>
        </w:rPr>
        <w:t>6—</w:t>
      </w:r>
      <w:r>
        <w:rPr>
          <w:rFonts w:hAnsi="宋体"/>
          <w:szCs w:val="24"/>
        </w:rPr>
        <w:t>1</w:t>
      </w:r>
      <w:r>
        <w:rPr>
          <w:rFonts w:hint="eastAsia" w:hAnsi="宋体"/>
          <w:szCs w:val="24"/>
        </w:rPr>
        <w:t>。</w:t>
      </w:r>
    </w:p>
    <w:p>
      <w:pPr>
        <w:pStyle w:val="161"/>
        <w:ind w:firstLine="480"/>
        <w:rPr>
          <w:sz w:val="21"/>
          <w:szCs w:val="20"/>
        </w:rPr>
      </w:pPr>
      <w:r>
        <w:rPr>
          <w:rFonts w:hint="eastAsia"/>
        </w:rPr>
        <w:t>表7.6—</w:t>
      </w:r>
      <w:r>
        <w:t xml:space="preserve">1          </w:t>
      </w:r>
      <w:r>
        <w:rPr>
          <w:rFonts w:hint="eastAsia"/>
        </w:rPr>
        <w:t>本项目地下水污染防渗分区一览表</w:t>
      </w:r>
    </w:p>
    <w:tbl>
      <w:tblPr>
        <w:tblStyle w:val="190"/>
        <w:tblW w:w="9638" w:type="dxa"/>
        <w:tblInd w:w="0" w:type="dxa"/>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Layout w:type="fixed"/>
        <w:tblCellMar>
          <w:top w:w="0" w:type="dxa"/>
          <w:left w:w="108" w:type="dxa"/>
          <w:bottom w:w="0" w:type="dxa"/>
          <w:right w:w="108" w:type="dxa"/>
        </w:tblCellMar>
      </w:tblPr>
      <w:tblGrid>
        <w:gridCol w:w="2045"/>
        <w:gridCol w:w="2774"/>
        <w:gridCol w:w="2677"/>
        <w:gridCol w:w="2142"/>
      </w:tblGrid>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2045" w:type="dxa"/>
            <w:tcBorders>
              <w:top w:val="single" w:color="auto" w:sz="12" w:space="0"/>
              <w:left w:val="nil"/>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r>
              <w:rPr>
                <w:rFonts w:hint="eastAsia" w:cs="Times New Roman"/>
                <w:kern w:val="0"/>
                <w:sz w:val="21"/>
                <w:szCs w:val="20"/>
              </w:rPr>
              <w:t>防渗分区</w:t>
            </w:r>
          </w:p>
        </w:tc>
        <w:tc>
          <w:tcPr>
            <w:tcW w:w="2774" w:type="dxa"/>
            <w:tcBorders>
              <w:top w:val="single" w:color="auto" w:sz="12"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r>
              <w:rPr>
                <w:rFonts w:hint="eastAsia" w:cs="Times New Roman"/>
                <w:kern w:val="0"/>
                <w:sz w:val="21"/>
                <w:szCs w:val="20"/>
              </w:rPr>
              <w:t>区域</w:t>
            </w:r>
          </w:p>
        </w:tc>
        <w:tc>
          <w:tcPr>
            <w:tcW w:w="2677" w:type="dxa"/>
            <w:tcBorders>
              <w:top w:val="single" w:color="auto" w:sz="12"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r>
              <w:rPr>
                <w:rFonts w:hint="eastAsia" w:cs="Times New Roman"/>
                <w:kern w:val="0"/>
                <w:sz w:val="21"/>
                <w:szCs w:val="20"/>
              </w:rPr>
              <w:t>防渗等级</w:t>
            </w:r>
          </w:p>
        </w:tc>
        <w:tc>
          <w:tcPr>
            <w:tcW w:w="2142" w:type="dxa"/>
            <w:tcBorders>
              <w:top w:val="single" w:color="auto" w:sz="12" w:space="0"/>
              <w:left w:val="dotted" w:color="auto" w:sz="8" w:space="0"/>
              <w:bottom w:val="single" w:color="auto" w:sz="12" w:space="0"/>
              <w:right w:val="nil"/>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r>
              <w:rPr>
                <w:rFonts w:hint="eastAsia" w:cs="Times New Roman"/>
                <w:kern w:val="0"/>
                <w:sz w:val="21"/>
                <w:szCs w:val="20"/>
              </w:rPr>
              <w:t>备注</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2045" w:type="dxa"/>
            <w:vMerge w:val="restart"/>
            <w:tcBorders>
              <w:top w:val="single" w:color="auto" w:sz="12" w:space="0"/>
              <w:left w:val="nil"/>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r>
              <w:rPr>
                <w:rFonts w:hint="eastAsia" w:cs="Times New Roman"/>
                <w:kern w:val="0"/>
                <w:sz w:val="21"/>
                <w:szCs w:val="20"/>
              </w:rPr>
              <w:t>重点污染防渗区</w:t>
            </w:r>
          </w:p>
        </w:tc>
        <w:tc>
          <w:tcPr>
            <w:tcW w:w="2774" w:type="dxa"/>
            <w:tcBorders>
              <w:top w:val="single" w:color="auto" w:sz="12"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cs="Times New Roman"/>
                <w:bCs/>
                <w:snapToGrid w:val="0"/>
                <w:kern w:val="0"/>
                <w:sz w:val="21"/>
                <w:szCs w:val="20"/>
              </w:rPr>
              <w:t>1#</w:t>
            </w:r>
            <w:r>
              <w:rPr>
                <w:rFonts w:hint="eastAsia" w:cs="Times New Roman"/>
                <w:bCs/>
                <w:snapToGrid w:val="0"/>
                <w:kern w:val="0"/>
                <w:sz w:val="21"/>
                <w:szCs w:val="20"/>
              </w:rPr>
              <w:t>和</w:t>
            </w:r>
            <w:r>
              <w:rPr>
                <w:rFonts w:cs="Times New Roman"/>
                <w:bCs/>
                <w:snapToGrid w:val="0"/>
                <w:kern w:val="0"/>
                <w:sz w:val="21"/>
                <w:szCs w:val="20"/>
              </w:rPr>
              <w:t>2#</w:t>
            </w:r>
            <w:r>
              <w:rPr>
                <w:rFonts w:hint="eastAsia" w:cs="Times New Roman"/>
                <w:bCs/>
                <w:snapToGrid w:val="0"/>
                <w:kern w:val="0"/>
                <w:sz w:val="21"/>
                <w:szCs w:val="20"/>
              </w:rPr>
              <w:t>危废仓库、综合仓库、危废暂存车间、3#危废仓库</w:t>
            </w:r>
          </w:p>
        </w:tc>
        <w:tc>
          <w:tcPr>
            <w:tcW w:w="2677" w:type="dxa"/>
            <w:tcBorders>
              <w:top w:val="single" w:color="auto" w:sz="12"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防渗等级等效</w:t>
            </w:r>
            <w:r>
              <w:rPr>
                <w:rFonts w:cs="Times New Roman"/>
                <w:kern w:val="0"/>
                <w:sz w:val="21"/>
                <w:szCs w:val="20"/>
              </w:rPr>
              <w:t>2mm</w:t>
            </w:r>
            <w:r>
              <w:rPr>
                <w:rFonts w:hint="eastAsia" w:cs="Times New Roman"/>
                <w:kern w:val="0"/>
                <w:sz w:val="21"/>
                <w:szCs w:val="20"/>
              </w:rPr>
              <w:t>高密度人工聚乙烯，或其他人工材料，渗透系数不大于</w:t>
            </w:r>
            <w:r>
              <w:rPr>
                <w:rFonts w:cs="Times New Roman"/>
                <w:kern w:val="0"/>
                <w:sz w:val="21"/>
                <w:szCs w:val="20"/>
              </w:rPr>
              <w:t>10</w:t>
            </w:r>
            <w:r>
              <w:rPr>
                <w:rFonts w:cs="Times New Roman"/>
                <w:kern w:val="0"/>
                <w:sz w:val="21"/>
                <w:szCs w:val="20"/>
                <w:vertAlign w:val="superscript"/>
              </w:rPr>
              <w:t>-10</w:t>
            </w:r>
            <w:r>
              <w:rPr>
                <w:rFonts w:cs="Times New Roman"/>
                <w:kern w:val="0"/>
                <w:sz w:val="21"/>
                <w:szCs w:val="20"/>
              </w:rPr>
              <w:t>cm/s</w:t>
            </w:r>
            <w:r>
              <w:rPr>
                <w:rFonts w:hint="eastAsia" w:cs="Times New Roman"/>
                <w:kern w:val="0"/>
                <w:sz w:val="21"/>
                <w:szCs w:val="20"/>
              </w:rPr>
              <w:t>。</w:t>
            </w:r>
          </w:p>
        </w:tc>
        <w:tc>
          <w:tcPr>
            <w:tcW w:w="2142" w:type="dxa"/>
            <w:tcBorders>
              <w:top w:val="single" w:color="auto" w:sz="12" w:space="0"/>
              <w:left w:val="dotted" w:color="auto" w:sz="8" w:space="0"/>
              <w:bottom w:val="dotted" w:color="auto" w:sz="8" w:space="0"/>
              <w:right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按照</w:t>
            </w:r>
            <w:r>
              <w:rPr>
                <w:rFonts w:cs="Times New Roman"/>
                <w:kern w:val="0"/>
                <w:sz w:val="21"/>
                <w:szCs w:val="20"/>
              </w:rPr>
              <w:t>GB 18597 2001</w:t>
            </w:r>
            <w:r>
              <w:rPr>
                <w:rFonts w:hint="eastAsia" w:cs="Times New Roman"/>
                <w:kern w:val="0"/>
                <w:sz w:val="21"/>
                <w:szCs w:val="20"/>
              </w:rPr>
              <w:t>完善裙角等设施</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2045" w:type="dxa"/>
            <w:vMerge w:val="continue"/>
            <w:tcBorders>
              <w:top w:val="single" w:color="auto" w:sz="12"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277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物化车间、固化稳定化车间、焚烧车间可视范围内的地面</w:t>
            </w:r>
          </w:p>
        </w:tc>
        <w:tc>
          <w:tcPr>
            <w:tcW w:w="267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防渗等级等效</w:t>
            </w:r>
            <w:r>
              <w:rPr>
                <w:rFonts w:cs="Times New Roman"/>
                <w:kern w:val="0"/>
                <w:sz w:val="21"/>
                <w:szCs w:val="20"/>
              </w:rPr>
              <w:t>2mm</w:t>
            </w:r>
            <w:r>
              <w:rPr>
                <w:rFonts w:hint="eastAsia" w:cs="Times New Roman"/>
                <w:kern w:val="0"/>
                <w:sz w:val="21"/>
                <w:szCs w:val="20"/>
              </w:rPr>
              <w:t>高密度人工聚乙烯，或其他人工材料，渗透系数不大于</w:t>
            </w:r>
            <w:r>
              <w:rPr>
                <w:rFonts w:cs="Times New Roman"/>
                <w:kern w:val="0"/>
                <w:sz w:val="21"/>
                <w:szCs w:val="20"/>
              </w:rPr>
              <w:t>10</w:t>
            </w:r>
            <w:r>
              <w:rPr>
                <w:rFonts w:cs="Times New Roman"/>
                <w:kern w:val="0"/>
                <w:sz w:val="21"/>
                <w:szCs w:val="20"/>
                <w:vertAlign w:val="superscript"/>
              </w:rPr>
              <w:t>-10</w:t>
            </w:r>
            <w:r>
              <w:rPr>
                <w:rFonts w:cs="Times New Roman"/>
                <w:kern w:val="0"/>
                <w:sz w:val="21"/>
                <w:szCs w:val="20"/>
              </w:rPr>
              <w:t>cm/s</w:t>
            </w:r>
            <w:r>
              <w:rPr>
                <w:rFonts w:hint="eastAsia" w:cs="Times New Roman"/>
                <w:kern w:val="0"/>
                <w:sz w:val="21"/>
                <w:szCs w:val="20"/>
              </w:rPr>
              <w:t>。</w:t>
            </w:r>
          </w:p>
        </w:tc>
        <w:tc>
          <w:tcPr>
            <w:tcW w:w="2142" w:type="dxa"/>
            <w:tcBorders>
              <w:top w:val="dotted" w:color="auto" w:sz="8" w:space="0"/>
              <w:left w:val="dotted" w:color="auto" w:sz="8" w:space="0"/>
              <w:bottom w:val="dotted" w:color="auto" w:sz="8" w:space="0"/>
              <w:right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2045" w:type="dxa"/>
            <w:vMerge w:val="continue"/>
            <w:tcBorders>
              <w:top w:val="single" w:color="auto" w:sz="12" w:space="0"/>
              <w:left w:val="nil"/>
              <w:bottom w:val="dotted" w:color="auto" w:sz="8" w:space="0"/>
              <w:right w:val="dotted" w:color="auto" w:sz="8" w:space="0"/>
            </w:tcBorders>
            <w:vAlign w:val="center"/>
          </w:tcPr>
          <w:p>
            <w:pPr>
              <w:widowControl/>
              <w:spacing w:line="240" w:lineRule="atLeast"/>
              <w:ind w:firstLine="0" w:firstLineChars="0"/>
              <w:jc w:val="left"/>
              <w:rPr>
                <w:rFonts w:cs="Times New Roman"/>
                <w:kern w:val="0"/>
                <w:sz w:val="21"/>
                <w:szCs w:val="20"/>
              </w:rPr>
            </w:pPr>
          </w:p>
        </w:tc>
        <w:tc>
          <w:tcPr>
            <w:tcW w:w="277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废液储罐、厂区所有污水处理系统、所有半地下污水池、所有地埋式污水管道</w:t>
            </w:r>
          </w:p>
        </w:tc>
        <w:tc>
          <w:tcPr>
            <w:tcW w:w="267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防渗等级等效于</w:t>
            </w:r>
            <w:r>
              <w:rPr>
                <w:rFonts w:cs="Times New Roman"/>
                <w:kern w:val="0"/>
                <w:sz w:val="21"/>
                <w:szCs w:val="20"/>
              </w:rPr>
              <w:t>6m</w:t>
            </w:r>
            <w:r>
              <w:rPr>
                <w:rFonts w:hint="eastAsia" w:cs="Times New Roman"/>
                <w:kern w:val="0"/>
                <w:sz w:val="21"/>
                <w:szCs w:val="20"/>
              </w:rPr>
              <w:t>厚粘土，渗透系数不大于</w:t>
            </w:r>
            <w:r>
              <w:rPr>
                <w:rFonts w:cs="Times New Roman"/>
                <w:kern w:val="0"/>
                <w:sz w:val="21"/>
                <w:szCs w:val="20"/>
              </w:rPr>
              <w:t>10</w:t>
            </w:r>
            <w:r>
              <w:rPr>
                <w:rFonts w:cs="Times New Roman"/>
                <w:kern w:val="0"/>
                <w:sz w:val="21"/>
                <w:szCs w:val="20"/>
                <w:vertAlign w:val="superscript"/>
              </w:rPr>
              <w:t>-7</w:t>
            </w:r>
            <w:r>
              <w:rPr>
                <w:rFonts w:cs="Times New Roman"/>
                <w:kern w:val="0"/>
                <w:sz w:val="21"/>
                <w:szCs w:val="20"/>
              </w:rPr>
              <w:t>cm/s</w:t>
            </w:r>
          </w:p>
        </w:tc>
        <w:tc>
          <w:tcPr>
            <w:tcW w:w="2142" w:type="dxa"/>
            <w:tcBorders>
              <w:top w:val="dotted" w:color="auto" w:sz="8" w:space="0"/>
              <w:left w:val="dotted" w:color="auto" w:sz="8" w:space="0"/>
              <w:bottom w:val="dotted" w:color="auto" w:sz="8" w:space="0"/>
              <w:right w:val="nil"/>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参照</w:t>
            </w:r>
            <w:r>
              <w:rPr>
                <w:rFonts w:cs="Times New Roman"/>
                <w:kern w:val="0"/>
                <w:sz w:val="21"/>
                <w:szCs w:val="20"/>
              </w:rPr>
              <w:t>GB/T 50934</w:t>
            </w:r>
            <w:r>
              <w:rPr>
                <w:rFonts w:hint="eastAsia" w:cs="Times New Roman"/>
                <w:kern w:val="0"/>
                <w:sz w:val="21"/>
                <w:szCs w:val="20"/>
              </w:rPr>
              <w:t>对储罐完善相关设</w:t>
            </w: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2045" w:type="dxa"/>
            <w:tcBorders>
              <w:top w:val="dotted" w:color="auto" w:sz="8" w:space="0"/>
              <w:left w:val="nil"/>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r>
              <w:rPr>
                <w:rFonts w:hint="eastAsia" w:cs="Times New Roman"/>
                <w:kern w:val="0"/>
                <w:sz w:val="21"/>
                <w:szCs w:val="20"/>
              </w:rPr>
              <w:t>一般污染防渗区</w:t>
            </w:r>
          </w:p>
        </w:tc>
        <w:tc>
          <w:tcPr>
            <w:tcW w:w="2774"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事故应急池、初期雨水收集池、安全填埋场洗车台</w:t>
            </w:r>
          </w:p>
        </w:tc>
        <w:tc>
          <w:tcPr>
            <w:tcW w:w="2677" w:type="dxa"/>
            <w:tcBorders>
              <w:top w:val="dotted" w:color="auto" w:sz="8" w:space="0"/>
              <w:left w:val="dotted" w:color="auto" w:sz="8" w:space="0"/>
              <w:bottom w:val="dotted" w:color="auto" w:sz="8" w:space="0"/>
              <w:right w:val="dotted" w:color="auto" w:sz="8" w:space="0"/>
            </w:tcBorders>
            <w:tcMar>
              <w:top w:w="0" w:type="dxa"/>
              <w:left w:w="0" w:type="dxa"/>
              <w:bottom w:w="0" w:type="dxa"/>
              <w:right w:w="0" w:type="dxa"/>
            </w:tcMar>
            <w:vAlign w:val="center"/>
          </w:tcPr>
          <w:p>
            <w:pPr>
              <w:spacing w:line="240" w:lineRule="atLeast"/>
              <w:ind w:firstLine="0" w:firstLineChars="0"/>
              <w:rPr>
                <w:rFonts w:cs="Times New Roman"/>
                <w:kern w:val="0"/>
                <w:sz w:val="21"/>
                <w:szCs w:val="20"/>
              </w:rPr>
            </w:pPr>
            <w:r>
              <w:rPr>
                <w:rFonts w:hint="eastAsia" w:cs="Times New Roman"/>
                <w:kern w:val="0"/>
                <w:sz w:val="21"/>
                <w:szCs w:val="20"/>
              </w:rPr>
              <w:t>防渗等级等效于</w:t>
            </w:r>
            <w:r>
              <w:rPr>
                <w:rFonts w:cs="Times New Roman"/>
                <w:kern w:val="0"/>
                <w:sz w:val="21"/>
                <w:szCs w:val="20"/>
              </w:rPr>
              <w:t>1.5m</w:t>
            </w:r>
            <w:r>
              <w:rPr>
                <w:rFonts w:hint="eastAsia" w:cs="Times New Roman"/>
                <w:kern w:val="0"/>
                <w:sz w:val="21"/>
                <w:szCs w:val="20"/>
              </w:rPr>
              <w:t>厚粘土，渗透系数不大于</w:t>
            </w:r>
            <w:r>
              <w:rPr>
                <w:rFonts w:cs="Times New Roman"/>
                <w:kern w:val="0"/>
                <w:sz w:val="21"/>
                <w:szCs w:val="20"/>
              </w:rPr>
              <w:t>10</w:t>
            </w:r>
            <w:r>
              <w:rPr>
                <w:rFonts w:cs="Times New Roman"/>
                <w:kern w:val="0"/>
                <w:sz w:val="21"/>
                <w:szCs w:val="20"/>
                <w:vertAlign w:val="superscript"/>
              </w:rPr>
              <w:t>-7</w:t>
            </w:r>
            <w:r>
              <w:rPr>
                <w:rFonts w:cs="Times New Roman"/>
                <w:kern w:val="0"/>
                <w:sz w:val="21"/>
                <w:szCs w:val="20"/>
              </w:rPr>
              <w:t>cm/s</w:t>
            </w:r>
          </w:p>
        </w:tc>
        <w:tc>
          <w:tcPr>
            <w:tcW w:w="2142" w:type="dxa"/>
            <w:tcBorders>
              <w:top w:val="dotted" w:color="auto" w:sz="8" w:space="0"/>
              <w:left w:val="dotted" w:color="auto" w:sz="8" w:space="0"/>
              <w:bottom w:val="dotted" w:color="auto" w:sz="8" w:space="0"/>
              <w:right w:val="nil"/>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p>
        </w:tc>
      </w:tr>
      <w:tr>
        <w:tblPrEx>
          <w:tblBorders>
            <w:top w:val="single" w:color="auto" w:sz="12" w:space="0"/>
            <w:left w:val="none" w:color="auto" w:sz="0" w:space="0"/>
            <w:bottom w:val="single" w:color="auto" w:sz="12" w:space="0"/>
            <w:right w:val="none" w:color="auto" w:sz="0" w:space="0"/>
            <w:insideH w:val="dotted" w:color="auto" w:sz="8" w:space="0"/>
            <w:insideV w:val="dotted" w:color="auto" w:sz="8" w:space="0"/>
          </w:tblBorders>
          <w:tblCellMar>
            <w:top w:w="0" w:type="dxa"/>
            <w:left w:w="108" w:type="dxa"/>
            <w:bottom w:w="0" w:type="dxa"/>
            <w:right w:w="108" w:type="dxa"/>
          </w:tblCellMar>
        </w:tblPrEx>
        <w:trPr>
          <w:cantSplit/>
        </w:trPr>
        <w:tc>
          <w:tcPr>
            <w:tcW w:w="2045" w:type="dxa"/>
            <w:tcBorders>
              <w:top w:val="dotted" w:color="auto" w:sz="8" w:space="0"/>
              <w:left w:val="nil"/>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r>
              <w:rPr>
                <w:rFonts w:hint="eastAsia" w:cs="Times New Roman"/>
                <w:kern w:val="0"/>
                <w:sz w:val="21"/>
                <w:szCs w:val="20"/>
              </w:rPr>
              <w:t>简单污染防渗区</w:t>
            </w:r>
          </w:p>
        </w:tc>
        <w:tc>
          <w:tcPr>
            <w:tcW w:w="2774"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r>
              <w:rPr>
                <w:rFonts w:hint="eastAsia" w:cs="Times New Roman"/>
                <w:kern w:val="0"/>
                <w:sz w:val="21"/>
                <w:szCs w:val="20"/>
              </w:rPr>
              <w:t>其它区域</w:t>
            </w:r>
          </w:p>
        </w:tc>
        <w:tc>
          <w:tcPr>
            <w:tcW w:w="2677" w:type="dxa"/>
            <w:tcBorders>
              <w:top w:val="dotted" w:color="auto" w:sz="8" w:space="0"/>
              <w:left w:val="dotted" w:color="auto" w:sz="8" w:space="0"/>
              <w:bottom w:val="single" w:color="auto" w:sz="12" w:space="0"/>
              <w:right w:val="dotted" w:color="auto" w:sz="8" w:space="0"/>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r>
              <w:rPr>
                <w:rFonts w:hint="eastAsia" w:cs="Times New Roman"/>
                <w:kern w:val="0"/>
                <w:sz w:val="21"/>
                <w:szCs w:val="20"/>
              </w:rPr>
              <w:t>简单地面硬化</w:t>
            </w:r>
          </w:p>
        </w:tc>
        <w:tc>
          <w:tcPr>
            <w:tcW w:w="2142" w:type="dxa"/>
            <w:tcBorders>
              <w:top w:val="dotted" w:color="auto" w:sz="8" w:space="0"/>
              <w:left w:val="dotted" w:color="auto" w:sz="8" w:space="0"/>
              <w:bottom w:val="single" w:color="auto" w:sz="12" w:space="0"/>
              <w:right w:val="nil"/>
            </w:tcBorders>
            <w:tcMar>
              <w:top w:w="0" w:type="dxa"/>
              <w:left w:w="0" w:type="dxa"/>
              <w:bottom w:w="0" w:type="dxa"/>
              <w:right w:w="0" w:type="dxa"/>
            </w:tcMar>
            <w:vAlign w:val="center"/>
          </w:tcPr>
          <w:p>
            <w:pPr>
              <w:spacing w:line="240" w:lineRule="atLeast"/>
              <w:ind w:firstLine="0" w:firstLineChars="0"/>
              <w:jc w:val="center"/>
              <w:rPr>
                <w:rFonts w:cs="Times New Roman"/>
                <w:kern w:val="0"/>
                <w:sz w:val="21"/>
                <w:szCs w:val="20"/>
              </w:rPr>
            </w:pPr>
          </w:p>
        </w:tc>
      </w:tr>
    </w:tbl>
    <w:p>
      <w:pPr>
        <w:pStyle w:val="785"/>
        <w:snapToGrid w:val="0"/>
        <w:ind w:firstLine="480"/>
        <w:rPr>
          <w:color w:val="auto"/>
          <w:kern w:val="0"/>
        </w:rPr>
      </w:pPr>
    </w:p>
    <w:p>
      <w:pPr>
        <w:pStyle w:val="4"/>
        <w:rPr>
          <w:sz w:val="24"/>
          <w:lang w:val="zh-CN"/>
        </w:rPr>
      </w:pPr>
      <w:bookmarkStart w:id="540" w:name="_Toc503369040"/>
      <w:bookmarkStart w:id="541" w:name="_Toc354065889"/>
      <w:bookmarkStart w:id="542" w:name="_Toc13760270"/>
      <w:r>
        <w:rPr>
          <w:rFonts w:hint="eastAsia"/>
          <w:lang w:val="zh-CN"/>
        </w:rPr>
        <w:t>7.7污染防治“三同时”验收一览表</w:t>
      </w:r>
      <w:bookmarkEnd w:id="540"/>
      <w:bookmarkEnd w:id="541"/>
      <w:bookmarkEnd w:id="542"/>
    </w:p>
    <w:p>
      <w:pPr>
        <w:pStyle w:val="161"/>
        <w:ind w:firstLine="480"/>
        <w:rPr>
          <w:kern w:val="0"/>
        </w:rPr>
      </w:pPr>
      <w:r>
        <w:rPr>
          <w:rFonts w:hint="eastAsia"/>
        </w:rPr>
        <w:t>本项目污染防治“三同时”验收见表7.7—</w:t>
      </w:r>
      <w:r>
        <w:t>1</w:t>
      </w:r>
      <w:r>
        <w:rPr>
          <w:rFonts w:hint="eastAsia"/>
        </w:rPr>
        <w:t>。</w:t>
      </w:r>
    </w:p>
    <w:p>
      <w:pPr>
        <w:widowControl/>
        <w:ind w:firstLine="480"/>
        <w:jc w:val="left"/>
        <w:rPr>
          <w:rFonts w:ascii="宋体" w:hAnsi="Courier New"/>
          <w:kern w:val="0"/>
        </w:rPr>
        <w:sectPr>
          <w:pgSz w:w="11906" w:h="16838"/>
          <w:pgMar w:top="1418" w:right="1134" w:bottom="1418" w:left="1134" w:header="850" w:footer="850" w:gutter="0"/>
          <w:cols w:space="720" w:num="1"/>
          <w:docGrid w:linePitch="326" w:charSpace="0"/>
        </w:sectPr>
      </w:pPr>
    </w:p>
    <w:p>
      <w:pPr>
        <w:pStyle w:val="161"/>
        <w:ind w:firstLine="480"/>
        <w:rPr>
          <w:rFonts w:hAnsi="宋体"/>
          <w:kern w:val="0"/>
        </w:rPr>
      </w:pPr>
      <w:r>
        <w:rPr>
          <w:rFonts w:hint="eastAsia"/>
        </w:rPr>
        <w:t>表7.7—1</w:t>
      </w:r>
      <w:r>
        <w:rPr>
          <w:rFonts w:hint="eastAsia" w:hAnsi="宋体"/>
        </w:rPr>
        <w:t>污染防治</w:t>
      </w:r>
      <w:r>
        <w:t>“</w:t>
      </w:r>
      <w:r>
        <w:rPr>
          <w:rFonts w:hint="eastAsia" w:hAnsi="宋体"/>
        </w:rPr>
        <w:t>三同时</w:t>
      </w:r>
      <w:r>
        <w:t>”</w:t>
      </w:r>
      <w:r>
        <w:rPr>
          <w:rFonts w:hint="eastAsia" w:hAnsi="宋体"/>
        </w:rPr>
        <w:t>验收一览表</w:t>
      </w:r>
    </w:p>
    <w:tbl>
      <w:tblPr>
        <w:tblStyle w:val="88"/>
        <w:tblW w:w="13652"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054"/>
        <w:gridCol w:w="868"/>
        <w:gridCol w:w="109"/>
        <w:gridCol w:w="1472"/>
        <w:gridCol w:w="4713"/>
        <w:gridCol w:w="3085"/>
        <w:gridCol w:w="235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项目</w:t>
            </w:r>
          </w:p>
        </w:tc>
        <w:tc>
          <w:tcPr>
            <w:tcW w:w="2449" w:type="dxa"/>
            <w:gridSpan w:val="3"/>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污染来源</w:t>
            </w:r>
          </w:p>
        </w:tc>
        <w:tc>
          <w:tcPr>
            <w:tcW w:w="4713"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治理措施</w:t>
            </w:r>
          </w:p>
        </w:tc>
        <w:tc>
          <w:tcPr>
            <w:tcW w:w="3085"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主要污染物名称</w:t>
            </w:r>
          </w:p>
        </w:tc>
        <w:tc>
          <w:tcPr>
            <w:tcW w:w="2351"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拟达标准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一</w:t>
            </w:r>
          </w:p>
        </w:tc>
        <w:tc>
          <w:tcPr>
            <w:tcW w:w="12598"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大气污染防治措施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lang w:val="pt-BR"/>
              </w:rPr>
            </w:pPr>
            <w:r>
              <w:rPr>
                <w:rFonts w:hint="eastAsia"/>
                <w:sz w:val="21"/>
                <w:lang w:val="pt-BR"/>
              </w:rPr>
              <w:t>危废暂存库有组织废气</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lang w:val="pt-BR"/>
              </w:rPr>
              <w:t>经紫外光系统</w:t>
            </w:r>
            <w:r>
              <w:rPr>
                <w:sz w:val="21"/>
                <w:lang w:val="pt-BR"/>
              </w:rPr>
              <w:t>+</w:t>
            </w:r>
            <w:r>
              <w:rPr>
                <w:rFonts w:hint="eastAsia"/>
                <w:sz w:val="21"/>
                <w:lang w:val="pt-BR"/>
              </w:rPr>
              <w:t>活性炭纤维有机废气净化器处理后，由</w:t>
            </w:r>
            <w:r>
              <w:rPr>
                <w:sz w:val="21"/>
                <w:lang w:val="pt-BR"/>
              </w:rPr>
              <w:t>20m</w:t>
            </w:r>
            <w:r>
              <w:rPr>
                <w:rFonts w:hint="eastAsia"/>
                <w:sz w:val="21"/>
                <w:lang w:val="pt-BR"/>
              </w:rPr>
              <w:t>烟囱排放。各污染物去除效率为</w:t>
            </w:r>
            <w:r>
              <w:rPr>
                <w:sz w:val="21"/>
                <w:lang w:val="pt-BR"/>
              </w:rPr>
              <w:t>80%</w:t>
            </w:r>
            <w:r>
              <w:rPr>
                <w:rFonts w:hint="eastAsia"/>
                <w:sz w:val="21"/>
                <w:lang w:val="pt-BR"/>
              </w:rPr>
              <w:t>。</w:t>
            </w:r>
          </w:p>
        </w:tc>
        <w:tc>
          <w:tcPr>
            <w:tcW w:w="3085"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sz w:val="21"/>
              </w:rPr>
            </w:pPr>
            <w:r>
              <w:rPr>
                <w:sz w:val="21"/>
              </w:rPr>
              <w:t>VOC</w:t>
            </w:r>
            <w:r>
              <w:rPr>
                <w:rFonts w:hint="eastAsia"/>
                <w:sz w:val="21"/>
              </w:rPr>
              <w:t>、</w:t>
            </w:r>
            <w:r>
              <w:rPr>
                <w:sz w:val="21"/>
              </w:rPr>
              <w:t>H</w:t>
            </w:r>
            <w:r>
              <w:rPr>
                <w:sz w:val="21"/>
                <w:vertAlign w:val="subscript"/>
              </w:rPr>
              <w:t>2</w:t>
            </w:r>
            <w:r>
              <w:rPr>
                <w:sz w:val="21"/>
              </w:rPr>
              <w:t>S</w:t>
            </w:r>
            <w:r>
              <w:rPr>
                <w:rFonts w:hint="eastAsia"/>
                <w:sz w:val="21"/>
              </w:rPr>
              <w:t>、</w:t>
            </w:r>
            <w:r>
              <w:rPr>
                <w:sz w:val="21"/>
              </w:rPr>
              <w:t>NH</w:t>
            </w:r>
            <w:r>
              <w:rPr>
                <w:sz w:val="21"/>
                <w:vertAlign w:val="subscript"/>
              </w:rPr>
              <w:t>3</w:t>
            </w:r>
          </w:p>
        </w:tc>
        <w:tc>
          <w:tcPr>
            <w:tcW w:w="2351"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kern w:val="0"/>
                <w:sz w:val="21"/>
              </w:rPr>
              <w:t>《工业企业挥发性有机物排放控制标准》</w:t>
            </w:r>
            <w:r>
              <w:rPr>
                <w:kern w:val="0"/>
                <w:sz w:val="21"/>
              </w:rPr>
              <w:t>(DB13 2322-2016)</w:t>
            </w:r>
            <w:r>
              <w:rPr>
                <w:rFonts w:hint="eastAsia"/>
                <w:kern w:val="0"/>
                <w:sz w:val="21"/>
              </w:rPr>
              <w:t>表</w:t>
            </w:r>
            <w:r>
              <w:rPr>
                <w:kern w:val="0"/>
                <w:sz w:val="21"/>
              </w:rPr>
              <w:t>1</w:t>
            </w:r>
            <w:r>
              <w:rPr>
                <w:rFonts w:hint="eastAsia"/>
                <w:kern w:val="0"/>
                <w:sz w:val="21"/>
              </w:rPr>
              <w:t>中其他行业非甲烷总烃排放限值</w:t>
            </w:r>
          </w:p>
          <w:p>
            <w:pPr>
              <w:spacing w:line="240" w:lineRule="atLeast"/>
              <w:ind w:firstLine="0" w:firstLineChars="0"/>
              <w:rPr>
                <w:sz w:val="21"/>
              </w:rPr>
            </w:pPr>
            <w:r>
              <w:rPr>
                <w:rFonts w:hint="eastAsia"/>
                <w:sz w:val="21"/>
              </w:rPr>
              <w:t>《恶臭污染物综合排放标准》</w:t>
            </w:r>
            <w:r>
              <w:rPr>
                <w:sz w:val="21"/>
              </w:rPr>
              <w:t>(GB14554-93)</w:t>
            </w:r>
            <w:r>
              <w:rPr>
                <w:rFonts w:hint="eastAsia"/>
                <w:sz w:val="21"/>
              </w:rPr>
              <w:t>中表</w:t>
            </w:r>
            <w:r>
              <w:rPr>
                <w:sz w:val="21"/>
              </w:rPr>
              <w:t>2</w:t>
            </w:r>
            <w:r>
              <w:rPr>
                <w:rFonts w:hint="eastAsia"/>
                <w:sz w:val="21"/>
              </w:rPr>
              <w:t>二级标准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835"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lang w:val="pt-BR"/>
              </w:rPr>
              <w:t>中和反应池排气</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lang w:val="pt-BR"/>
              </w:rPr>
              <w:t>送至酸雾吸收塔与碱液充分反应后，由</w:t>
            </w:r>
            <w:r>
              <w:rPr>
                <w:sz w:val="21"/>
                <w:lang w:val="pt-BR"/>
              </w:rPr>
              <w:t>20m</w:t>
            </w:r>
            <w:r>
              <w:rPr>
                <w:rFonts w:hint="eastAsia"/>
                <w:sz w:val="21"/>
                <w:lang w:val="pt-BR"/>
              </w:rPr>
              <w:t>烟囱排放。各污染物去除效率为</w:t>
            </w:r>
            <w:r>
              <w:rPr>
                <w:sz w:val="21"/>
                <w:lang w:val="pt-BR"/>
              </w:rPr>
              <w:t>95%</w:t>
            </w:r>
            <w:r>
              <w:rPr>
                <w:rFonts w:hint="eastAsia"/>
                <w:sz w:val="21"/>
                <w:lang w:val="pt-BR"/>
              </w:rPr>
              <w:t>。</w:t>
            </w:r>
          </w:p>
        </w:tc>
        <w:tc>
          <w:tcPr>
            <w:tcW w:w="30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酸雾</w:t>
            </w:r>
          </w:p>
        </w:tc>
        <w:tc>
          <w:tcPr>
            <w:tcW w:w="2351"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《大气污染物综合排放标准》</w:t>
            </w:r>
            <w:r>
              <w:rPr>
                <w:sz w:val="21"/>
              </w:rPr>
              <w:t>(GB16297</w:t>
            </w:r>
            <w:r>
              <w:rPr>
                <w:rFonts w:hint="eastAsia"/>
                <w:sz w:val="21"/>
              </w:rPr>
              <w:t>－</w:t>
            </w:r>
            <w:r>
              <w:rPr>
                <w:sz w:val="21"/>
              </w:rPr>
              <w:t xml:space="preserve">1996) </w:t>
            </w:r>
            <w:r>
              <w:rPr>
                <w:rFonts w:hint="eastAsia"/>
                <w:sz w:val="21"/>
              </w:rPr>
              <w:t>新污染源二级标准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焚烧废气</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lang w:val="pt-BR"/>
              </w:rPr>
            </w:pPr>
            <w:r>
              <w:rPr>
                <w:rFonts w:hint="eastAsia"/>
                <w:sz w:val="21"/>
                <w:lang w:val="pt-BR"/>
              </w:rPr>
              <w:t>焚烧废气经</w:t>
            </w:r>
            <w:r>
              <w:rPr>
                <w:sz w:val="21"/>
                <w:lang w:val="pt-BR"/>
              </w:rPr>
              <w:t>SNCR</w:t>
            </w:r>
            <w:r>
              <w:rPr>
                <w:rFonts w:hint="eastAsia"/>
                <w:sz w:val="21"/>
                <w:lang w:val="pt-BR"/>
              </w:rPr>
              <w:t>脱硝系统</w:t>
            </w:r>
            <w:r>
              <w:rPr>
                <w:sz w:val="21"/>
                <w:lang w:val="pt-BR"/>
              </w:rPr>
              <w:t>+</w:t>
            </w:r>
            <w:r>
              <w:rPr>
                <w:rFonts w:hint="eastAsia"/>
                <w:sz w:val="21"/>
                <w:lang w:val="pt-BR"/>
              </w:rPr>
              <w:t>急冷塔</w:t>
            </w:r>
            <w:r>
              <w:rPr>
                <w:sz w:val="21"/>
                <w:lang w:val="pt-BR"/>
              </w:rPr>
              <w:t>+</w:t>
            </w:r>
            <w:r>
              <w:rPr>
                <w:rFonts w:hint="eastAsia"/>
                <w:sz w:val="21"/>
                <w:lang w:val="pt-BR"/>
              </w:rPr>
              <w:t>循环流化床脱酸系统</w:t>
            </w:r>
            <w:r>
              <w:rPr>
                <w:sz w:val="21"/>
                <w:lang w:val="pt-BR"/>
              </w:rPr>
              <w:t>+</w:t>
            </w:r>
            <w:r>
              <w:rPr>
                <w:rFonts w:hint="eastAsia"/>
                <w:sz w:val="21"/>
                <w:lang w:val="pt-BR"/>
              </w:rPr>
              <w:t>袋式除尘器</w:t>
            </w:r>
            <w:r>
              <w:rPr>
                <w:sz w:val="21"/>
                <w:lang w:val="pt-BR"/>
              </w:rPr>
              <w:t>+</w:t>
            </w:r>
            <w:r>
              <w:rPr>
                <w:rFonts w:hint="eastAsia"/>
                <w:sz w:val="21"/>
                <w:lang w:val="pt-BR"/>
              </w:rPr>
              <w:t>湿法脱酸系统</w:t>
            </w:r>
            <w:r>
              <w:rPr>
                <w:sz w:val="21"/>
                <w:lang w:val="pt-BR"/>
              </w:rPr>
              <w:t>+</w:t>
            </w:r>
            <w:r>
              <w:rPr>
                <w:rFonts w:hint="eastAsia"/>
                <w:sz w:val="21"/>
                <w:lang w:val="pt-BR"/>
              </w:rPr>
              <w:t>湿电除尘+尾气加热后，由</w:t>
            </w:r>
            <w:r>
              <w:rPr>
                <w:sz w:val="21"/>
                <w:lang w:val="pt-BR"/>
              </w:rPr>
              <w:t>5</w:t>
            </w:r>
            <w:r>
              <w:rPr>
                <w:rFonts w:hint="eastAsia"/>
                <w:sz w:val="21"/>
                <w:lang w:val="pt-BR"/>
              </w:rPr>
              <w:t>0</w:t>
            </w:r>
            <w:r>
              <w:rPr>
                <w:sz w:val="21"/>
                <w:lang w:val="pt-BR"/>
              </w:rPr>
              <w:t>m</w:t>
            </w:r>
            <w:r>
              <w:rPr>
                <w:rFonts w:hint="eastAsia"/>
                <w:sz w:val="21"/>
                <w:lang w:val="pt-BR"/>
              </w:rPr>
              <w:t>烟囱排放。各污染物去除效率如下：烟尘</w:t>
            </w:r>
            <w:r>
              <w:rPr>
                <w:sz w:val="21"/>
                <w:lang w:val="pt-BR"/>
              </w:rPr>
              <w:t xml:space="preserve"> 99%</w:t>
            </w:r>
            <w:r>
              <w:rPr>
                <w:rFonts w:hint="eastAsia"/>
                <w:sz w:val="21"/>
                <w:lang w:val="pt-BR"/>
              </w:rPr>
              <w:t>；</w:t>
            </w:r>
            <w:r>
              <w:rPr>
                <w:sz w:val="21"/>
              </w:rPr>
              <w:t>SO</w:t>
            </w:r>
            <w:r>
              <w:rPr>
                <w:sz w:val="21"/>
                <w:vertAlign w:val="subscript"/>
              </w:rPr>
              <w:t>2</w:t>
            </w:r>
            <w:r>
              <w:rPr>
                <w:sz w:val="21"/>
                <w:lang w:val="pt-BR"/>
              </w:rPr>
              <w:t xml:space="preserve"> 90%</w:t>
            </w:r>
            <w:r>
              <w:rPr>
                <w:rFonts w:hint="eastAsia"/>
                <w:sz w:val="21"/>
                <w:lang w:val="pt-BR"/>
              </w:rPr>
              <w:t>；</w:t>
            </w:r>
            <w:r>
              <w:rPr>
                <w:sz w:val="21"/>
              </w:rPr>
              <w:t>NO</w:t>
            </w:r>
            <w:r>
              <w:rPr>
                <w:sz w:val="21"/>
                <w:vertAlign w:val="subscript"/>
              </w:rPr>
              <w:t>X</w:t>
            </w:r>
            <w:r>
              <w:rPr>
                <w:sz w:val="21"/>
                <w:lang w:val="pt-BR"/>
              </w:rPr>
              <w:t xml:space="preserve"> 40%</w:t>
            </w:r>
            <w:r>
              <w:rPr>
                <w:rFonts w:hint="eastAsia"/>
                <w:sz w:val="21"/>
                <w:lang w:val="pt-BR"/>
              </w:rPr>
              <w:t>；</w:t>
            </w:r>
            <w:r>
              <w:rPr>
                <w:sz w:val="21"/>
              </w:rPr>
              <w:t>HCl</w:t>
            </w:r>
            <w:r>
              <w:rPr>
                <w:sz w:val="21"/>
                <w:lang w:val="pt-BR"/>
              </w:rPr>
              <w:t xml:space="preserve"> 98%</w:t>
            </w:r>
            <w:r>
              <w:rPr>
                <w:rFonts w:hint="eastAsia"/>
                <w:sz w:val="21"/>
                <w:lang w:val="pt-BR"/>
              </w:rPr>
              <w:t>；</w:t>
            </w:r>
            <w:r>
              <w:rPr>
                <w:sz w:val="21"/>
              </w:rPr>
              <w:t>HF</w:t>
            </w:r>
            <w:r>
              <w:rPr>
                <w:sz w:val="21"/>
                <w:lang w:val="pt-BR"/>
              </w:rPr>
              <w:t xml:space="preserve"> 98%</w:t>
            </w:r>
            <w:r>
              <w:rPr>
                <w:rFonts w:hint="eastAsia"/>
                <w:sz w:val="21"/>
                <w:lang w:val="pt-BR"/>
              </w:rPr>
              <w:t>；各重金属</w:t>
            </w:r>
            <w:r>
              <w:rPr>
                <w:sz w:val="21"/>
                <w:lang w:val="pt-BR"/>
              </w:rPr>
              <w:t xml:space="preserve"> 90%</w:t>
            </w:r>
            <w:r>
              <w:rPr>
                <w:rFonts w:hint="eastAsia"/>
                <w:sz w:val="21"/>
                <w:lang w:val="pt-BR"/>
              </w:rPr>
              <w:t>；二噁英类</w:t>
            </w:r>
            <w:r>
              <w:rPr>
                <w:sz w:val="21"/>
                <w:lang w:val="pt-BR"/>
              </w:rPr>
              <w:t xml:space="preserve"> 98%</w:t>
            </w:r>
            <w:r>
              <w:rPr>
                <w:rFonts w:hint="eastAsia"/>
                <w:sz w:val="21"/>
                <w:lang w:val="pt-BR"/>
              </w:rPr>
              <w:t>。</w:t>
            </w:r>
          </w:p>
          <w:p>
            <w:pPr>
              <w:spacing w:line="240" w:lineRule="atLeast"/>
              <w:ind w:firstLine="0" w:firstLineChars="0"/>
              <w:rPr>
                <w:sz w:val="21"/>
                <w:lang w:val="pt-BR"/>
              </w:rPr>
            </w:pPr>
            <w:r>
              <w:rPr>
                <w:rFonts w:hint="eastAsia"/>
                <w:sz w:val="21"/>
                <w:lang w:val="pt-BR"/>
              </w:rPr>
              <w:t>焚烧烟气设置在线监测系统，对</w:t>
            </w:r>
            <w:r>
              <w:rPr>
                <w:rFonts w:hint="eastAsia" w:ascii="宋体" w:cs="宋体"/>
                <w:kern w:val="0"/>
                <w:sz w:val="21"/>
              </w:rPr>
              <w:t>气量，湿度、温度、压力、烟尘、</w:t>
            </w:r>
            <w:r>
              <w:rPr>
                <w:kern w:val="0"/>
                <w:sz w:val="21"/>
              </w:rPr>
              <w:t>SO</w:t>
            </w:r>
            <w:r>
              <w:rPr>
                <w:kern w:val="0"/>
                <w:sz w:val="21"/>
                <w:vertAlign w:val="subscript"/>
              </w:rPr>
              <w:t>2</w:t>
            </w:r>
            <w:r>
              <w:rPr>
                <w:rFonts w:hint="eastAsia" w:ascii="宋体" w:cs="宋体"/>
                <w:kern w:val="0"/>
                <w:sz w:val="21"/>
              </w:rPr>
              <w:t>、</w:t>
            </w:r>
            <w:r>
              <w:rPr>
                <w:kern w:val="0"/>
                <w:sz w:val="21"/>
              </w:rPr>
              <w:t>NOx</w:t>
            </w:r>
            <w:r>
              <w:rPr>
                <w:rFonts w:hint="eastAsia" w:ascii="宋体" w:cs="宋体"/>
                <w:kern w:val="0"/>
                <w:sz w:val="21"/>
              </w:rPr>
              <w:t xml:space="preserve">、 </w:t>
            </w:r>
            <w:r>
              <w:rPr>
                <w:kern w:val="0"/>
                <w:sz w:val="21"/>
              </w:rPr>
              <w:t xml:space="preserve">HCl </w:t>
            </w:r>
            <w:r>
              <w:rPr>
                <w:rFonts w:hint="eastAsia" w:ascii="宋体" w:cs="宋体"/>
                <w:kern w:val="0"/>
                <w:sz w:val="21"/>
              </w:rPr>
              <w:t>、</w:t>
            </w:r>
            <w:r>
              <w:rPr>
                <w:kern w:val="0"/>
                <w:sz w:val="21"/>
              </w:rPr>
              <w:t>HF</w:t>
            </w:r>
            <w:r>
              <w:rPr>
                <w:rFonts w:hint="eastAsia" w:ascii="宋体" w:cs="宋体"/>
                <w:kern w:val="0"/>
                <w:sz w:val="21"/>
              </w:rPr>
              <w:t xml:space="preserve">、 </w:t>
            </w:r>
            <w:r>
              <w:rPr>
                <w:kern w:val="0"/>
                <w:sz w:val="21"/>
              </w:rPr>
              <w:t>CO</w:t>
            </w:r>
            <w:r>
              <w:rPr>
                <w:rFonts w:hint="eastAsia"/>
                <w:kern w:val="0"/>
                <w:sz w:val="21"/>
              </w:rPr>
              <w:t>进行在线监测。</w:t>
            </w:r>
          </w:p>
        </w:tc>
        <w:tc>
          <w:tcPr>
            <w:tcW w:w="30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lang w:val="pt-BR"/>
              </w:rPr>
              <w:t>烟尘、</w:t>
            </w:r>
            <w:r>
              <w:rPr>
                <w:sz w:val="21"/>
              </w:rPr>
              <w:t>SO</w:t>
            </w:r>
            <w:r>
              <w:rPr>
                <w:sz w:val="21"/>
                <w:vertAlign w:val="subscript"/>
              </w:rPr>
              <w:t>2</w:t>
            </w:r>
            <w:r>
              <w:rPr>
                <w:rFonts w:hint="eastAsia"/>
                <w:sz w:val="21"/>
                <w:lang w:val="pt-BR"/>
              </w:rPr>
              <w:t>、</w:t>
            </w:r>
            <w:r>
              <w:rPr>
                <w:sz w:val="21"/>
              </w:rPr>
              <w:t>NO</w:t>
            </w:r>
            <w:r>
              <w:rPr>
                <w:sz w:val="21"/>
                <w:vertAlign w:val="subscript"/>
              </w:rPr>
              <w:t>X</w:t>
            </w:r>
            <w:r>
              <w:rPr>
                <w:rFonts w:hint="eastAsia"/>
                <w:sz w:val="21"/>
                <w:lang w:val="pt-BR"/>
              </w:rPr>
              <w:t>、</w:t>
            </w:r>
            <w:r>
              <w:rPr>
                <w:sz w:val="21"/>
              </w:rPr>
              <w:t>HCl</w:t>
            </w:r>
            <w:r>
              <w:rPr>
                <w:rFonts w:hint="eastAsia"/>
                <w:sz w:val="21"/>
                <w:lang w:val="pt-BR"/>
              </w:rPr>
              <w:t>、</w:t>
            </w:r>
            <w:r>
              <w:rPr>
                <w:sz w:val="21"/>
              </w:rPr>
              <w:t>HF</w:t>
            </w:r>
            <w:r>
              <w:rPr>
                <w:rFonts w:hint="eastAsia"/>
                <w:sz w:val="21"/>
                <w:lang w:val="pt-BR"/>
              </w:rPr>
              <w:t>、</w:t>
            </w:r>
            <w:r>
              <w:rPr>
                <w:sz w:val="21"/>
                <w:lang w:val="pt-BR"/>
              </w:rPr>
              <w:t>CO</w:t>
            </w:r>
            <w:r>
              <w:rPr>
                <w:rFonts w:hint="eastAsia"/>
                <w:sz w:val="21"/>
                <w:lang w:val="pt-BR"/>
              </w:rPr>
              <w:t>、重金属、二噁英类</w:t>
            </w:r>
          </w:p>
        </w:tc>
        <w:tc>
          <w:tcPr>
            <w:tcW w:w="2351"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《危险废物焚烧污染控制标准》</w:t>
            </w:r>
            <w:r>
              <w:rPr>
                <w:sz w:val="21"/>
              </w:rPr>
              <w:t>(GB18484</w:t>
            </w:r>
            <w:r>
              <w:rPr>
                <w:rFonts w:hint="eastAsia"/>
                <w:sz w:val="21"/>
              </w:rPr>
              <w:t>－</w:t>
            </w:r>
            <w:r>
              <w:rPr>
                <w:sz w:val="21"/>
              </w:rPr>
              <w:t xml:space="preserve">2001) </w:t>
            </w:r>
            <w:r>
              <w:rPr>
                <w:rFonts w:hint="eastAsia"/>
                <w:sz w:val="21"/>
              </w:rPr>
              <w:t>表</w:t>
            </w:r>
            <w:r>
              <w:rPr>
                <w:sz w:val="21"/>
              </w:rPr>
              <w:t>3</w:t>
            </w:r>
            <w:r>
              <w:rPr>
                <w:rFonts w:hint="eastAsia"/>
                <w:sz w:val="21"/>
              </w:rPr>
              <w:t>排放限值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lang w:val="pt-BR"/>
              </w:rPr>
            </w:pPr>
            <w:r>
              <w:rPr>
                <w:rFonts w:hint="eastAsia"/>
                <w:sz w:val="21"/>
                <w:lang w:val="pt-BR"/>
              </w:rPr>
              <w:t>转运及上料系统排气</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rFonts w:hAnsi="宋体"/>
                <w:sz w:val="21"/>
              </w:rPr>
            </w:pPr>
            <w:r>
              <w:rPr>
                <w:rFonts w:hint="eastAsia"/>
                <w:sz w:val="21"/>
                <w:lang w:val="pt-BR"/>
              </w:rPr>
              <w:t>经集气罩收集，后由布袋除尘器除尘后，由</w:t>
            </w:r>
            <w:r>
              <w:rPr>
                <w:sz w:val="21"/>
                <w:lang w:val="pt-BR"/>
              </w:rPr>
              <w:t>20m</w:t>
            </w:r>
            <w:r>
              <w:rPr>
                <w:rFonts w:hint="eastAsia"/>
                <w:sz w:val="21"/>
                <w:lang w:val="pt-BR"/>
              </w:rPr>
              <w:t>烟囱排放。污染物总去除效率为</w:t>
            </w:r>
            <w:r>
              <w:rPr>
                <w:sz w:val="21"/>
                <w:lang w:val="pt-BR"/>
              </w:rPr>
              <w:t>97%</w:t>
            </w:r>
            <w:r>
              <w:rPr>
                <w:rFonts w:hint="eastAsia"/>
                <w:sz w:val="21"/>
                <w:lang w:val="pt-BR"/>
              </w:rPr>
              <w:t>。</w:t>
            </w:r>
          </w:p>
        </w:tc>
        <w:tc>
          <w:tcPr>
            <w:tcW w:w="30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粉尘</w:t>
            </w:r>
          </w:p>
        </w:tc>
        <w:tc>
          <w:tcPr>
            <w:tcW w:w="2351"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《大气污染物综合排放标准》</w:t>
            </w:r>
            <w:r>
              <w:rPr>
                <w:sz w:val="21"/>
              </w:rPr>
              <w:t>(GB16297</w:t>
            </w:r>
            <w:r>
              <w:rPr>
                <w:rFonts w:hint="eastAsia"/>
                <w:sz w:val="21"/>
              </w:rPr>
              <w:t>－</w:t>
            </w:r>
            <w:r>
              <w:rPr>
                <w:sz w:val="21"/>
              </w:rPr>
              <w:t xml:space="preserve">1996) </w:t>
            </w:r>
            <w:r>
              <w:rPr>
                <w:rFonts w:hint="eastAsia"/>
                <w:sz w:val="21"/>
              </w:rPr>
              <w:t>新污染源二级标准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lang w:val="pt-BR"/>
              </w:rPr>
            </w:pPr>
            <w:r>
              <w:rPr>
                <w:rFonts w:hint="eastAsia"/>
                <w:sz w:val="21"/>
                <w:lang w:val="pt-BR"/>
              </w:rPr>
              <w:t>强制循环蒸发器排气</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lang w:val="pt-BR"/>
              </w:rPr>
            </w:pPr>
            <w:r>
              <w:rPr>
                <w:rFonts w:hint="eastAsia"/>
                <w:sz w:val="21"/>
                <w:lang w:val="pt-BR"/>
              </w:rPr>
              <w:t>经活性炭纤维有机废气净化器处理后，由</w:t>
            </w:r>
            <w:r>
              <w:rPr>
                <w:sz w:val="21"/>
                <w:lang w:val="pt-BR"/>
              </w:rPr>
              <w:t>15m</w:t>
            </w:r>
            <w:r>
              <w:rPr>
                <w:rFonts w:hint="eastAsia"/>
                <w:sz w:val="21"/>
                <w:lang w:val="pt-BR"/>
              </w:rPr>
              <w:t>烟囱排放，去除效率为</w:t>
            </w:r>
            <w:r>
              <w:rPr>
                <w:sz w:val="21"/>
                <w:lang w:val="pt-BR"/>
              </w:rPr>
              <w:t>80%</w:t>
            </w:r>
            <w:r>
              <w:rPr>
                <w:rFonts w:hint="eastAsia"/>
                <w:sz w:val="21"/>
                <w:lang w:val="pt-BR"/>
              </w:rPr>
              <w:t>。</w:t>
            </w:r>
          </w:p>
        </w:tc>
        <w:tc>
          <w:tcPr>
            <w:tcW w:w="30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臭气</w:t>
            </w:r>
          </w:p>
        </w:tc>
        <w:tc>
          <w:tcPr>
            <w:tcW w:w="2351"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《恶臭污染物综合排放标准》</w:t>
            </w:r>
            <w:r>
              <w:rPr>
                <w:sz w:val="21"/>
              </w:rPr>
              <w:t>(GB14554-93)</w:t>
            </w:r>
            <w:r>
              <w:rPr>
                <w:rFonts w:hint="eastAsia"/>
                <w:sz w:val="21"/>
              </w:rPr>
              <w:t>中表</w:t>
            </w:r>
            <w:r>
              <w:rPr>
                <w:sz w:val="21"/>
              </w:rPr>
              <w:t>2</w:t>
            </w:r>
            <w:r>
              <w:rPr>
                <w:rFonts w:hint="eastAsia"/>
                <w:sz w:val="21"/>
              </w:rPr>
              <w:t>二级标准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6"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二</w:t>
            </w:r>
          </w:p>
        </w:tc>
        <w:tc>
          <w:tcPr>
            <w:tcW w:w="12598"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水污染防治措施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生活污水</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经化粪池处理后送至厂区污水处理站，采用“絮凝沉淀</w:t>
            </w:r>
            <w:r>
              <w:rPr>
                <w:sz w:val="21"/>
              </w:rPr>
              <w:t>+</w:t>
            </w:r>
            <w:r>
              <w:rPr>
                <w:rFonts w:hint="eastAsia"/>
                <w:sz w:val="21"/>
              </w:rPr>
              <w:t>水解酸化</w:t>
            </w:r>
            <w:r>
              <w:rPr>
                <w:sz w:val="21"/>
              </w:rPr>
              <w:t>+MBR+</w:t>
            </w:r>
            <w:r>
              <w:rPr>
                <w:rFonts w:hint="eastAsia"/>
                <w:sz w:val="21"/>
              </w:rPr>
              <w:t>回用系统”的污水处理方式进行处理。</w:t>
            </w:r>
          </w:p>
        </w:tc>
        <w:tc>
          <w:tcPr>
            <w:tcW w:w="3085" w:type="dxa"/>
            <w:tcBorders>
              <w:top w:val="dotted" w:color="auto" w:sz="4" w:space="0"/>
              <w:left w:val="dotted" w:color="auto" w:sz="4" w:space="0"/>
              <w:bottom w:val="dotted" w:color="auto" w:sz="4" w:space="0"/>
              <w:right w:val="dotted" w:color="auto" w:sz="4" w:space="0"/>
            </w:tcBorders>
            <w:vAlign w:val="center"/>
          </w:tcPr>
          <w:p>
            <w:pPr>
              <w:pStyle w:val="178"/>
              <w:spacing w:line="240" w:lineRule="atLeast"/>
              <w:ind w:firstLine="0" w:firstLineChars="0"/>
              <w:rPr>
                <w:rFonts w:ascii="Times New Roman" w:hAnsi="Times New Roman"/>
                <w:kern w:val="0"/>
                <w:sz w:val="21"/>
              </w:rPr>
            </w:pPr>
            <w:r>
              <w:rPr>
                <w:rFonts w:ascii="Times New Roman" w:hAnsi="Times New Roman"/>
                <w:sz w:val="21"/>
              </w:rPr>
              <w:t>COD</w:t>
            </w:r>
            <w:r>
              <w:rPr>
                <w:rFonts w:hint="eastAsia" w:ascii="Times New Roman" w:hAnsi="Times New Roman"/>
                <w:sz w:val="21"/>
              </w:rPr>
              <w:t>、</w:t>
            </w:r>
            <w:r>
              <w:rPr>
                <w:rFonts w:ascii="Times New Roman" w:hAnsi="Times New Roman"/>
                <w:sz w:val="21"/>
              </w:rPr>
              <w:t>SS</w:t>
            </w:r>
            <w:r>
              <w:rPr>
                <w:rFonts w:hint="eastAsia" w:ascii="Times New Roman" w:hAnsi="Times New Roman"/>
                <w:sz w:val="21"/>
              </w:rPr>
              <w:t>、</w:t>
            </w:r>
            <w:r>
              <w:rPr>
                <w:rFonts w:ascii="Times New Roman" w:hAnsi="Times New Roman"/>
                <w:sz w:val="21"/>
              </w:rPr>
              <w:t>NH</w:t>
            </w:r>
            <w:r>
              <w:rPr>
                <w:rFonts w:ascii="Times New Roman" w:hAnsi="Times New Roman"/>
                <w:sz w:val="21"/>
                <w:vertAlign w:val="subscript"/>
              </w:rPr>
              <w:t>4</w:t>
            </w:r>
            <w:r>
              <w:rPr>
                <w:rFonts w:ascii="Times New Roman" w:hAnsi="Times New Roman"/>
                <w:sz w:val="21"/>
              </w:rPr>
              <w:t>-N</w:t>
            </w:r>
            <w:r>
              <w:rPr>
                <w:rFonts w:hint="eastAsia" w:ascii="Times New Roman" w:hAnsi="Times New Roman"/>
                <w:sz w:val="21"/>
              </w:rPr>
              <w:t>及</w:t>
            </w:r>
            <w:r>
              <w:rPr>
                <w:rFonts w:ascii="Times New Roman" w:hAnsi="Times New Roman"/>
                <w:sz w:val="21"/>
              </w:rPr>
              <w:t>BOD</w:t>
            </w:r>
            <w:r>
              <w:rPr>
                <w:rFonts w:ascii="Times New Roman" w:hAnsi="Times New Roman"/>
                <w:sz w:val="21"/>
                <w:vertAlign w:val="subscript"/>
              </w:rPr>
              <w:t>5</w:t>
            </w:r>
            <w:r>
              <w:rPr>
                <w:rFonts w:hint="eastAsia" w:ascii="Times New Roman" w:hAnsi="Times New Roman"/>
                <w:sz w:val="21"/>
              </w:rPr>
              <w:t>等有机物</w:t>
            </w:r>
          </w:p>
        </w:tc>
        <w:tc>
          <w:tcPr>
            <w:tcW w:w="2351"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《城市污水再生利用工业用水水质》</w:t>
            </w:r>
            <w:r>
              <w:rPr>
                <w:sz w:val="21"/>
              </w:rPr>
              <w:t>(GB/T19223-2005)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生产废水</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焚烧车间喷淋洗涤塔排水29.0</w:t>
            </w:r>
            <w:r>
              <w:rPr>
                <w:rFonts w:hAnsi="宋体"/>
                <w:sz w:val="21"/>
              </w:rPr>
              <w:t>t/d</w:t>
            </w:r>
            <w:r>
              <w:rPr>
                <w:rFonts w:hint="eastAsia" w:hAnsi="宋体"/>
                <w:sz w:val="21"/>
              </w:rPr>
              <w:t>由本车间污水处理模块经“絮凝沉淀”处理后送至污水处理站强制蒸发系统</w:t>
            </w:r>
            <w:r>
              <w:rPr>
                <w:rFonts w:hint="eastAsia"/>
                <w:sz w:val="21"/>
              </w:rPr>
              <w:t>；物化车间澄清池排水41.948</w:t>
            </w:r>
            <w:r>
              <w:rPr>
                <w:rFonts w:hAnsi="宋体"/>
                <w:sz w:val="21"/>
              </w:rPr>
              <w:t>t/d</w:t>
            </w:r>
            <w:r>
              <w:rPr>
                <w:rFonts w:hint="eastAsia" w:hAnsi="宋体"/>
                <w:sz w:val="21"/>
              </w:rPr>
              <w:t>和</w:t>
            </w:r>
            <w:r>
              <w:rPr>
                <w:rFonts w:hint="eastAsia"/>
                <w:sz w:val="21"/>
              </w:rPr>
              <w:t>沉淀池废水9.702</w:t>
            </w:r>
            <w:r>
              <w:rPr>
                <w:rFonts w:hAnsi="宋体"/>
                <w:sz w:val="21"/>
              </w:rPr>
              <w:t>t/d</w:t>
            </w:r>
            <w:r>
              <w:rPr>
                <w:rFonts w:hint="eastAsia" w:hAnsi="宋体"/>
                <w:sz w:val="21"/>
              </w:rPr>
              <w:t>经“絮凝沉淀”处理后</w:t>
            </w:r>
            <w:r>
              <w:rPr>
                <w:rFonts w:hint="eastAsia"/>
                <w:sz w:val="21"/>
              </w:rPr>
              <w:t>，</w:t>
            </w:r>
            <w:r>
              <w:rPr>
                <w:rFonts w:hint="eastAsia" w:hAnsi="宋体"/>
                <w:sz w:val="21"/>
              </w:rPr>
              <w:t>送至污水处理站强制蒸发系统</w:t>
            </w:r>
            <w:r>
              <w:rPr>
                <w:rFonts w:hint="eastAsia"/>
                <w:sz w:val="21"/>
              </w:rPr>
              <w:t>；物化车架酸雾吸收塔排水1.89</w:t>
            </w:r>
            <w:r>
              <w:rPr>
                <w:rFonts w:hAnsi="宋体"/>
                <w:sz w:val="21"/>
              </w:rPr>
              <w:t>t/d</w:t>
            </w:r>
            <w:r>
              <w:rPr>
                <w:rFonts w:hint="eastAsia" w:hAnsi="宋体"/>
                <w:sz w:val="21"/>
              </w:rPr>
              <w:t>、</w:t>
            </w:r>
            <w:r>
              <w:rPr>
                <w:rFonts w:hint="eastAsia"/>
                <w:sz w:val="21"/>
              </w:rPr>
              <w:t>冲洗废水20.0</w:t>
            </w:r>
            <w:r>
              <w:rPr>
                <w:rFonts w:hAnsi="宋体"/>
                <w:sz w:val="21"/>
              </w:rPr>
              <w:t>t/d</w:t>
            </w:r>
            <w:r>
              <w:rPr>
                <w:rFonts w:hint="eastAsia"/>
                <w:sz w:val="21"/>
              </w:rPr>
              <w:t>、安全填埋场渗滤液</w:t>
            </w:r>
            <w:r>
              <w:rPr>
                <w:sz w:val="21"/>
              </w:rPr>
              <w:t>8.6</w:t>
            </w:r>
            <w:r>
              <w:rPr>
                <w:rFonts w:hAnsi="宋体"/>
                <w:sz w:val="21"/>
              </w:rPr>
              <w:t>t/d</w:t>
            </w:r>
            <w:r>
              <w:rPr>
                <w:rFonts w:hint="eastAsia" w:hAnsi="宋体"/>
                <w:sz w:val="21"/>
              </w:rPr>
              <w:t>、循环水站</w:t>
            </w:r>
            <w:r>
              <w:rPr>
                <w:rFonts w:hint="eastAsia"/>
                <w:sz w:val="21"/>
              </w:rPr>
              <w:t>排水12.0</w:t>
            </w:r>
            <w:r>
              <w:rPr>
                <w:rFonts w:hAnsi="宋体"/>
                <w:sz w:val="21"/>
              </w:rPr>
              <w:t>t/d</w:t>
            </w:r>
            <w:r>
              <w:rPr>
                <w:rFonts w:hint="eastAsia" w:hAnsi="宋体"/>
                <w:sz w:val="21"/>
              </w:rPr>
              <w:t>、软化水站排水3.63</w:t>
            </w:r>
            <w:r>
              <w:rPr>
                <w:rFonts w:hAnsi="宋体"/>
                <w:sz w:val="21"/>
              </w:rPr>
              <w:t xml:space="preserve"> t/d</w:t>
            </w:r>
            <w:r>
              <w:rPr>
                <w:rFonts w:hint="eastAsia" w:hAnsi="宋体"/>
                <w:sz w:val="21"/>
              </w:rPr>
              <w:t>、余热锅炉排水11.50</w:t>
            </w:r>
            <w:r>
              <w:rPr>
                <w:rFonts w:hAnsi="宋体"/>
                <w:sz w:val="21"/>
              </w:rPr>
              <w:t>t/d</w:t>
            </w:r>
            <w:r>
              <w:rPr>
                <w:rFonts w:hint="eastAsia" w:hAnsi="宋体"/>
                <w:sz w:val="21"/>
              </w:rPr>
              <w:t>，</w:t>
            </w:r>
            <w:r>
              <w:rPr>
                <w:rFonts w:hint="eastAsia"/>
                <w:sz w:val="21"/>
              </w:rPr>
              <w:t>采用“</w:t>
            </w:r>
            <w:r>
              <w:rPr>
                <w:sz w:val="21"/>
              </w:rPr>
              <w:t>Fenton+</w:t>
            </w:r>
            <w:r>
              <w:rPr>
                <w:rFonts w:hint="eastAsia"/>
                <w:sz w:val="21"/>
              </w:rPr>
              <w:t>强制循环蒸发”的方法进行处理，处理后的冷凝液</w:t>
            </w:r>
            <w:r>
              <w:rPr>
                <w:sz w:val="21"/>
              </w:rPr>
              <w:t>1</w:t>
            </w:r>
            <w:r>
              <w:rPr>
                <w:rFonts w:hint="eastAsia"/>
                <w:sz w:val="21"/>
              </w:rPr>
              <w:t>与化验用水3.0</w:t>
            </w:r>
            <w:r>
              <w:rPr>
                <w:rFonts w:hAnsi="宋体"/>
                <w:sz w:val="21"/>
              </w:rPr>
              <w:t>t/d</w:t>
            </w:r>
            <w:r>
              <w:rPr>
                <w:rFonts w:hint="eastAsia" w:hAnsi="宋体"/>
                <w:sz w:val="21"/>
              </w:rPr>
              <w:t>以及生活污水</w:t>
            </w:r>
            <w:r>
              <w:rPr>
                <w:rFonts w:hAnsi="宋体"/>
                <w:sz w:val="21"/>
              </w:rPr>
              <w:t>9.92t/d</w:t>
            </w:r>
            <w:r>
              <w:rPr>
                <w:rFonts w:hint="eastAsia" w:hAnsi="宋体"/>
                <w:sz w:val="21"/>
              </w:rPr>
              <w:t>送至全厂污水处理站，</w:t>
            </w:r>
            <w:r>
              <w:rPr>
                <w:rFonts w:hint="eastAsia"/>
                <w:sz w:val="21"/>
              </w:rPr>
              <w:t>采用“絮凝沉淀</w:t>
            </w:r>
            <w:r>
              <w:rPr>
                <w:sz w:val="21"/>
              </w:rPr>
              <w:t>+</w:t>
            </w:r>
            <w:r>
              <w:rPr>
                <w:rFonts w:hint="eastAsia"/>
                <w:sz w:val="21"/>
              </w:rPr>
              <w:t>水解酸化</w:t>
            </w:r>
            <w:r>
              <w:rPr>
                <w:sz w:val="21"/>
              </w:rPr>
              <w:t>+MBR+</w:t>
            </w:r>
            <w:r>
              <w:rPr>
                <w:rFonts w:hint="eastAsia"/>
                <w:sz w:val="21"/>
              </w:rPr>
              <w:t>回用系统”的污水处理方式进行处理。</w:t>
            </w:r>
          </w:p>
        </w:tc>
        <w:tc>
          <w:tcPr>
            <w:tcW w:w="30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sz w:val="21"/>
              </w:rPr>
              <w:t>COD</w:t>
            </w:r>
            <w:r>
              <w:rPr>
                <w:rFonts w:hint="eastAsia"/>
                <w:sz w:val="21"/>
              </w:rPr>
              <w:t>、</w:t>
            </w:r>
            <w:r>
              <w:rPr>
                <w:sz w:val="21"/>
              </w:rPr>
              <w:t>SS</w:t>
            </w:r>
            <w:r>
              <w:rPr>
                <w:rFonts w:hint="eastAsia"/>
                <w:sz w:val="21"/>
              </w:rPr>
              <w:t>、</w:t>
            </w:r>
            <w:r>
              <w:rPr>
                <w:sz w:val="21"/>
              </w:rPr>
              <w:t>NH</w:t>
            </w:r>
            <w:r>
              <w:rPr>
                <w:sz w:val="21"/>
                <w:vertAlign w:val="subscript"/>
              </w:rPr>
              <w:t>4</w:t>
            </w:r>
            <w:r>
              <w:rPr>
                <w:sz w:val="21"/>
              </w:rPr>
              <w:t>-N</w:t>
            </w:r>
            <w:r>
              <w:rPr>
                <w:rFonts w:hint="eastAsia"/>
                <w:sz w:val="21"/>
              </w:rPr>
              <w:t>、</w:t>
            </w:r>
            <w:r>
              <w:rPr>
                <w:sz w:val="21"/>
              </w:rPr>
              <w:t>BOD</w:t>
            </w:r>
            <w:r>
              <w:rPr>
                <w:sz w:val="21"/>
                <w:vertAlign w:val="subscript"/>
              </w:rPr>
              <w:t>5</w:t>
            </w:r>
            <w:r>
              <w:rPr>
                <w:rFonts w:hint="eastAsia"/>
                <w:sz w:val="21"/>
              </w:rPr>
              <w:t>、</w:t>
            </w:r>
            <w:r>
              <w:rPr>
                <w:sz w:val="21"/>
              </w:rPr>
              <w:t>TP</w:t>
            </w:r>
            <w:r>
              <w:rPr>
                <w:rFonts w:hint="eastAsia"/>
                <w:sz w:val="21"/>
              </w:rPr>
              <w:t>、石油类、重金属等</w:t>
            </w: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化验废水、强制蒸发后冷凝水、生活污水</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送厂区污水处理站，采用“絮凝沉淀</w:t>
            </w:r>
            <w:r>
              <w:rPr>
                <w:sz w:val="21"/>
              </w:rPr>
              <w:t>+</w:t>
            </w:r>
            <w:r>
              <w:rPr>
                <w:rFonts w:hint="eastAsia"/>
                <w:sz w:val="21"/>
              </w:rPr>
              <w:t>水解酸化</w:t>
            </w:r>
            <w:r>
              <w:rPr>
                <w:sz w:val="21"/>
              </w:rPr>
              <w:t>+MBR+</w:t>
            </w:r>
            <w:r>
              <w:rPr>
                <w:rFonts w:hint="eastAsia"/>
                <w:sz w:val="21"/>
              </w:rPr>
              <w:t>回用系统”的污水处理方式进行处理。</w:t>
            </w:r>
          </w:p>
        </w:tc>
        <w:tc>
          <w:tcPr>
            <w:tcW w:w="30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sz w:val="21"/>
              </w:rPr>
              <w:t>COD</w:t>
            </w:r>
            <w:r>
              <w:rPr>
                <w:rFonts w:hint="eastAsia"/>
                <w:sz w:val="21"/>
              </w:rPr>
              <w:t>、</w:t>
            </w:r>
            <w:r>
              <w:rPr>
                <w:sz w:val="21"/>
              </w:rPr>
              <w:t>SS</w:t>
            </w:r>
            <w:r>
              <w:rPr>
                <w:rFonts w:hint="eastAsia"/>
                <w:sz w:val="21"/>
              </w:rPr>
              <w:t>、</w:t>
            </w:r>
            <w:r>
              <w:rPr>
                <w:sz w:val="21"/>
              </w:rPr>
              <w:t>NH</w:t>
            </w:r>
            <w:r>
              <w:rPr>
                <w:sz w:val="21"/>
                <w:vertAlign w:val="subscript"/>
              </w:rPr>
              <w:t>4</w:t>
            </w:r>
            <w:r>
              <w:rPr>
                <w:sz w:val="21"/>
              </w:rPr>
              <w:t>-N</w:t>
            </w:r>
            <w:r>
              <w:rPr>
                <w:rFonts w:hint="eastAsia"/>
                <w:sz w:val="21"/>
              </w:rPr>
              <w:t>、</w:t>
            </w:r>
            <w:r>
              <w:rPr>
                <w:sz w:val="21"/>
              </w:rPr>
              <w:t>BOD</w:t>
            </w:r>
            <w:r>
              <w:rPr>
                <w:sz w:val="21"/>
                <w:vertAlign w:val="subscript"/>
              </w:rPr>
              <w:t>5</w:t>
            </w:r>
            <w:r>
              <w:rPr>
                <w:rFonts w:hint="eastAsia"/>
                <w:sz w:val="21"/>
              </w:rPr>
              <w:t>、</w:t>
            </w:r>
            <w:r>
              <w:rPr>
                <w:sz w:val="21"/>
              </w:rPr>
              <w:t>TP</w:t>
            </w:r>
            <w:r>
              <w:rPr>
                <w:rFonts w:hint="eastAsia"/>
                <w:sz w:val="21"/>
              </w:rPr>
              <w:t>、石油类、重金属等</w:t>
            </w: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污水处理站排水</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hAnsi="宋体"/>
                <w:sz w:val="21"/>
              </w:rPr>
              <w:t>出水30.0</w:t>
            </w:r>
            <w:r>
              <w:rPr>
                <w:rFonts w:hAnsi="宋体"/>
                <w:sz w:val="21"/>
              </w:rPr>
              <w:t>t/d</w:t>
            </w:r>
            <w:r>
              <w:rPr>
                <w:rFonts w:hint="eastAsia" w:hAnsi="宋体"/>
                <w:sz w:val="21"/>
              </w:rPr>
              <w:t>回用至固化车间，115.15</w:t>
            </w:r>
            <w:r>
              <w:rPr>
                <w:rFonts w:hAnsi="宋体"/>
                <w:sz w:val="21"/>
              </w:rPr>
              <w:t>t/d</w:t>
            </w:r>
            <w:r>
              <w:rPr>
                <w:rFonts w:hint="eastAsia" w:hAnsi="宋体"/>
                <w:sz w:val="21"/>
              </w:rPr>
              <w:t>回用至焚烧车间，浓水6.04</w:t>
            </w:r>
            <w:r>
              <w:rPr>
                <w:rFonts w:hAnsi="宋体"/>
                <w:sz w:val="21"/>
              </w:rPr>
              <w:t>t/d</w:t>
            </w:r>
            <w:r>
              <w:rPr>
                <w:rFonts w:hint="eastAsia" w:hAnsi="宋体"/>
                <w:sz w:val="21"/>
              </w:rPr>
              <w:t>送至固化车间处理模块。</w:t>
            </w:r>
          </w:p>
        </w:tc>
        <w:tc>
          <w:tcPr>
            <w:tcW w:w="30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Ansi="宋体"/>
                <w:sz w:val="21"/>
              </w:rPr>
              <w:t>--</w:t>
            </w:r>
          </w:p>
        </w:tc>
        <w:tc>
          <w:tcPr>
            <w:tcW w:w="235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事故水池及雨水池</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rFonts w:hAnsi="宋体"/>
                <w:sz w:val="21"/>
              </w:rPr>
            </w:pPr>
            <w:r>
              <w:rPr>
                <w:rFonts w:hint="eastAsia"/>
                <w:kern w:val="0"/>
                <w:sz w:val="21"/>
              </w:rPr>
              <w:t>危废综合处置厂全厂设置</w:t>
            </w:r>
            <w:r>
              <w:rPr>
                <w:kern w:val="0"/>
                <w:sz w:val="21"/>
              </w:rPr>
              <w:t>1</w:t>
            </w:r>
            <w:r>
              <w:rPr>
                <w:rFonts w:hint="eastAsia"/>
                <w:kern w:val="0"/>
                <w:sz w:val="21"/>
              </w:rPr>
              <w:t>座</w:t>
            </w:r>
            <w:r>
              <w:rPr>
                <w:rFonts w:hint="eastAsia"/>
                <w:sz w:val="21"/>
              </w:rPr>
              <w:t>一</w:t>
            </w:r>
            <w:r>
              <w:rPr>
                <w:rFonts w:cs="Times New Roman"/>
                <w:sz w:val="21"/>
              </w:rPr>
              <w:t>座1406.25m</w:t>
            </w:r>
            <w:r>
              <w:rPr>
                <w:rFonts w:cs="Times New Roman"/>
                <w:sz w:val="21"/>
                <w:vertAlign w:val="superscript"/>
              </w:rPr>
              <w:t>3</w:t>
            </w:r>
            <w:r>
              <w:rPr>
                <w:rFonts w:cs="Times New Roman"/>
                <w:sz w:val="21"/>
              </w:rPr>
              <w:t>的</w:t>
            </w:r>
            <w:r>
              <w:rPr>
                <w:rFonts w:hint="eastAsia"/>
                <w:sz w:val="21"/>
              </w:rPr>
              <w:t>事故及雨水池，</w:t>
            </w:r>
            <w:r>
              <w:rPr>
                <w:sz w:val="21"/>
              </w:rPr>
              <w:t>1</w:t>
            </w:r>
            <w:r>
              <w:rPr>
                <w:rFonts w:hint="eastAsia"/>
                <w:kern w:val="0"/>
                <w:sz w:val="21"/>
              </w:rPr>
              <w:t>座容积为</w:t>
            </w:r>
            <w:r>
              <w:rPr>
                <w:kern w:val="0"/>
                <w:sz w:val="21"/>
              </w:rPr>
              <w:t>500</w:t>
            </w:r>
            <w:r>
              <w:rPr>
                <w:sz w:val="21"/>
              </w:rPr>
              <w:t>m</w:t>
            </w:r>
            <w:r>
              <w:rPr>
                <w:sz w:val="21"/>
                <w:vertAlign w:val="superscript"/>
              </w:rPr>
              <w:t>3</w:t>
            </w:r>
            <w:r>
              <w:rPr>
                <w:rFonts w:hint="eastAsia"/>
                <w:sz w:val="21"/>
              </w:rPr>
              <w:t>的焚烧车间废水收集池。</w:t>
            </w:r>
          </w:p>
        </w:tc>
        <w:tc>
          <w:tcPr>
            <w:tcW w:w="3085"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p>
        </w:tc>
        <w:tc>
          <w:tcPr>
            <w:tcW w:w="235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vMerge w:val="restart"/>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977" w:type="dxa"/>
            <w:gridSpan w:val="2"/>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地下水</w:t>
            </w:r>
          </w:p>
        </w:tc>
        <w:tc>
          <w:tcPr>
            <w:tcW w:w="147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危废综合处置厂区重点污染防治区</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rFonts w:hAnsi="宋体"/>
                <w:sz w:val="21"/>
              </w:rPr>
            </w:pPr>
            <w:r>
              <w:rPr>
                <w:rFonts w:hint="eastAsia"/>
                <w:sz w:val="21"/>
              </w:rPr>
              <w:t>设置防渗层，防渗性能应不低于</w:t>
            </w:r>
            <w:r>
              <w:rPr>
                <w:sz w:val="21"/>
              </w:rPr>
              <w:t>6.0m</w:t>
            </w:r>
            <w:r>
              <w:rPr>
                <w:rFonts w:hint="eastAsia"/>
                <w:sz w:val="21"/>
              </w:rPr>
              <w:t>厚渗透系数为</w:t>
            </w:r>
            <w:r>
              <w:rPr>
                <w:sz w:val="21"/>
              </w:rPr>
              <w:t>1.0</w:t>
            </w:r>
            <w:r>
              <w:rPr>
                <w:rFonts w:hint="eastAsia"/>
                <w:sz w:val="21"/>
              </w:rPr>
              <w:t>×</w:t>
            </w:r>
            <w:r>
              <w:rPr>
                <w:sz w:val="21"/>
              </w:rPr>
              <w:t>10</w:t>
            </w:r>
            <w:r>
              <w:rPr>
                <w:sz w:val="21"/>
                <w:vertAlign w:val="superscript"/>
              </w:rPr>
              <w:t>-7</w:t>
            </w:r>
            <w:r>
              <w:rPr>
                <w:sz w:val="21"/>
              </w:rPr>
              <w:t>cm/s</w:t>
            </w:r>
            <w:r>
              <w:rPr>
                <w:rFonts w:hint="eastAsia"/>
                <w:sz w:val="21"/>
              </w:rPr>
              <w:t>的黏土层。</w:t>
            </w:r>
          </w:p>
        </w:tc>
        <w:tc>
          <w:tcPr>
            <w:tcW w:w="3085" w:type="dxa"/>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Ansi="宋体"/>
                <w:sz w:val="21"/>
              </w:rPr>
              <w:t>--</w:t>
            </w:r>
          </w:p>
        </w:tc>
        <w:tc>
          <w:tcPr>
            <w:tcW w:w="2351"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sz w:val="21"/>
              </w:rPr>
            </w:pPr>
          </w:p>
        </w:tc>
        <w:tc>
          <w:tcPr>
            <w:tcW w:w="977"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472"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rPr>
                <w:sz w:val="21"/>
              </w:rPr>
            </w:pPr>
            <w:r>
              <w:rPr>
                <w:rFonts w:hint="eastAsia"/>
                <w:sz w:val="21"/>
              </w:rPr>
              <w:t>危废综合处置厂区一般污染防治区</w:t>
            </w:r>
          </w:p>
        </w:tc>
        <w:tc>
          <w:tcPr>
            <w:tcW w:w="47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rFonts w:hAnsi="宋体"/>
                <w:sz w:val="21"/>
              </w:rPr>
            </w:pPr>
            <w:r>
              <w:rPr>
                <w:rFonts w:hint="eastAsia"/>
                <w:sz w:val="21"/>
              </w:rPr>
              <w:t>设置防渗层，防渗性能应不低于</w:t>
            </w:r>
            <w:r>
              <w:rPr>
                <w:sz w:val="21"/>
              </w:rPr>
              <w:t>1.5m</w:t>
            </w:r>
            <w:r>
              <w:rPr>
                <w:rFonts w:hint="eastAsia"/>
                <w:sz w:val="21"/>
              </w:rPr>
              <w:t>厚渗透系数为</w:t>
            </w:r>
            <w:r>
              <w:rPr>
                <w:sz w:val="21"/>
              </w:rPr>
              <w:t>1.0</w:t>
            </w:r>
            <w:r>
              <w:rPr>
                <w:rFonts w:hint="eastAsia"/>
                <w:sz w:val="21"/>
              </w:rPr>
              <w:t>×</w:t>
            </w:r>
            <w:r>
              <w:rPr>
                <w:sz w:val="21"/>
              </w:rPr>
              <w:t>10</w:t>
            </w:r>
            <w:r>
              <w:rPr>
                <w:sz w:val="21"/>
                <w:vertAlign w:val="superscript"/>
              </w:rPr>
              <w:t>-7</w:t>
            </w:r>
            <w:r>
              <w:rPr>
                <w:sz w:val="21"/>
              </w:rPr>
              <w:t>cm/s</w:t>
            </w:r>
            <w:r>
              <w:rPr>
                <w:rFonts w:hint="eastAsia"/>
                <w:sz w:val="21"/>
              </w:rPr>
              <w:t>的黏土层。</w:t>
            </w:r>
          </w:p>
        </w:tc>
        <w:tc>
          <w:tcPr>
            <w:tcW w:w="3085"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三</w:t>
            </w:r>
          </w:p>
        </w:tc>
        <w:tc>
          <w:tcPr>
            <w:tcW w:w="12598"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固废处置措施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hAnsi="宋体"/>
                <w:sz w:val="21"/>
              </w:rPr>
              <w:t>有机废气净化器废渣</w:t>
            </w:r>
          </w:p>
        </w:tc>
        <w:tc>
          <w:tcPr>
            <w:tcW w:w="7798"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送至焚烧车间进行焚烧处置</w:t>
            </w:r>
          </w:p>
        </w:tc>
        <w:tc>
          <w:tcPr>
            <w:tcW w:w="2351"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物化车间澄清池废渣</w:t>
            </w:r>
          </w:p>
        </w:tc>
        <w:tc>
          <w:tcPr>
            <w:tcW w:w="7798"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送固化车间进行固化处置，处置后的固化体送至本项目安全填埋场进行安全填埋</w:t>
            </w: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物化车间隔油池废油</w:t>
            </w:r>
          </w:p>
        </w:tc>
        <w:tc>
          <w:tcPr>
            <w:tcW w:w="7798"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送至焚烧车间进行焚烧处置</w:t>
            </w: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物化车间沉淀池废渣</w:t>
            </w:r>
          </w:p>
        </w:tc>
        <w:tc>
          <w:tcPr>
            <w:tcW w:w="7798" w:type="dxa"/>
            <w:gridSpan w:val="2"/>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送固化车间进行固化处置，处置后的固化体送至本项目安全填埋场进行安全填埋</w:t>
            </w: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焚烧炉炉渣</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焚烧炉飞灰</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喷淋洗涤塔滤渣</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8</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厂区污水处理站污泥</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9</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强制循环蒸发系统盐泥</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2449" w:type="dxa"/>
            <w:gridSpan w:val="3"/>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napToGrid w:val="0"/>
              <w:spacing w:line="240" w:lineRule="atLeast"/>
              <w:ind w:firstLine="0" w:firstLineChars="0"/>
              <w:jc w:val="center"/>
              <w:rPr>
                <w:rFonts w:hAnsi="宋体"/>
                <w:sz w:val="21"/>
              </w:rPr>
            </w:pPr>
            <w:r>
              <w:rPr>
                <w:rFonts w:hint="eastAsia" w:hAnsi="宋体"/>
                <w:sz w:val="21"/>
              </w:rPr>
              <w:t>强制循环蒸发系统净化器废渣</w:t>
            </w:r>
          </w:p>
        </w:tc>
        <w:tc>
          <w:tcPr>
            <w:tcW w:w="7798"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送至焚烧车间进行焚烧处置</w:t>
            </w: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11</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生活垃圾</w:t>
            </w:r>
          </w:p>
        </w:tc>
        <w:tc>
          <w:tcPr>
            <w:tcW w:w="7798"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送市政生活垃圾处理站统一处理</w:t>
            </w: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四</w:t>
            </w:r>
          </w:p>
        </w:tc>
        <w:tc>
          <w:tcPr>
            <w:tcW w:w="12598"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噪声防治措施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868" w:type="dxa"/>
            <w:vMerge w:val="restart"/>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napToGrid w:val="0"/>
              <w:spacing w:line="240" w:lineRule="atLeast"/>
              <w:ind w:firstLine="0" w:firstLineChars="0"/>
              <w:jc w:val="center"/>
              <w:rPr>
                <w:sz w:val="21"/>
              </w:rPr>
            </w:pPr>
            <w:r>
              <w:rPr>
                <w:rFonts w:hint="eastAsia"/>
                <w:sz w:val="21"/>
              </w:rPr>
              <w:t>物化</w:t>
            </w:r>
          </w:p>
          <w:p>
            <w:pPr>
              <w:snapToGrid w:val="0"/>
              <w:spacing w:line="240" w:lineRule="atLeast"/>
              <w:ind w:firstLine="0" w:firstLineChars="0"/>
              <w:jc w:val="center"/>
              <w:rPr>
                <w:sz w:val="21"/>
              </w:rPr>
            </w:pPr>
            <w:r>
              <w:rPr>
                <w:rFonts w:hint="eastAsia"/>
                <w:sz w:val="21"/>
              </w:rPr>
              <w:t>车间</w:t>
            </w:r>
          </w:p>
        </w:tc>
        <w:tc>
          <w:tcPr>
            <w:tcW w:w="158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螺旋搅拌机</w:t>
            </w:r>
          </w:p>
        </w:tc>
        <w:tc>
          <w:tcPr>
            <w:tcW w:w="7798" w:type="dxa"/>
            <w:gridSpan w:val="2"/>
            <w:vMerge w:val="restar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rPr>
                <w:rFonts w:hAnsi="宋体"/>
                <w:kern w:val="0"/>
                <w:sz w:val="21"/>
              </w:rPr>
            </w:pPr>
            <w:r>
              <w:rPr>
                <w:rFonts w:hint="eastAsia" w:hAnsi="宋体"/>
                <w:bCs/>
                <w:sz w:val="21"/>
              </w:rPr>
              <w:t>本项目噪声控制设计原则采取综合防范措施，即采用先进的工艺技术和设备，生产过程实现机械化、自动化、集中操作或隔离操作，使噪声对环境和操作人员的危害降到最低的程度。对有噪声危害的机械设备应标出噪声指标，选用低噪声设备，一般不超</w:t>
            </w:r>
            <w:r>
              <w:rPr>
                <w:bCs/>
                <w:sz w:val="21"/>
              </w:rPr>
              <w:t>90dB(A)</w:t>
            </w:r>
            <w:r>
              <w:rPr>
                <w:rFonts w:hint="eastAsia" w:hAnsi="宋体"/>
                <w:bCs/>
                <w:sz w:val="21"/>
              </w:rPr>
              <w:t>。对单机噪声超标的机械设备，根据噪声源特点采取消声、隔声等措施，并设计全封闭的隔离操作室。</w:t>
            </w:r>
          </w:p>
        </w:tc>
        <w:tc>
          <w:tcPr>
            <w:tcW w:w="2351"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jc w:val="left"/>
              <w:rPr>
                <w:sz w:val="21"/>
              </w:rPr>
            </w:pPr>
            <w:r>
              <w:rPr>
                <w:rFonts w:hint="eastAsia" w:hAnsi="宋体"/>
                <w:bCs/>
                <w:sz w:val="21"/>
              </w:rPr>
              <w:t>《工业企业厂界环境噪声排放标准》</w:t>
            </w:r>
            <w:r>
              <w:rPr>
                <w:rFonts w:hAnsi="宋体"/>
                <w:bCs/>
                <w:sz w:val="21"/>
              </w:rPr>
              <w:t>(</w:t>
            </w:r>
            <w:r>
              <w:rPr>
                <w:bCs/>
                <w:sz w:val="21"/>
              </w:rPr>
              <w:t>GB12348—2008</w:t>
            </w:r>
            <w:r>
              <w:rPr>
                <w:rFonts w:hAnsi="宋体"/>
                <w:bCs/>
                <w:sz w:val="21"/>
              </w:rPr>
              <w:t>)</w:t>
            </w:r>
            <w:r>
              <w:rPr>
                <w:rFonts w:hint="eastAsia" w:hAnsi="宋体"/>
                <w:bCs/>
                <w:sz w:val="21"/>
              </w:rPr>
              <w:t>中</w:t>
            </w:r>
            <w:r>
              <w:rPr>
                <w:rFonts w:hint="eastAsia"/>
                <w:bCs/>
                <w:sz w:val="21"/>
              </w:rPr>
              <w:t>“</w:t>
            </w:r>
            <w:r>
              <w:rPr>
                <w:bCs/>
                <w:sz w:val="21"/>
              </w:rPr>
              <w:t>3</w:t>
            </w:r>
            <w:r>
              <w:rPr>
                <w:rFonts w:hint="eastAsia" w:hAnsi="宋体"/>
                <w:bCs/>
                <w:sz w:val="21"/>
              </w:rPr>
              <w:t>类</w:t>
            </w:r>
            <w:r>
              <w:rPr>
                <w:rFonts w:hint="eastAsia"/>
                <w:bCs/>
                <w:sz w:val="21"/>
              </w:rPr>
              <w:t>”</w:t>
            </w:r>
            <w:r>
              <w:rPr>
                <w:rFonts w:hint="eastAsia" w:hAnsi="宋体"/>
                <w:bCs/>
                <w:sz w:val="21"/>
              </w:rPr>
              <w:t>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计量泵</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中和液输送泵</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板框压滤机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adjustRightInd w:val="0"/>
              <w:snapToGrid w:val="0"/>
              <w:spacing w:line="240" w:lineRule="atLeast"/>
              <w:ind w:firstLine="0" w:firstLineChars="0"/>
              <w:jc w:val="center"/>
              <w:rPr>
                <w:sz w:val="21"/>
              </w:rPr>
            </w:pPr>
            <w:r>
              <w:rPr>
                <w:rFonts w:hint="eastAsia"/>
                <w:sz w:val="21"/>
              </w:rPr>
              <w:t>其他泵类</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868" w:type="dxa"/>
            <w:vMerge w:val="restart"/>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焚烧</w:t>
            </w:r>
          </w:p>
          <w:p>
            <w:pPr>
              <w:snapToGrid w:val="0"/>
              <w:spacing w:line="240" w:lineRule="atLeast"/>
              <w:ind w:firstLine="0" w:firstLineChars="0"/>
              <w:jc w:val="center"/>
              <w:rPr>
                <w:sz w:val="21"/>
              </w:rPr>
            </w:pPr>
            <w:r>
              <w:rPr>
                <w:rFonts w:hint="eastAsia"/>
                <w:sz w:val="21"/>
              </w:rPr>
              <w:t>车间</w:t>
            </w:r>
          </w:p>
        </w:tc>
        <w:tc>
          <w:tcPr>
            <w:tcW w:w="1581"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adjustRightInd w:val="0"/>
              <w:snapToGrid w:val="0"/>
              <w:spacing w:line="240" w:lineRule="atLeast"/>
              <w:ind w:firstLine="0" w:firstLineChars="0"/>
              <w:jc w:val="center"/>
              <w:rPr>
                <w:sz w:val="21"/>
              </w:rPr>
            </w:pPr>
            <w:r>
              <w:rPr>
                <w:rFonts w:hint="eastAsia"/>
                <w:sz w:val="21"/>
              </w:rPr>
              <w:t>液压抓斗</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引风机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8</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燃烧器助燃风机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9</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固体助燃风机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冷却风机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11</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热水循环泵</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12</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补水泵</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13</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增压管道泵</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14</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除氧水泵</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15</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锅炉给水泵</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16</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蒸汽往复泵</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17</w:t>
            </w:r>
          </w:p>
        </w:tc>
        <w:tc>
          <w:tcPr>
            <w:tcW w:w="868" w:type="dxa"/>
            <w:vMerge w:val="restart"/>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sz w:val="21"/>
              </w:rPr>
            </w:pPr>
            <w:r>
              <w:rPr>
                <w:rFonts w:hint="eastAsia"/>
                <w:sz w:val="21"/>
              </w:rPr>
              <w:t>固化</w:t>
            </w:r>
          </w:p>
          <w:p>
            <w:pPr>
              <w:snapToGrid w:val="0"/>
              <w:spacing w:line="240" w:lineRule="atLeast"/>
              <w:ind w:firstLine="0" w:firstLineChars="0"/>
              <w:jc w:val="center"/>
              <w:rPr>
                <w:rFonts w:cs="Arial"/>
                <w:sz w:val="21"/>
              </w:rPr>
            </w:pPr>
            <w:r>
              <w:rPr>
                <w:rFonts w:hint="eastAsia"/>
                <w:sz w:val="21"/>
              </w:rPr>
              <w:t>车间</w:t>
            </w:r>
          </w:p>
        </w:tc>
        <w:tc>
          <w:tcPr>
            <w:tcW w:w="1581" w:type="dxa"/>
            <w:gridSpan w:val="2"/>
            <w:tcBorders>
              <w:top w:val="dotted" w:color="auto" w:sz="4" w:space="0"/>
              <w:left w:val="dotted" w:color="auto" w:sz="4" w:space="0"/>
              <w:bottom w:val="dotted" w:color="auto" w:sz="4" w:space="0"/>
              <w:right w:val="dotted" w:color="auto" w:sz="4" w:space="0"/>
            </w:tcBorders>
            <w:vAlign w:val="center"/>
          </w:tcPr>
          <w:p>
            <w:pPr>
              <w:pStyle w:val="157"/>
              <w:spacing w:line="240" w:lineRule="atLeast"/>
              <w:jc w:val="center"/>
              <w:rPr>
                <w:rFonts w:ascii="Times New Roman"/>
                <w:color w:val="auto"/>
                <w:kern w:val="2"/>
                <w:sz w:val="21"/>
                <w:szCs w:val="21"/>
              </w:rPr>
            </w:pPr>
            <w:r>
              <w:rPr>
                <w:rFonts w:hint="eastAsia" w:ascii="Times New Roman"/>
                <w:color w:val="auto"/>
                <w:kern w:val="2"/>
                <w:sz w:val="21"/>
                <w:szCs w:val="21"/>
              </w:rPr>
              <w:t>破碎机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18</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pStyle w:val="157"/>
              <w:spacing w:line="240" w:lineRule="atLeast"/>
              <w:jc w:val="center"/>
              <w:rPr>
                <w:rFonts w:ascii="Times New Roman"/>
                <w:color w:val="auto"/>
                <w:kern w:val="2"/>
                <w:sz w:val="21"/>
                <w:szCs w:val="21"/>
              </w:rPr>
            </w:pPr>
            <w:r>
              <w:rPr>
                <w:rFonts w:hint="eastAsia" w:ascii="Times New Roman"/>
                <w:color w:val="auto"/>
                <w:kern w:val="2"/>
                <w:sz w:val="21"/>
                <w:szCs w:val="21"/>
              </w:rPr>
              <w:t>电动桥式双梁起重机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19</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送料翻桶机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20</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单斗提升机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21</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搅拌机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22</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螺旋输送机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23</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计量泵</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r>
              <w:rPr>
                <w:rFonts w:hint="eastAsia"/>
                <w:sz w:val="21"/>
              </w:rPr>
              <w:t>4</w:t>
            </w:r>
          </w:p>
        </w:tc>
        <w:tc>
          <w:tcPr>
            <w:tcW w:w="868" w:type="dxa"/>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污水处理站</w:t>
            </w:r>
          </w:p>
        </w:tc>
        <w:tc>
          <w:tcPr>
            <w:tcW w:w="158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泵类</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r>
              <w:rPr>
                <w:rFonts w:hint="eastAsia"/>
                <w:sz w:val="21"/>
              </w:rPr>
              <w:t>5</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风机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26</w:t>
            </w:r>
          </w:p>
        </w:tc>
        <w:tc>
          <w:tcPr>
            <w:tcW w:w="86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罐区</w:t>
            </w:r>
          </w:p>
        </w:tc>
        <w:tc>
          <w:tcPr>
            <w:tcW w:w="158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泵类</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27</w:t>
            </w:r>
          </w:p>
        </w:tc>
        <w:tc>
          <w:tcPr>
            <w:tcW w:w="868" w:type="dxa"/>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循环水装置</w:t>
            </w:r>
          </w:p>
        </w:tc>
        <w:tc>
          <w:tcPr>
            <w:tcW w:w="158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泵类</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28</w:t>
            </w:r>
          </w:p>
        </w:tc>
        <w:tc>
          <w:tcPr>
            <w:tcW w:w="868"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8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风机</w:t>
            </w:r>
          </w:p>
        </w:tc>
        <w:tc>
          <w:tcPr>
            <w:tcW w:w="779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351"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五</w:t>
            </w:r>
          </w:p>
        </w:tc>
        <w:tc>
          <w:tcPr>
            <w:tcW w:w="12598"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生态保护措施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4"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449"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厂区绿化</w:t>
            </w:r>
          </w:p>
        </w:tc>
        <w:tc>
          <w:tcPr>
            <w:tcW w:w="7798"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hAnsi="宋体"/>
                <w:kern w:val="0"/>
                <w:sz w:val="21"/>
              </w:rPr>
            </w:pPr>
            <w:r>
              <w:rPr>
                <w:rFonts w:hint="eastAsia" w:hAnsi="宋体"/>
                <w:kern w:val="0"/>
                <w:sz w:val="21"/>
              </w:rPr>
              <w:t>对厂区进行绿化，种植适合当地生态环境的植物</w:t>
            </w:r>
          </w:p>
        </w:tc>
        <w:tc>
          <w:tcPr>
            <w:tcW w:w="2351"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六</w:t>
            </w:r>
          </w:p>
        </w:tc>
        <w:tc>
          <w:tcPr>
            <w:tcW w:w="12598"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环境管理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54"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sz w:val="21"/>
              </w:rPr>
              <w:t>1</w:t>
            </w:r>
          </w:p>
        </w:tc>
        <w:tc>
          <w:tcPr>
            <w:tcW w:w="12598" w:type="dxa"/>
            <w:gridSpan w:val="6"/>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专人分管并配备专职环保人员制定相关的环境管理制度、环境风险应急预案等。</w:t>
            </w:r>
          </w:p>
        </w:tc>
      </w:tr>
    </w:tbl>
    <w:p>
      <w:pPr>
        <w:widowControl/>
        <w:ind w:firstLine="460"/>
        <w:jc w:val="left"/>
        <w:rPr>
          <w:rFonts w:ascii="宋体e眠副浡渀." w:hAnsi="Courier New" w:eastAsia="宋体e眠副浡渀." w:cs="宋体e眠副浡渀."/>
          <w:kern w:val="0"/>
          <w:sz w:val="23"/>
          <w:szCs w:val="23"/>
        </w:rPr>
        <w:sectPr>
          <w:pgSz w:w="16838" w:h="11906" w:orient="landscape"/>
          <w:pgMar w:top="1134" w:right="1418" w:bottom="1134" w:left="1418" w:header="850" w:footer="850" w:gutter="0"/>
          <w:cols w:space="720" w:num="1"/>
          <w:docGrid w:linePitch="326" w:charSpace="0"/>
        </w:sectPr>
      </w:pPr>
    </w:p>
    <w:p>
      <w:pPr>
        <w:pStyle w:val="3"/>
        <w:spacing w:before="163" w:after="163"/>
      </w:pPr>
      <w:bookmarkStart w:id="543" w:name="_Toc3282189"/>
      <w:bookmarkStart w:id="544" w:name="_Toc13760271"/>
      <w:r>
        <w:rPr>
          <w:rFonts w:hint="eastAsia"/>
        </w:rPr>
        <w:t>8.环境风险评价</w:t>
      </w:r>
      <w:bookmarkEnd w:id="543"/>
      <w:bookmarkEnd w:id="544"/>
    </w:p>
    <w:p>
      <w:pPr>
        <w:ind w:firstLine="480"/>
      </w:pPr>
      <w:r>
        <w:rPr>
          <w:rFonts w:hint="eastAsia"/>
        </w:rPr>
        <w:t>事故风险是指由自然活动或人类活动的叠加引起的，通过环境介质传播的，对人类与环境产生破坏、损失乃至毁灭性作用等不利后果的事件发生的概率。事故风险具有不确定性和危害性。不确定性是指人们对事件发生的概率、发生的时间、地点、强度等事先难以准确预见；危害性是指风险事件对其承受者所造成的损失或危害，包括人身健康、经济财产、社会福利和生态系统带来的损失或危害。</w:t>
      </w:r>
    </w:p>
    <w:p>
      <w:pPr>
        <w:ind w:firstLine="480"/>
      </w:pPr>
      <w:r>
        <w:t>2018</w:t>
      </w:r>
      <w:r>
        <w:rPr>
          <w:rFonts w:hint="eastAsia"/>
        </w:rPr>
        <w:t>年</w:t>
      </w:r>
      <w:r>
        <w:t>10</w:t>
      </w:r>
      <w:r>
        <w:rPr>
          <w:rFonts w:hint="eastAsia"/>
        </w:rPr>
        <w:t>月</w:t>
      </w:r>
      <w:r>
        <w:t>15</w:t>
      </w:r>
      <w:r>
        <w:rPr>
          <w:rFonts w:hint="eastAsia"/>
        </w:rPr>
        <w:t>日，国家发布的《建设项目环境风险评价技术导则》</w:t>
      </w:r>
      <w:r>
        <w:t>(HJ169-2018)</w:t>
      </w:r>
      <w:r>
        <w:rPr>
          <w:rFonts w:hint="eastAsia"/>
        </w:rPr>
        <w:t>要求，对于涉及有毒有害和易燃易爆物质的生产、使用、贮存等新建、改建和技术改造项目进行环境风险评价。</w:t>
      </w:r>
    </w:p>
    <w:p>
      <w:pPr>
        <w:ind w:firstLine="480"/>
      </w:pPr>
      <w:r>
        <w:rPr>
          <w:rFonts w:hint="eastAsia"/>
        </w:rPr>
        <w:t>本项目环境风险评价的目的是分析和预测项目存在的潜在危险，有害因素，项目运行期间可能发生的突发性事件</w:t>
      </w:r>
      <w:r>
        <w:t>(</w:t>
      </w:r>
      <w:r>
        <w:rPr>
          <w:rFonts w:hint="eastAsia"/>
        </w:rPr>
        <w:t>一般不包括人为破坏及自然灾害</w:t>
      </w:r>
      <w:r>
        <w:t>)</w:t>
      </w:r>
      <w:r>
        <w:rPr>
          <w:rFonts w:hint="eastAsia"/>
        </w:rPr>
        <w:t>，引起有毒有害和易燃易爆等物质泄漏，所造成的人身安全与环境影响和损害程度，提出合理可行的防范、应急与减缓措施。以使建设项目事故率达到可接受水平、损失和环境影响达到最小。</w:t>
      </w:r>
    </w:p>
    <w:p>
      <w:pPr>
        <w:ind w:firstLine="480"/>
        <w:rPr>
          <w:rFonts w:cs="Times New Roman"/>
        </w:rPr>
      </w:pPr>
      <w:r>
        <w:rPr>
          <w:rFonts w:hint="eastAsia"/>
        </w:rPr>
        <w:t>环境风险评价基本内容包括风险调查、环境风险潜势初判、风险识别、风险事故情形分析、风险预测与评价、环境风险管理等，为建设项目的风险管理决策提供科学依据，以期达到降低危险、减少公害的目的。</w:t>
      </w:r>
    </w:p>
    <w:p>
      <w:pPr>
        <w:pStyle w:val="4"/>
        <w:rPr>
          <w:rFonts w:asciiTheme="majorHAnsi" w:hAnsiTheme="majorHAnsi" w:cstheme="majorBidi"/>
          <w:sz w:val="28"/>
        </w:rPr>
      </w:pPr>
      <w:bookmarkStart w:id="545" w:name="_Toc13760272"/>
      <w:bookmarkStart w:id="546" w:name="_Toc9403154"/>
      <w:r>
        <w:t>8.1</w:t>
      </w:r>
      <w:r>
        <w:rPr>
          <w:rFonts w:hint="eastAsia"/>
        </w:rPr>
        <w:t>风险调查</w:t>
      </w:r>
      <w:bookmarkEnd w:id="545"/>
      <w:bookmarkEnd w:id="546"/>
    </w:p>
    <w:p>
      <w:pPr>
        <w:pStyle w:val="5"/>
      </w:pPr>
      <w:bookmarkStart w:id="547" w:name="_Toc13760273"/>
      <w:bookmarkStart w:id="548" w:name="_Toc9403155"/>
      <w:r>
        <w:t>8.1.1</w:t>
      </w:r>
      <w:r>
        <w:rPr>
          <w:rFonts w:hint="eastAsia"/>
        </w:rPr>
        <w:t>建设项目风险源调查</w:t>
      </w:r>
      <w:bookmarkEnd w:id="547"/>
      <w:bookmarkEnd w:id="548"/>
    </w:p>
    <w:p>
      <w:pPr>
        <w:ind w:firstLine="480"/>
        <w:rPr>
          <w:rFonts w:asciiTheme="minorEastAsia" w:hAnsiTheme="minorEastAsia" w:eastAsiaTheme="minorEastAsia"/>
          <w:szCs w:val="24"/>
        </w:rPr>
      </w:pPr>
      <w:r>
        <w:rPr>
          <w:rFonts w:hint="eastAsia"/>
          <w:szCs w:val="24"/>
        </w:rPr>
        <w:t>建设项目风险源调查内容主要是调查建设项目危险物质数量和分布情况、生产工艺特点，收集危险物质安全技术说明书等基础资料，本项目风险源调查如下表</w:t>
      </w:r>
      <w:r>
        <w:rPr>
          <w:szCs w:val="24"/>
        </w:rPr>
        <w:t>8.1</w:t>
      </w:r>
      <w:r>
        <w:rPr>
          <w:rFonts w:hint="eastAsia"/>
          <w:szCs w:val="24"/>
        </w:rPr>
        <w:t>—</w:t>
      </w:r>
      <w:r>
        <w:rPr>
          <w:szCs w:val="24"/>
        </w:rPr>
        <w:t>1</w:t>
      </w:r>
      <w:r>
        <w:rPr>
          <w:rFonts w:hint="eastAsia"/>
          <w:szCs w:val="24"/>
        </w:rPr>
        <w:t>所示。</w:t>
      </w:r>
    </w:p>
    <w:p>
      <w:pPr>
        <w:ind w:firstLine="480"/>
        <w:rPr>
          <w:rFonts w:asciiTheme="minorEastAsia" w:hAnsiTheme="minorEastAsia" w:eastAsiaTheme="minorEastAsia"/>
          <w:szCs w:val="24"/>
        </w:rPr>
      </w:pPr>
      <w:r>
        <w:rPr>
          <w:rFonts w:hint="eastAsia"/>
          <w:szCs w:val="24"/>
        </w:rPr>
        <w:t>表</w:t>
      </w:r>
      <w:r>
        <w:rPr>
          <w:szCs w:val="24"/>
        </w:rPr>
        <w:t>8.1</w:t>
      </w:r>
      <w:r>
        <w:rPr>
          <w:rFonts w:hint="eastAsia"/>
          <w:szCs w:val="24"/>
        </w:rPr>
        <w:t>—</w:t>
      </w:r>
      <w:r>
        <w:rPr>
          <w:szCs w:val="24"/>
        </w:rPr>
        <w:t>1</w:t>
      </w:r>
      <w:r>
        <w:rPr>
          <w:rFonts w:hint="eastAsia"/>
          <w:szCs w:val="24"/>
        </w:rPr>
        <w:t xml:space="preserve">                主要危险物质特性</w:t>
      </w:r>
    </w:p>
    <w:tbl>
      <w:tblPr>
        <w:tblStyle w:val="88"/>
        <w:tblW w:w="9854"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940"/>
        <w:gridCol w:w="2278"/>
        <w:gridCol w:w="1752"/>
        <w:gridCol w:w="1784"/>
        <w:gridCol w:w="1182"/>
        <w:gridCol w:w="191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40" w:type="dxa"/>
            <w:tcBorders>
              <w:top w:val="single" w:color="auto" w:sz="12" w:space="0"/>
              <w:left w:val="nil"/>
              <w:bottom w:val="single" w:color="auto" w:sz="12"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序号</w:t>
            </w:r>
          </w:p>
        </w:tc>
        <w:tc>
          <w:tcPr>
            <w:tcW w:w="2278" w:type="dxa"/>
            <w:tcBorders>
              <w:top w:val="single" w:color="auto" w:sz="12" w:space="0"/>
              <w:left w:val="dotted" w:color="auto" w:sz="4" w:space="0"/>
              <w:bottom w:val="single" w:color="auto" w:sz="12"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物质名称</w:t>
            </w:r>
          </w:p>
        </w:tc>
        <w:tc>
          <w:tcPr>
            <w:tcW w:w="1752" w:type="dxa"/>
            <w:tcBorders>
              <w:top w:val="single" w:color="auto" w:sz="12" w:space="0"/>
              <w:left w:val="dotted" w:color="auto" w:sz="4" w:space="0"/>
              <w:bottom w:val="single" w:color="auto" w:sz="12"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性质</w:t>
            </w:r>
          </w:p>
        </w:tc>
        <w:tc>
          <w:tcPr>
            <w:tcW w:w="1784" w:type="dxa"/>
            <w:tcBorders>
              <w:top w:val="single" w:color="auto" w:sz="12" w:space="0"/>
              <w:left w:val="dotted" w:color="auto" w:sz="4" w:space="0"/>
              <w:bottom w:val="single" w:color="auto" w:sz="12" w:space="0"/>
              <w:right w:val="dotted" w:color="auto" w:sz="4" w:space="0"/>
            </w:tcBorders>
            <w:tcMar>
              <w:top w:w="0" w:type="dxa"/>
              <w:left w:w="0" w:type="dxa"/>
              <w:bottom w:w="0" w:type="dxa"/>
              <w:right w:w="0" w:type="dxa"/>
            </w:tcMar>
            <w:vAlign w:val="center"/>
          </w:tcPr>
          <w:p>
            <w:pPr>
              <w:pStyle w:val="34"/>
              <w:topLinePunct/>
              <w:spacing w:after="0" w:line="240" w:lineRule="atLeast"/>
              <w:ind w:firstLine="0" w:firstLineChars="0"/>
              <w:jc w:val="center"/>
              <w:rPr>
                <w:rFonts w:cs="Times New Roman"/>
                <w:sz w:val="21"/>
              </w:rPr>
            </w:pPr>
            <w:r>
              <w:rPr>
                <w:rFonts w:hint="eastAsia"/>
                <w:sz w:val="21"/>
              </w:rPr>
              <w:t>贮存量或在线量</w:t>
            </w:r>
          </w:p>
          <w:p>
            <w:pPr>
              <w:pStyle w:val="34"/>
              <w:topLinePunct/>
              <w:spacing w:after="0" w:line="240" w:lineRule="atLeast"/>
              <w:ind w:firstLine="0" w:firstLineChars="0"/>
              <w:jc w:val="center"/>
              <w:rPr>
                <w:sz w:val="21"/>
              </w:rPr>
            </w:pPr>
            <w:r>
              <w:rPr>
                <w:sz w:val="21"/>
              </w:rPr>
              <w:t>(t)</w:t>
            </w:r>
          </w:p>
        </w:tc>
        <w:tc>
          <w:tcPr>
            <w:tcW w:w="1182" w:type="dxa"/>
            <w:tcBorders>
              <w:top w:val="single" w:color="auto" w:sz="12" w:space="0"/>
              <w:left w:val="dotted" w:color="auto" w:sz="4" w:space="0"/>
              <w:bottom w:val="single" w:color="auto" w:sz="12" w:space="0"/>
              <w:right w:val="dotted" w:color="auto" w:sz="4" w:space="0"/>
            </w:tcBorders>
            <w:vAlign w:val="center"/>
          </w:tcPr>
          <w:p>
            <w:pPr>
              <w:pStyle w:val="34"/>
              <w:topLinePunct/>
              <w:spacing w:after="0" w:line="240" w:lineRule="atLeast"/>
              <w:ind w:firstLine="0" w:firstLineChars="0"/>
              <w:jc w:val="center"/>
              <w:rPr>
                <w:rFonts w:cs="Times New Roman"/>
                <w:sz w:val="21"/>
              </w:rPr>
            </w:pPr>
            <w:r>
              <w:rPr>
                <w:rFonts w:hint="eastAsia"/>
                <w:sz w:val="21"/>
              </w:rPr>
              <w:t>临界量</w:t>
            </w:r>
          </w:p>
          <w:p>
            <w:pPr>
              <w:pStyle w:val="34"/>
              <w:topLinePunct/>
              <w:spacing w:after="0" w:line="240" w:lineRule="atLeast"/>
              <w:ind w:firstLine="0" w:firstLineChars="0"/>
              <w:jc w:val="center"/>
              <w:rPr>
                <w:sz w:val="21"/>
              </w:rPr>
            </w:pPr>
            <w:r>
              <w:rPr>
                <w:sz w:val="21"/>
              </w:rPr>
              <w:t>(t)</w:t>
            </w:r>
          </w:p>
        </w:tc>
        <w:tc>
          <w:tcPr>
            <w:tcW w:w="1918" w:type="dxa"/>
            <w:tcBorders>
              <w:top w:val="single" w:color="auto" w:sz="12" w:space="0"/>
              <w:left w:val="dotted" w:color="auto" w:sz="4" w:space="0"/>
              <w:bottom w:val="single" w:color="auto" w:sz="12" w:space="0"/>
              <w:right w:val="nil"/>
            </w:tcBorders>
            <w:vAlign w:val="center"/>
          </w:tcPr>
          <w:p>
            <w:pPr>
              <w:pStyle w:val="34"/>
              <w:topLinePunct/>
              <w:spacing w:after="0" w:line="240" w:lineRule="atLeast"/>
              <w:ind w:firstLine="0" w:firstLineChars="0"/>
              <w:jc w:val="center"/>
              <w:rPr>
                <w:sz w:val="21"/>
              </w:rPr>
            </w:pPr>
            <w:r>
              <w:rPr>
                <w:rFonts w:hint="eastAsia"/>
                <w:sz w:val="21"/>
              </w:rPr>
              <w:t>分布</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40" w:type="dxa"/>
            <w:tcBorders>
              <w:top w:val="single" w:color="auto" w:sz="12" w:space="0"/>
              <w:left w:val="nil"/>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1</w:t>
            </w:r>
          </w:p>
        </w:tc>
        <w:tc>
          <w:tcPr>
            <w:tcW w:w="2278" w:type="dxa"/>
            <w:tcBorders>
              <w:top w:val="single" w:color="auto" w:sz="12"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废酸</w:t>
            </w:r>
          </w:p>
        </w:tc>
        <w:tc>
          <w:tcPr>
            <w:tcW w:w="1752" w:type="dxa"/>
            <w:tcBorders>
              <w:top w:val="single" w:color="auto" w:sz="12"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34"/>
              <w:topLinePunct/>
              <w:spacing w:after="0" w:line="240" w:lineRule="atLeast"/>
              <w:ind w:firstLine="0" w:firstLineChars="0"/>
              <w:jc w:val="center"/>
              <w:rPr>
                <w:sz w:val="21"/>
              </w:rPr>
            </w:pPr>
            <w:r>
              <w:rPr>
                <w:rFonts w:hint="eastAsia"/>
                <w:sz w:val="21"/>
              </w:rPr>
              <w:t>毒性</w:t>
            </w:r>
            <w:r>
              <w:rPr>
                <w:sz w:val="21"/>
              </w:rPr>
              <w:t>/</w:t>
            </w:r>
            <w:r>
              <w:rPr>
                <w:rFonts w:hint="eastAsia"/>
                <w:sz w:val="21"/>
              </w:rPr>
              <w:t>反应性</w:t>
            </w:r>
          </w:p>
        </w:tc>
        <w:tc>
          <w:tcPr>
            <w:tcW w:w="1784" w:type="dxa"/>
            <w:tcBorders>
              <w:top w:val="single" w:color="auto" w:sz="12"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320</w:t>
            </w:r>
          </w:p>
        </w:tc>
        <w:tc>
          <w:tcPr>
            <w:tcW w:w="1182" w:type="dxa"/>
            <w:tcBorders>
              <w:top w:val="single" w:color="auto" w:sz="12"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50</w:t>
            </w:r>
          </w:p>
        </w:tc>
        <w:tc>
          <w:tcPr>
            <w:tcW w:w="1918" w:type="dxa"/>
            <w:tcBorders>
              <w:top w:val="single" w:color="auto" w:sz="12" w:space="0"/>
              <w:left w:val="dotted" w:color="auto" w:sz="4" w:space="0"/>
              <w:bottom w:val="dotted" w:color="auto" w:sz="4" w:space="0"/>
              <w:right w:val="nil"/>
            </w:tcBorders>
            <w:vAlign w:val="center"/>
          </w:tcPr>
          <w:p>
            <w:pPr>
              <w:pStyle w:val="34"/>
              <w:topLinePunct/>
              <w:spacing w:after="0" w:line="240" w:lineRule="atLeast"/>
              <w:ind w:firstLine="0" w:firstLineChars="0"/>
              <w:jc w:val="center"/>
              <w:rPr>
                <w:sz w:val="21"/>
              </w:rPr>
            </w:pPr>
            <w:r>
              <w:rPr>
                <w:rFonts w:hint="eastAsia"/>
                <w:sz w:val="21"/>
              </w:rPr>
              <w:t>废酸储罐区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2" w:hRule="atLeast"/>
        </w:trPr>
        <w:tc>
          <w:tcPr>
            <w:tcW w:w="940" w:type="dxa"/>
            <w:tcBorders>
              <w:top w:val="dotted" w:color="auto" w:sz="4" w:space="0"/>
              <w:left w:val="nil"/>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2</w:t>
            </w:r>
          </w:p>
        </w:tc>
        <w:tc>
          <w:tcPr>
            <w:tcW w:w="2278"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废碱</w:t>
            </w:r>
          </w:p>
        </w:tc>
        <w:tc>
          <w:tcPr>
            <w:tcW w:w="1752"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34"/>
              <w:topLinePunct/>
              <w:spacing w:after="0" w:line="240" w:lineRule="atLeast"/>
              <w:ind w:firstLine="0" w:firstLineChars="0"/>
              <w:jc w:val="center"/>
              <w:rPr>
                <w:sz w:val="21"/>
              </w:rPr>
            </w:pPr>
            <w:r>
              <w:rPr>
                <w:rFonts w:hint="eastAsia"/>
                <w:sz w:val="21"/>
              </w:rPr>
              <w:t>毒性</w:t>
            </w:r>
            <w:r>
              <w:rPr>
                <w:sz w:val="21"/>
              </w:rPr>
              <w:t>/</w:t>
            </w:r>
            <w:r>
              <w:rPr>
                <w:rFonts w:hint="eastAsia"/>
                <w:sz w:val="21"/>
              </w:rPr>
              <w:t>反应性</w:t>
            </w:r>
          </w:p>
        </w:tc>
        <w:tc>
          <w:tcPr>
            <w:tcW w:w="1784"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320</w:t>
            </w:r>
          </w:p>
        </w:tc>
        <w:tc>
          <w:tcPr>
            <w:tcW w:w="118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50</w:t>
            </w:r>
          </w:p>
        </w:tc>
        <w:tc>
          <w:tcPr>
            <w:tcW w:w="1918" w:type="dxa"/>
            <w:tcBorders>
              <w:top w:val="dotted" w:color="auto" w:sz="4" w:space="0"/>
              <w:left w:val="dotted" w:color="auto" w:sz="4" w:space="0"/>
              <w:bottom w:val="dotted" w:color="auto" w:sz="4" w:space="0"/>
              <w:right w:val="nil"/>
            </w:tcBorders>
            <w:vAlign w:val="center"/>
          </w:tcPr>
          <w:p>
            <w:pPr>
              <w:pStyle w:val="34"/>
              <w:topLinePunct/>
              <w:spacing w:after="0" w:line="240" w:lineRule="atLeast"/>
              <w:ind w:firstLine="0" w:firstLineChars="0"/>
              <w:jc w:val="center"/>
              <w:rPr>
                <w:sz w:val="21"/>
              </w:rPr>
            </w:pPr>
            <w:r>
              <w:rPr>
                <w:rFonts w:hint="eastAsia"/>
                <w:sz w:val="21"/>
              </w:rPr>
              <w:t>废碱储罐区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2" w:hRule="atLeast"/>
        </w:trPr>
        <w:tc>
          <w:tcPr>
            <w:tcW w:w="940" w:type="dxa"/>
            <w:tcBorders>
              <w:top w:val="dotted" w:color="auto" w:sz="4" w:space="0"/>
              <w:left w:val="nil"/>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3</w:t>
            </w:r>
          </w:p>
        </w:tc>
        <w:tc>
          <w:tcPr>
            <w:tcW w:w="2278"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废乳化液</w:t>
            </w:r>
          </w:p>
        </w:tc>
        <w:tc>
          <w:tcPr>
            <w:tcW w:w="1752"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34"/>
              <w:topLinePunct/>
              <w:spacing w:after="0" w:line="240" w:lineRule="atLeast"/>
              <w:ind w:firstLine="0" w:firstLineChars="0"/>
              <w:jc w:val="center"/>
              <w:rPr>
                <w:sz w:val="21"/>
              </w:rPr>
            </w:pPr>
            <w:r>
              <w:rPr>
                <w:rFonts w:hint="eastAsia"/>
                <w:sz w:val="21"/>
              </w:rPr>
              <w:t>毒性</w:t>
            </w:r>
            <w:r>
              <w:rPr>
                <w:sz w:val="21"/>
              </w:rPr>
              <w:t>/</w:t>
            </w:r>
            <w:r>
              <w:rPr>
                <w:rFonts w:hint="eastAsia"/>
                <w:sz w:val="21"/>
              </w:rPr>
              <w:t>易燃性</w:t>
            </w:r>
          </w:p>
        </w:tc>
        <w:tc>
          <w:tcPr>
            <w:tcW w:w="1784"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160</w:t>
            </w:r>
          </w:p>
        </w:tc>
        <w:tc>
          <w:tcPr>
            <w:tcW w:w="118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1000</w:t>
            </w:r>
          </w:p>
        </w:tc>
        <w:tc>
          <w:tcPr>
            <w:tcW w:w="1918" w:type="dxa"/>
            <w:tcBorders>
              <w:top w:val="dotted" w:color="auto" w:sz="4" w:space="0"/>
              <w:left w:val="dotted" w:color="auto" w:sz="4" w:space="0"/>
              <w:bottom w:val="dotted" w:color="auto" w:sz="4" w:space="0"/>
              <w:right w:val="nil"/>
            </w:tcBorders>
            <w:vAlign w:val="center"/>
          </w:tcPr>
          <w:p>
            <w:pPr>
              <w:pStyle w:val="34"/>
              <w:topLinePunct/>
              <w:spacing w:after="0" w:line="240" w:lineRule="atLeast"/>
              <w:ind w:firstLine="0" w:firstLineChars="0"/>
              <w:jc w:val="center"/>
              <w:rPr>
                <w:sz w:val="21"/>
              </w:rPr>
            </w:pPr>
            <w:r>
              <w:rPr>
                <w:rFonts w:hint="eastAsia"/>
                <w:sz w:val="21"/>
              </w:rPr>
              <w:t>废乳化液储罐区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2" w:hRule="atLeast"/>
        </w:trPr>
        <w:tc>
          <w:tcPr>
            <w:tcW w:w="940" w:type="dxa"/>
            <w:tcBorders>
              <w:top w:val="dotted" w:color="auto" w:sz="4" w:space="0"/>
              <w:left w:val="nil"/>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4</w:t>
            </w:r>
          </w:p>
        </w:tc>
        <w:tc>
          <w:tcPr>
            <w:tcW w:w="2278"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可燃废液</w:t>
            </w:r>
          </w:p>
        </w:tc>
        <w:tc>
          <w:tcPr>
            <w:tcW w:w="1752"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34"/>
              <w:topLinePunct/>
              <w:spacing w:after="0" w:line="240" w:lineRule="atLeast"/>
              <w:ind w:firstLine="0" w:firstLineChars="0"/>
              <w:jc w:val="center"/>
              <w:rPr>
                <w:sz w:val="21"/>
              </w:rPr>
            </w:pPr>
            <w:r>
              <w:rPr>
                <w:rFonts w:hint="eastAsia"/>
                <w:sz w:val="21"/>
              </w:rPr>
              <w:t>毒性</w:t>
            </w:r>
            <w:r>
              <w:rPr>
                <w:sz w:val="21"/>
              </w:rPr>
              <w:t>/</w:t>
            </w:r>
            <w:r>
              <w:rPr>
                <w:rFonts w:hint="eastAsia"/>
                <w:sz w:val="21"/>
              </w:rPr>
              <w:t>易燃性</w:t>
            </w:r>
          </w:p>
        </w:tc>
        <w:tc>
          <w:tcPr>
            <w:tcW w:w="1784"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960</w:t>
            </w:r>
          </w:p>
        </w:tc>
        <w:tc>
          <w:tcPr>
            <w:tcW w:w="118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1000</w:t>
            </w:r>
          </w:p>
        </w:tc>
        <w:tc>
          <w:tcPr>
            <w:tcW w:w="1918" w:type="dxa"/>
            <w:tcBorders>
              <w:top w:val="dotted" w:color="auto" w:sz="4" w:space="0"/>
              <w:left w:val="dotted" w:color="auto" w:sz="4" w:space="0"/>
              <w:bottom w:val="dotted" w:color="auto" w:sz="4" w:space="0"/>
              <w:right w:val="nil"/>
            </w:tcBorders>
            <w:vAlign w:val="center"/>
          </w:tcPr>
          <w:p>
            <w:pPr>
              <w:pStyle w:val="34"/>
              <w:topLinePunct/>
              <w:spacing w:after="0" w:line="240" w:lineRule="atLeast"/>
              <w:ind w:firstLine="0" w:firstLineChars="0"/>
              <w:jc w:val="center"/>
              <w:rPr>
                <w:sz w:val="21"/>
              </w:rPr>
            </w:pPr>
            <w:r>
              <w:rPr>
                <w:rFonts w:hint="eastAsia"/>
                <w:sz w:val="21"/>
              </w:rPr>
              <w:t>焚烧车间废液储罐区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40" w:type="dxa"/>
            <w:tcBorders>
              <w:top w:val="dotted" w:color="auto" w:sz="4" w:space="0"/>
              <w:left w:val="nil"/>
              <w:bottom w:val="single" w:color="auto" w:sz="12"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5</w:t>
            </w:r>
          </w:p>
        </w:tc>
        <w:tc>
          <w:tcPr>
            <w:tcW w:w="2278"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柴油</w:t>
            </w:r>
          </w:p>
        </w:tc>
        <w:tc>
          <w:tcPr>
            <w:tcW w:w="1752" w:type="dxa"/>
            <w:tcBorders>
              <w:top w:val="dotted" w:color="auto" w:sz="4" w:space="0"/>
              <w:left w:val="dotted" w:color="auto" w:sz="4" w:space="0"/>
              <w:bottom w:val="single" w:color="auto" w:sz="12" w:space="0"/>
              <w:right w:val="dotted" w:color="auto" w:sz="4" w:space="0"/>
            </w:tcBorders>
            <w:tcMar>
              <w:top w:w="0" w:type="dxa"/>
              <w:left w:w="0" w:type="dxa"/>
              <w:bottom w:w="0" w:type="dxa"/>
              <w:right w:w="0" w:type="dxa"/>
            </w:tcMar>
            <w:vAlign w:val="center"/>
          </w:tcPr>
          <w:p>
            <w:pPr>
              <w:spacing w:line="240" w:lineRule="atLeast"/>
              <w:ind w:firstLine="0" w:firstLineChars="0"/>
              <w:jc w:val="center"/>
              <w:rPr>
                <w:sz w:val="21"/>
              </w:rPr>
            </w:pPr>
            <w:r>
              <w:rPr>
                <w:rFonts w:hint="eastAsia"/>
                <w:sz w:val="21"/>
              </w:rPr>
              <w:t>易燃</w:t>
            </w:r>
          </w:p>
        </w:tc>
        <w:tc>
          <w:tcPr>
            <w:tcW w:w="1784" w:type="dxa"/>
            <w:tcBorders>
              <w:top w:val="dotted" w:color="auto" w:sz="4"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sz w:val="21"/>
              </w:rPr>
              <w:t>3</w:t>
            </w:r>
            <w:r>
              <w:rPr>
                <w:rFonts w:hint="eastAsia"/>
                <w:sz w:val="21"/>
              </w:rPr>
              <w:t>0</w:t>
            </w:r>
          </w:p>
        </w:tc>
        <w:tc>
          <w:tcPr>
            <w:tcW w:w="1182" w:type="dxa"/>
            <w:tcBorders>
              <w:top w:val="dotted" w:color="auto" w:sz="4" w:space="0"/>
              <w:left w:val="dotted" w:color="auto" w:sz="4" w:space="0"/>
              <w:bottom w:val="single" w:color="auto" w:sz="12" w:space="0"/>
              <w:right w:val="dotted" w:color="auto" w:sz="4" w:space="0"/>
            </w:tcBorders>
            <w:vAlign w:val="center"/>
          </w:tcPr>
          <w:p>
            <w:pPr>
              <w:pStyle w:val="34"/>
              <w:topLinePunct/>
              <w:spacing w:after="0" w:line="240" w:lineRule="atLeast"/>
              <w:ind w:firstLine="0" w:firstLineChars="0"/>
              <w:jc w:val="center"/>
              <w:rPr>
                <w:sz w:val="21"/>
              </w:rPr>
            </w:pPr>
            <w:r>
              <w:rPr>
                <w:sz w:val="21"/>
              </w:rPr>
              <w:t>2</w:t>
            </w:r>
            <w:r>
              <w:rPr>
                <w:rFonts w:hint="eastAsia"/>
                <w:sz w:val="21"/>
              </w:rPr>
              <w:t>5</w:t>
            </w:r>
            <w:r>
              <w:rPr>
                <w:sz w:val="21"/>
              </w:rPr>
              <w:t>00</w:t>
            </w:r>
          </w:p>
        </w:tc>
        <w:tc>
          <w:tcPr>
            <w:tcW w:w="1918" w:type="dxa"/>
            <w:tcBorders>
              <w:top w:val="dotted" w:color="auto" w:sz="4" w:space="0"/>
              <w:left w:val="dotted" w:color="auto" w:sz="4" w:space="0"/>
              <w:bottom w:val="single" w:color="auto" w:sz="12" w:space="0"/>
              <w:right w:val="nil"/>
            </w:tcBorders>
            <w:vAlign w:val="center"/>
          </w:tcPr>
          <w:p>
            <w:pPr>
              <w:pStyle w:val="34"/>
              <w:topLinePunct/>
              <w:spacing w:after="0" w:line="240" w:lineRule="atLeast"/>
              <w:ind w:firstLine="0" w:firstLineChars="0"/>
              <w:jc w:val="center"/>
              <w:rPr>
                <w:sz w:val="21"/>
              </w:rPr>
            </w:pPr>
            <w:r>
              <w:rPr>
                <w:rFonts w:hint="eastAsia"/>
                <w:sz w:val="21"/>
              </w:rPr>
              <w:t>柴油罐区</w:t>
            </w:r>
          </w:p>
        </w:tc>
      </w:tr>
    </w:tbl>
    <w:p>
      <w:pPr>
        <w:pStyle w:val="5"/>
      </w:pPr>
      <w:bookmarkStart w:id="549" w:name="_Toc13760274"/>
      <w:bookmarkStart w:id="550" w:name="_Toc9403156"/>
      <w:r>
        <w:t>8.1.2</w:t>
      </w:r>
      <w:r>
        <w:rPr>
          <w:rFonts w:hint="eastAsia"/>
        </w:rPr>
        <w:t>环境敏感目标调查</w:t>
      </w:r>
      <w:bookmarkEnd w:id="549"/>
      <w:bookmarkEnd w:id="550"/>
    </w:p>
    <w:p>
      <w:pPr>
        <w:adjustRightInd w:val="0"/>
        <w:snapToGrid w:val="0"/>
        <w:ind w:firstLine="480"/>
        <w:rPr>
          <w:rFonts w:cs="Times New Roman"/>
          <w:szCs w:val="24"/>
        </w:rPr>
      </w:pPr>
      <w:r>
        <w:rPr>
          <w:rFonts w:hint="eastAsia" w:cs="Times New Roman"/>
          <w:szCs w:val="24"/>
        </w:rPr>
        <w:t>本项目厂址周围没有集中居民区及水源地，</w:t>
      </w:r>
      <w:r>
        <w:rPr>
          <w:rFonts w:cs="Times New Roman"/>
          <w:szCs w:val="24"/>
        </w:rPr>
        <w:t>5km</w:t>
      </w:r>
      <w:r>
        <w:rPr>
          <w:rFonts w:hint="eastAsia" w:cs="Times New Roman"/>
          <w:szCs w:val="24"/>
        </w:rPr>
        <w:t>范围内无村庄。</w:t>
      </w:r>
    </w:p>
    <w:p>
      <w:pPr>
        <w:pStyle w:val="4"/>
        <w:rPr>
          <w:rFonts w:asciiTheme="majorHAnsi" w:hAnsiTheme="majorHAnsi" w:cstheme="majorBidi"/>
          <w:sz w:val="28"/>
        </w:rPr>
      </w:pPr>
      <w:bookmarkStart w:id="551" w:name="_Toc13760275"/>
      <w:bookmarkStart w:id="552" w:name="_Toc9403157"/>
      <w:r>
        <w:t>8.2</w:t>
      </w:r>
      <w:r>
        <w:rPr>
          <w:rFonts w:hint="eastAsia"/>
        </w:rPr>
        <w:t>环境风险潜势初判</w:t>
      </w:r>
      <w:bookmarkEnd w:id="551"/>
      <w:bookmarkEnd w:id="552"/>
    </w:p>
    <w:p>
      <w:pPr>
        <w:pStyle w:val="5"/>
      </w:pPr>
      <w:bookmarkStart w:id="553" w:name="_Toc13760276"/>
      <w:bookmarkStart w:id="554" w:name="_Toc9403158"/>
      <w:r>
        <w:t>8.2.1P</w:t>
      </w:r>
      <w:r>
        <w:rPr>
          <w:rFonts w:hint="eastAsia"/>
        </w:rPr>
        <w:t>的分级确定</w:t>
      </w:r>
      <w:bookmarkEnd w:id="553"/>
      <w:bookmarkEnd w:id="554"/>
    </w:p>
    <w:p>
      <w:pPr>
        <w:widowControl/>
        <w:adjustRightInd w:val="0"/>
        <w:snapToGrid w:val="0"/>
        <w:ind w:firstLine="480"/>
        <w:jc w:val="left"/>
        <w:rPr>
          <w:kern w:val="0"/>
          <w:szCs w:val="24"/>
        </w:rPr>
      </w:pPr>
      <w:r>
        <w:rPr>
          <w:kern w:val="0"/>
          <w:szCs w:val="24"/>
        </w:rPr>
        <w:fldChar w:fldCharType="begin"/>
      </w:r>
      <w:r>
        <w:rPr>
          <w:kern w:val="0"/>
          <w:szCs w:val="24"/>
        </w:rPr>
        <w:instrText xml:space="preserve">= 1 \* GB2</w:instrText>
      </w:r>
      <w:r>
        <w:rPr>
          <w:kern w:val="0"/>
          <w:szCs w:val="24"/>
        </w:rPr>
        <w:fldChar w:fldCharType="separate"/>
      </w:r>
      <w:r>
        <w:rPr>
          <w:rFonts w:hint="eastAsia"/>
          <w:kern w:val="0"/>
          <w:szCs w:val="24"/>
        </w:rPr>
        <w:t>⑴</w:t>
      </w:r>
      <w:r>
        <w:rPr>
          <w:kern w:val="0"/>
          <w:szCs w:val="24"/>
        </w:rPr>
        <w:fldChar w:fldCharType="end"/>
      </w:r>
      <w:r>
        <w:rPr>
          <w:rFonts w:hint="eastAsia"/>
          <w:kern w:val="0"/>
          <w:szCs w:val="24"/>
        </w:rPr>
        <w:t>危险物质数量与临界量比值</w:t>
      </w:r>
      <w:r>
        <w:rPr>
          <w:kern w:val="0"/>
          <w:szCs w:val="24"/>
        </w:rPr>
        <w:t>(Q)</w:t>
      </w:r>
      <w:r>
        <w:rPr>
          <w:rFonts w:hint="eastAsia"/>
          <w:kern w:val="0"/>
          <w:szCs w:val="24"/>
        </w:rPr>
        <w:t>计算</w:t>
      </w:r>
    </w:p>
    <w:p>
      <w:pPr>
        <w:widowControl/>
        <w:adjustRightInd w:val="0"/>
        <w:snapToGrid w:val="0"/>
        <w:ind w:firstLine="480"/>
        <w:jc w:val="left"/>
        <w:rPr>
          <w:kern w:val="0"/>
          <w:szCs w:val="24"/>
        </w:rPr>
      </w:pPr>
      <w:r>
        <w:rPr>
          <w:rFonts w:hint="eastAsia"/>
          <w:szCs w:val="24"/>
        </w:rPr>
        <w:t>根据《建设项目环境风险评价技术导则》</w:t>
      </w:r>
      <w:r>
        <w:rPr>
          <w:szCs w:val="24"/>
        </w:rPr>
        <w:t>(HJ169-2018)</w:t>
      </w:r>
      <w:r>
        <w:rPr>
          <w:rFonts w:hint="eastAsia"/>
          <w:szCs w:val="24"/>
        </w:rPr>
        <w:t>表</w:t>
      </w:r>
      <w:r>
        <w:rPr>
          <w:szCs w:val="24"/>
        </w:rPr>
        <w:t>B.1</w:t>
      </w:r>
      <w:r>
        <w:rPr>
          <w:rFonts w:hint="eastAsia"/>
          <w:szCs w:val="24"/>
        </w:rPr>
        <w:t>、表</w:t>
      </w:r>
      <w:r>
        <w:rPr>
          <w:szCs w:val="24"/>
        </w:rPr>
        <w:t>B.2</w:t>
      </w:r>
      <w:r>
        <w:rPr>
          <w:rFonts w:hint="eastAsia"/>
          <w:szCs w:val="24"/>
        </w:rPr>
        <w:t>和《危险化学品重大危险源辨识》</w:t>
      </w:r>
      <w:r>
        <w:rPr>
          <w:szCs w:val="24"/>
        </w:rPr>
        <w:t>(GB18218-2018)</w:t>
      </w:r>
      <w:r>
        <w:rPr>
          <w:rFonts w:hint="eastAsia"/>
          <w:szCs w:val="24"/>
        </w:rPr>
        <w:t>表</w:t>
      </w:r>
      <w:r>
        <w:rPr>
          <w:szCs w:val="24"/>
        </w:rPr>
        <w:t>1</w:t>
      </w:r>
      <w:r>
        <w:rPr>
          <w:rFonts w:hint="eastAsia"/>
          <w:szCs w:val="24"/>
        </w:rPr>
        <w:t>中规定的临界量来</w:t>
      </w:r>
      <w:r>
        <w:rPr>
          <w:szCs w:val="24"/>
        </w:rPr>
        <w:t>P</w:t>
      </w:r>
      <w:r>
        <w:rPr>
          <w:rFonts w:hint="eastAsia"/>
          <w:szCs w:val="24"/>
        </w:rPr>
        <w:t>的分级确定。</w:t>
      </w:r>
      <w:r>
        <w:rPr>
          <w:rFonts w:hint="eastAsia"/>
          <w:kern w:val="0"/>
          <w:szCs w:val="24"/>
        </w:rPr>
        <w:t>按下式计算物质总量与其临界量比值</w:t>
      </w:r>
      <w:r>
        <w:rPr>
          <w:kern w:val="0"/>
          <w:szCs w:val="24"/>
        </w:rPr>
        <w:t>(Q)</w:t>
      </w:r>
      <w:r>
        <w:rPr>
          <w:rFonts w:hint="eastAsia"/>
          <w:kern w:val="0"/>
          <w:szCs w:val="24"/>
        </w:rPr>
        <w:t>。</w:t>
      </w:r>
    </w:p>
    <w:p>
      <w:pPr>
        <w:widowControl/>
        <w:adjustRightInd w:val="0"/>
        <w:snapToGrid w:val="0"/>
        <w:ind w:firstLine="480"/>
        <w:jc w:val="center"/>
        <w:rPr>
          <w:kern w:val="0"/>
          <w:szCs w:val="24"/>
        </w:rPr>
      </w:pPr>
      <w:r>
        <w:rPr>
          <w:kern w:val="0"/>
          <w:position w:val="-30"/>
          <w:szCs w:val="24"/>
        </w:rPr>
        <w:drawing>
          <wp:inline distT="0" distB="0" distL="0" distR="0">
            <wp:extent cx="1426210" cy="429895"/>
            <wp:effectExtent l="0" t="0" r="254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noChangeArrowheads="1"/>
                    </pic:cNvPicPr>
                  </pic:nvPicPr>
                  <pic:blipFill>
                    <a:blip r:embed="rId60" cstate="print"/>
                    <a:srcRect/>
                    <a:stretch>
                      <a:fillRect/>
                    </a:stretch>
                  </pic:blipFill>
                  <pic:spPr>
                    <a:xfrm>
                      <a:off x="0" y="0"/>
                      <a:ext cx="1426210" cy="429895"/>
                    </a:xfrm>
                    <a:prstGeom prst="rect">
                      <a:avLst/>
                    </a:prstGeom>
                    <a:noFill/>
                    <a:ln w="9525">
                      <a:noFill/>
                      <a:miter lim="800000"/>
                      <a:headEnd/>
                      <a:tailEnd/>
                    </a:ln>
                  </pic:spPr>
                </pic:pic>
              </a:graphicData>
            </a:graphic>
          </wp:inline>
        </w:drawing>
      </w:r>
    </w:p>
    <w:p>
      <w:pPr>
        <w:widowControl/>
        <w:adjustRightInd w:val="0"/>
        <w:snapToGrid w:val="0"/>
        <w:ind w:firstLine="480"/>
        <w:jc w:val="left"/>
        <w:rPr>
          <w:kern w:val="0"/>
          <w:szCs w:val="24"/>
        </w:rPr>
      </w:pPr>
      <w:r>
        <w:rPr>
          <w:rFonts w:hint="eastAsia"/>
          <w:kern w:val="0"/>
          <w:szCs w:val="24"/>
        </w:rPr>
        <w:t>式中：</w:t>
      </w:r>
      <w:r>
        <w:rPr>
          <w:kern w:val="0"/>
          <w:szCs w:val="24"/>
        </w:rPr>
        <w:t>q</w:t>
      </w:r>
      <w:r>
        <w:rPr>
          <w:kern w:val="0"/>
          <w:szCs w:val="24"/>
          <w:vertAlign w:val="subscript"/>
        </w:rPr>
        <w:t>1</w:t>
      </w:r>
      <w:r>
        <w:rPr>
          <w:rFonts w:hint="eastAsia"/>
          <w:kern w:val="0"/>
          <w:szCs w:val="24"/>
        </w:rPr>
        <w:t>、</w:t>
      </w:r>
      <w:r>
        <w:rPr>
          <w:kern w:val="0"/>
          <w:szCs w:val="24"/>
        </w:rPr>
        <w:t>q</w:t>
      </w:r>
      <w:r>
        <w:rPr>
          <w:kern w:val="0"/>
          <w:szCs w:val="24"/>
          <w:vertAlign w:val="subscript"/>
        </w:rPr>
        <w:t>2</w:t>
      </w:r>
      <w:r>
        <w:rPr>
          <w:rFonts w:hint="eastAsia"/>
          <w:kern w:val="0"/>
          <w:szCs w:val="24"/>
        </w:rPr>
        <w:t>、</w:t>
      </w:r>
      <w:r>
        <w:rPr>
          <w:kern w:val="0"/>
          <w:szCs w:val="24"/>
        </w:rPr>
        <w:t>q</w:t>
      </w:r>
      <w:r>
        <w:rPr>
          <w:kern w:val="0"/>
          <w:szCs w:val="24"/>
          <w:vertAlign w:val="subscript"/>
        </w:rPr>
        <w:t>n</w:t>
      </w:r>
      <w:r>
        <w:rPr>
          <w:kern w:val="0"/>
          <w:szCs w:val="24"/>
        </w:rPr>
        <w:t>——</w:t>
      </w:r>
      <w:r>
        <w:rPr>
          <w:rFonts w:hint="eastAsia"/>
          <w:kern w:val="0"/>
          <w:szCs w:val="24"/>
        </w:rPr>
        <w:t>每种危险物质的最大存在总量，</w:t>
      </w:r>
      <w:r>
        <w:rPr>
          <w:kern w:val="0"/>
          <w:szCs w:val="24"/>
        </w:rPr>
        <w:t>t</w:t>
      </w:r>
      <w:r>
        <w:rPr>
          <w:rFonts w:hint="eastAsia"/>
          <w:kern w:val="0"/>
          <w:szCs w:val="24"/>
        </w:rPr>
        <w:t>；</w:t>
      </w:r>
    </w:p>
    <w:p>
      <w:pPr>
        <w:widowControl/>
        <w:adjustRightInd w:val="0"/>
        <w:snapToGrid w:val="0"/>
        <w:ind w:firstLine="1200" w:firstLineChars="500"/>
        <w:jc w:val="left"/>
        <w:rPr>
          <w:kern w:val="0"/>
          <w:szCs w:val="24"/>
        </w:rPr>
      </w:pPr>
      <w:r>
        <w:rPr>
          <w:kern w:val="0"/>
          <w:szCs w:val="24"/>
        </w:rPr>
        <w:t>Q</w:t>
      </w:r>
      <w:r>
        <w:rPr>
          <w:kern w:val="0"/>
          <w:szCs w:val="24"/>
          <w:vertAlign w:val="subscript"/>
        </w:rPr>
        <w:t>1</w:t>
      </w:r>
      <w:r>
        <w:rPr>
          <w:rFonts w:hint="eastAsia"/>
          <w:kern w:val="0"/>
          <w:szCs w:val="24"/>
        </w:rPr>
        <w:t>、</w:t>
      </w:r>
      <w:r>
        <w:rPr>
          <w:kern w:val="0"/>
          <w:szCs w:val="24"/>
        </w:rPr>
        <w:t>Q</w:t>
      </w:r>
      <w:r>
        <w:rPr>
          <w:kern w:val="0"/>
          <w:szCs w:val="24"/>
          <w:vertAlign w:val="subscript"/>
        </w:rPr>
        <w:t>2</w:t>
      </w:r>
      <w:r>
        <w:rPr>
          <w:rFonts w:hint="eastAsia"/>
          <w:kern w:val="0"/>
          <w:szCs w:val="24"/>
        </w:rPr>
        <w:t>、</w:t>
      </w:r>
      <w:r>
        <w:rPr>
          <w:kern w:val="0"/>
          <w:szCs w:val="24"/>
        </w:rPr>
        <w:t>Q</w:t>
      </w:r>
      <w:r>
        <w:rPr>
          <w:kern w:val="0"/>
          <w:szCs w:val="24"/>
          <w:vertAlign w:val="subscript"/>
        </w:rPr>
        <w:t>n</w:t>
      </w:r>
      <w:r>
        <w:rPr>
          <w:kern w:val="0"/>
          <w:szCs w:val="24"/>
        </w:rPr>
        <w:t>——</w:t>
      </w:r>
      <w:r>
        <w:rPr>
          <w:rFonts w:hint="eastAsia"/>
          <w:kern w:val="0"/>
          <w:szCs w:val="24"/>
        </w:rPr>
        <w:t>每种危险物质的临界量，</w:t>
      </w:r>
      <w:r>
        <w:rPr>
          <w:kern w:val="0"/>
          <w:szCs w:val="24"/>
        </w:rPr>
        <w:t>t</w:t>
      </w:r>
      <w:r>
        <w:rPr>
          <w:rFonts w:hint="eastAsia"/>
          <w:kern w:val="0"/>
          <w:szCs w:val="24"/>
        </w:rPr>
        <w:t>。</w:t>
      </w:r>
    </w:p>
    <w:p>
      <w:pPr>
        <w:widowControl/>
        <w:adjustRightInd w:val="0"/>
        <w:snapToGrid w:val="0"/>
        <w:ind w:firstLine="1200" w:firstLineChars="500"/>
        <w:jc w:val="left"/>
        <w:rPr>
          <w:kern w:val="0"/>
          <w:szCs w:val="24"/>
        </w:rPr>
      </w:pPr>
      <w:r>
        <w:rPr>
          <w:rFonts w:hint="eastAsia"/>
          <w:kern w:val="0"/>
          <w:szCs w:val="24"/>
        </w:rPr>
        <w:t>当</w:t>
      </w:r>
      <w:r>
        <w:rPr>
          <w:kern w:val="0"/>
          <w:szCs w:val="24"/>
        </w:rPr>
        <w:t>Q</w:t>
      </w:r>
      <w:r>
        <w:rPr>
          <w:rFonts w:hint="eastAsia"/>
          <w:kern w:val="0"/>
          <w:szCs w:val="24"/>
        </w:rPr>
        <w:t>＜</w:t>
      </w:r>
      <w:r>
        <w:rPr>
          <w:kern w:val="0"/>
          <w:szCs w:val="24"/>
        </w:rPr>
        <w:t>1</w:t>
      </w:r>
      <w:r>
        <w:rPr>
          <w:rFonts w:hint="eastAsia"/>
          <w:kern w:val="0"/>
          <w:szCs w:val="24"/>
        </w:rPr>
        <w:t>时，该项目环境风险潜势为</w:t>
      </w:r>
      <w:r>
        <w:rPr>
          <w:kern w:val="0"/>
          <w:szCs w:val="24"/>
        </w:rPr>
        <w:t>I</w:t>
      </w:r>
      <w:r>
        <w:rPr>
          <w:rFonts w:hint="eastAsia"/>
          <w:kern w:val="0"/>
          <w:szCs w:val="24"/>
        </w:rPr>
        <w:t>。</w:t>
      </w:r>
    </w:p>
    <w:p>
      <w:pPr>
        <w:widowControl/>
        <w:adjustRightInd w:val="0"/>
        <w:snapToGrid w:val="0"/>
        <w:ind w:firstLine="1200" w:firstLineChars="500"/>
        <w:jc w:val="left"/>
        <w:rPr>
          <w:kern w:val="0"/>
          <w:szCs w:val="24"/>
        </w:rPr>
      </w:pPr>
      <w:r>
        <w:rPr>
          <w:rFonts w:hint="eastAsia"/>
          <w:kern w:val="0"/>
          <w:szCs w:val="24"/>
        </w:rPr>
        <w:t>当</w:t>
      </w:r>
      <w:r>
        <w:rPr>
          <w:kern w:val="0"/>
          <w:szCs w:val="24"/>
        </w:rPr>
        <w:t>Q≥1</w:t>
      </w:r>
      <w:r>
        <w:rPr>
          <w:rFonts w:hint="eastAsia"/>
          <w:kern w:val="0"/>
          <w:szCs w:val="24"/>
        </w:rPr>
        <w:t>时，将</w:t>
      </w:r>
      <w:r>
        <w:rPr>
          <w:kern w:val="0"/>
          <w:szCs w:val="24"/>
        </w:rPr>
        <w:t>Q</w:t>
      </w:r>
      <w:r>
        <w:rPr>
          <w:rFonts w:hint="eastAsia"/>
          <w:kern w:val="0"/>
          <w:szCs w:val="24"/>
        </w:rPr>
        <w:t>值划分为：</w:t>
      </w:r>
      <w:r>
        <w:rPr>
          <w:kern w:val="0"/>
          <w:szCs w:val="24"/>
        </w:rPr>
        <w:fldChar w:fldCharType="begin"/>
      </w:r>
      <w:r>
        <w:rPr>
          <w:kern w:val="0"/>
          <w:szCs w:val="24"/>
        </w:rPr>
        <w:instrText xml:space="preserve">= 1 \* GB3</w:instrText>
      </w:r>
      <w:r>
        <w:rPr>
          <w:kern w:val="0"/>
          <w:szCs w:val="24"/>
        </w:rPr>
        <w:fldChar w:fldCharType="separate"/>
      </w:r>
      <w:r>
        <w:rPr>
          <w:rFonts w:hint="eastAsia"/>
          <w:kern w:val="0"/>
          <w:szCs w:val="24"/>
        </w:rPr>
        <w:t>①</w:t>
      </w:r>
      <w:r>
        <w:rPr>
          <w:kern w:val="0"/>
          <w:szCs w:val="24"/>
        </w:rPr>
        <w:fldChar w:fldCharType="end"/>
      </w:r>
      <w:r>
        <w:rPr>
          <w:kern w:val="0"/>
          <w:szCs w:val="24"/>
        </w:rPr>
        <w:t>1≤Q</w:t>
      </w:r>
      <w:r>
        <w:rPr>
          <w:rFonts w:hint="eastAsia"/>
          <w:kern w:val="0"/>
          <w:szCs w:val="24"/>
        </w:rPr>
        <w:t>＜</w:t>
      </w:r>
      <w:r>
        <w:rPr>
          <w:kern w:val="0"/>
          <w:szCs w:val="24"/>
        </w:rPr>
        <w:t>10</w:t>
      </w:r>
      <w:r>
        <w:rPr>
          <w:rFonts w:hint="eastAsia"/>
          <w:kern w:val="0"/>
          <w:szCs w:val="24"/>
        </w:rPr>
        <w:t>；</w:t>
      </w:r>
      <w:r>
        <w:rPr>
          <w:kern w:val="0"/>
          <w:szCs w:val="24"/>
        </w:rPr>
        <w:fldChar w:fldCharType="begin"/>
      </w:r>
      <w:r>
        <w:rPr>
          <w:kern w:val="0"/>
          <w:szCs w:val="24"/>
        </w:rPr>
        <w:instrText xml:space="preserve">= 2 \* GB3</w:instrText>
      </w:r>
      <w:r>
        <w:rPr>
          <w:kern w:val="0"/>
          <w:szCs w:val="24"/>
        </w:rPr>
        <w:fldChar w:fldCharType="separate"/>
      </w:r>
      <w:r>
        <w:rPr>
          <w:rFonts w:hint="eastAsia"/>
          <w:kern w:val="0"/>
          <w:szCs w:val="24"/>
        </w:rPr>
        <w:t>②</w:t>
      </w:r>
      <w:r>
        <w:rPr>
          <w:kern w:val="0"/>
          <w:szCs w:val="24"/>
        </w:rPr>
        <w:fldChar w:fldCharType="end"/>
      </w:r>
      <w:r>
        <w:rPr>
          <w:kern w:val="0"/>
          <w:szCs w:val="24"/>
        </w:rPr>
        <w:t>10≤Q</w:t>
      </w:r>
      <w:r>
        <w:rPr>
          <w:rFonts w:hint="eastAsia"/>
          <w:kern w:val="0"/>
          <w:szCs w:val="24"/>
        </w:rPr>
        <w:t>＜</w:t>
      </w:r>
      <w:r>
        <w:rPr>
          <w:kern w:val="0"/>
          <w:szCs w:val="24"/>
        </w:rPr>
        <w:t>100</w:t>
      </w:r>
      <w:r>
        <w:rPr>
          <w:rFonts w:hint="eastAsia"/>
          <w:kern w:val="0"/>
          <w:szCs w:val="24"/>
        </w:rPr>
        <w:t>；</w:t>
      </w:r>
      <w:r>
        <w:rPr>
          <w:kern w:val="0"/>
          <w:szCs w:val="24"/>
        </w:rPr>
        <w:fldChar w:fldCharType="begin"/>
      </w:r>
      <w:r>
        <w:rPr>
          <w:kern w:val="0"/>
          <w:szCs w:val="24"/>
        </w:rPr>
        <w:instrText xml:space="preserve">= 3 \* GB3</w:instrText>
      </w:r>
      <w:r>
        <w:rPr>
          <w:kern w:val="0"/>
          <w:szCs w:val="24"/>
        </w:rPr>
        <w:fldChar w:fldCharType="separate"/>
      </w:r>
      <w:r>
        <w:rPr>
          <w:rFonts w:hint="eastAsia"/>
          <w:kern w:val="0"/>
          <w:szCs w:val="24"/>
        </w:rPr>
        <w:t>③</w:t>
      </w:r>
      <w:r>
        <w:rPr>
          <w:kern w:val="0"/>
          <w:szCs w:val="24"/>
        </w:rPr>
        <w:fldChar w:fldCharType="end"/>
      </w:r>
      <w:r>
        <w:rPr>
          <w:kern w:val="0"/>
          <w:szCs w:val="24"/>
        </w:rPr>
        <w:t>Q≥100</w:t>
      </w:r>
      <w:r>
        <w:rPr>
          <w:rFonts w:hint="eastAsia"/>
          <w:kern w:val="0"/>
          <w:szCs w:val="24"/>
        </w:rPr>
        <w:t>。</w:t>
      </w:r>
    </w:p>
    <w:p>
      <w:pPr>
        <w:pStyle w:val="161"/>
        <w:ind w:firstLine="480"/>
        <w:rPr>
          <w:kern w:val="0"/>
        </w:rPr>
      </w:pPr>
      <w:r>
        <w:rPr>
          <w:rFonts w:hint="eastAsia" w:hAnsiTheme="minorEastAsia"/>
          <w:kern w:val="0"/>
        </w:rPr>
        <w:t>表</w:t>
      </w:r>
      <w:r>
        <w:rPr>
          <w:kern w:val="0"/>
        </w:rPr>
        <w:t>8.2</w:t>
      </w:r>
      <w:r>
        <w:rPr>
          <w:rFonts w:hint="eastAsia"/>
          <w:kern w:val="0"/>
        </w:rPr>
        <w:t>—</w:t>
      </w:r>
      <w:r>
        <w:rPr>
          <w:kern w:val="0"/>
        </w:rPr>
        <w:t xml:space="preserve">1    </w:t>
      </w:r>
      <w:r>
        <w:rPr>
          <w:rFonts w:hint="eastAsia" w:hAnsiTheme="minorEastAsia"/>
          <w:kern w:val="0"/>
        </w:rPr>
        <w:t>建设项目</w:t>
      </w:r>
      <w:r>
        <w:rPr>
          <w:kern w:val="0"/>
        </w:rPr>
        <w:t>Q</w:t>
      </w:r>
      <w:r>
        <w:rPr>
          <w:rFonts w:hint="eastAsia" w:hAnsiTheme="minorEastAsia"/>
          <w:kern w:val="0"/>
        </w:rPr>
        <w:t>值确定表</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76"/>
        <w:gridCol w:w="2360"/>
        <w:gridCol w:w="2122"/>
        <w:gridCol w:w="1842"/>
        <w:gridCol w:w="235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176"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序号</w:t>
            </w:r>
          </w:p>
        </w:tc>
        <w:tc>
          <w:tcPr>
            <w:tcW w:w="2360"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危险物质</w:t>
            </w:r>
          </w:p>
        </w:tc>
        <w:tc>
          <w:tcPr>
            <w:tcW w:w="2122"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最大存在总量</w:t>
            </w:r>
            <w:r>
              <w:rPr>
                <w:rFonts w:cs="Times New Roman"/>
                <w:kern w:val="0"/>
                <w:sz w:val="21"/>
              </w:rPr>
              <w:t>(t)</w:t>
            </w:r>
          </w:p>
        </w:tc>
        <w:tc>
          <w:tcPr>
            <w:tcW w:w="1842"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临界量</w:t>
            </w:r>
            <w:r>
              <w:rPr>
                <w:rFonts w:cs="Times New Roman"/>
                <w:kern w:val="0"/>
                <w:sz w:val="21"/>
              </w:rPr>
              <w:t>(t)</w:t>
            </w:r>
          </w:p>
        </w:tc>
        <w:tc>
          <w:tcPr>
            <w:tcW w:w="2354"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该种危险物质</w:t>
            </w:r>
            <w:r>
              <w:rPr>
                <w:rFonts w:cs="Times New Roman"/>
                <w:kern w:val="0"/>
                <w:sz w:val="21"/>
              </w:rPr>
              <w:t>Q</w:t>
            </w:r>
            <w:r>
              <w:rPr>
                <w:rFonts w:hint="eastAsia" w:cs="Times New Roman" w:hAnsiTheme="minorEastAsia"/>
                <w:kern w:val="0"/>
                <w:sz w:val="21"/>
              </w:rPr>
              <w:t>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176"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1</w:t>
            </w:r>
          </w:p>
        </w:tc>
        <w:tc>
          <w:tcPr>
            <w:tcW w:w="2360" w:type="dxa"/>
            <w:tcBorders>
              <w:top w:val="single" w:color="auto" w:sz="12"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废酸</w:t>
            </w:r>
          </w:p>
        </w:tc>
        <w:tc>
          <w:tcPr>
            <w:tcW w:w="2122" w:type="dxa"/>
            <w:tcBorders>
              <w:top w:val="single" w:color="auto" w:sz="12"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320</w:t>
            </w:r>
          </w:p>
        </w:tc>
        <w:tc>
          <w:tcPr>
            <w:tcW w:w="1842" w:type="dxa"/>
            <w:tcBorders>
              <w:top w:val="single" w:color="auto" w:sz="12"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50</w:t>
            </w:r>
          </w:p>
        </w:tc>
        <w:tc>
          <w:tcPr>
            <w:tcW w:w="2354"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eastAsiaTheme="minorEastAsia"/>
                <w:kern w:val="0"/>
                <w:sz w:val="21"/>
              </w:rPr>
              <w:t>6.4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17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2</w:t>
            </w:r>
          </w:p>
        </w:tc>
        <w:tc>
          <w:tcPr>
            <w:tcW w:w="2360"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废碱</w:t>
            </w:r>
          </w:p>
        </w:tc>
        <w:tc>
          <w:tcPr>
            <w:tcW w:w="212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320</w:t>
            </w:r>
          </w:p>
        </w:tc>
        <w:tc>
          <w:tcPr>
            <w:tcW w:w="184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50</w:t>
            </w:r>
          </w:p>
        </w:tc>
        <w:tc>
          <w:tcPr>
            <w:tcW w:w="2354"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eastAsiaTheme="minorEastAsia"/>
                <w:kern w:val="0"/>
                <w:sz w:val="21"/>
              </w:rPr>
              <w:t>6.4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17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3</w:t>
            </w:r>
          </w:p>
        </w:tc>
        <w:tc>
          <w:tcPr>
            <w:tcW w:w="2360"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废乳化液</w:t>
            </w:r>
          </w:p>
        </w:tc>
        <w:tc>
          <w:tcPr>
            <w:tcW w:w="212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160</w:t>
            </w:r>
          </w:p>
        </w:tc>
        <w:tc>
          <w:tcPr>
            <w:tcW w:w="184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1000</w:t>
            </w:r>
          </w:p>
        </w:tc>
        <w:tc>
          <w:tcPr>
            <w:tcW w:w="2354"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eastAsiaTheme="minorEastAsia"/>
                <w:kern w:val="0"/>
                <w:sz w:val="21"/>
              </w:rPr>
              <w:t>0.16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17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4</w:t>
            </w:r>
          </w:p>
        </w:tc>
        <w:tc>
          <w:tcPr>
            <w:tcW w:w="2360"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可燃废液</w:t>
            </w:r>
          </w:p>
        </w:tc>
        <w:tc>
          <w:tcPr>
            <w:tcW w:w="212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rFonts w:hint="eastAsia"/>
                <w:sz w:val="21"/>
              </w:rPr>
              <w:t>960</w:t>
            </w:r>
          </w:p>
        </w:tc>
        <w:tc>
          <w:tcPr>
            <w:tcW w:w="184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1000</w:t>
            </w:r>
          </w:p>
        </w:tc>
        <w:tc>
          <w:tcPr>
            <w:tcW w:w="2354"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eastAsiaTheme="minorEastAsia"/>
                <w:kern w:val="0"/>
                <w:sz w:val="21"/>
              </w:rPr>
              <w:t>0.96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17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5</w:t>
            </w:r>
          </w:p>
        </w:tc>
        <w:tc>
          <w:tcPr>
            <w:tcW w:w="2360"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柴油</w:t>
            </w:r>
          </w:p>
        </w:tc>
        <w:tc>
          <w:tcPr>
            <w:tcW w:w="2122"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15</w:t>
            </w:r>
          </w:p>
        </w:tc>
        <w:tc>
          <w:tcPr>
            <w:tcW w:w="1842" w:type="dxa"/>
            <w:tcBorders>
              <w:top w:val="dotted" w:color="auto" w:sz="4" w:space="0"/>
              <w:left w:val="dotted" w:color="auto" w:sz="4" w:space="0"/>
              <w:bottom w:val="dotted" w:color="auto" w:sz="4" w:space="0"/>
              <w:right w:val="dotted" w:color="auto" w:sz="4" w:space="0"/>
            </w:tcBorders>
            <w:vAlign w:val="center"/>
          </w:tcPr>
          <w:p>
            <w:pPr>
              <w:pStyle w:val="34"/>
              <w:topLinePunct/>
              <w:spacing w:after="0" w:line="240" w:lineRule="atLeast"/>
              <w:ind w:firstLine="0" w:firstLineChars="0"/>
              <w:jc w:val="center"/>
              <w:rPr>
                <w:sz w:val="21"/>
              </w:rPr>
            </w:pPr>
            <w:r>
              <w:rPr>
                <w:sz w:val="21"/>
              </w:rPr>
              <w:t>2</w:t>
            </w:r>
            <w:r>
              <w:rPr>
                <w:rFonts w:hint="eastAsia"/>
                <w:sz w:val="21"/>
              </w:rPr>
              <w:t>5</w:t>
            </w:r>
            <w:r>
              <w:rPr>
                <w:sz w:val="21"/>
              </w:rPr>
              <w:t>00</w:t>
            </w:r>
          </w:p>
        </w:tc>
        <w:tc>
          <w:tcPr>
            <w:tcW w:w="2354"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eastAsiaTheme="minorEastAsia"/>
                <w:kern w:val="0"/>
                <w:sz w:val="21"/>
              </w:rPr>
              <w:t>0.006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176"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合计</w:t>
            </w:r>
          </w:p>
        </w:tc>
        <w:tc>
          <w:tcPr>
            <w:tcW w:w="2360"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w:t>
            </w:r>
          </w:p>
        </w:tc>
        <w:tc>
          <w:tcPr>
            <w:tcW w:w="2122"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w:t>
            </w:r>
          </w:p>
        </w:tc>
        <w:tc>
          <w:tcPr>
            <w:tcW w:w="1842"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w:t>
            </w:r>
          </w:p>
        </w:tc>
        <w:tc>
          <w:tcPr>
            <w:tcW w:w="2354"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eastAsiaTheme="minorEastAsia"/>
                <w:kern w:val="0"/>
                <w:sz w:val="21"/>
              </w:rPr>
              <w:t>13.926</w:t>
            </w:r>
          </w:p>
        </w:tc>
      </w:tr>
    </w:tbl>
    <w:p>
      <w:pPr>
        <w:ind w:firstLine="480"/>
        <w:rPr>
          <w:kern w:val="0"/>
        </w:rPr>
      </w:pPr>
    </w:p>
    <w:p>
      <w:pPr>
        <w:ind w:firstLine="480"/>
        <w:rPr>
          <w:rFonts w:eastAsiaTheme="minorEastAsia"/>
          <w:color w:val="333333"/>
          <w:kern w:val="0"/>
          <w:shd w:val="clear" w:color="auto" w:fill="FFFFFF"/>
        </w:rPr>
      </w:pPr>
      <w:r>
        <w:rPr>
          <w:rFonts w:hint="eastAsia"/>
          <w:kern w:val="0"/>
        </w:rPr>
        <w:t>经上表计算，</w:t>
      </w:r>
      <w:r>
        <w:rPr>
          <w:kern w:val="0"/>
        </w:rPr>
        <w:t>Q</w:t>
      </w:r>
      <w:r>
        <w:rPr>
          <w:rFonts w:hint="eastAsia"/>
          <w:kern w:val="0"/>
        </w:rPr>
        <w:t>值为13.932，属于</w:t>
      </w:r>
      <w:r>
        <w:rPr>
          <w:kern w:val="0"/>
          <w:szCs w:val="24"/>
        </w:rPr>
        <w:t>10≤Q</w:t>
      </w:r>
      <w:r>
        <w:rPr>
          <w:rFonts w:hint="eastAsia"/>
          <w:kern w:val="0"/>
          <w:szCs w:val="24"/>
        </w:rPr>
        <w:t>＜</w:t>
      </w:r>
      <w:r>
        <w:rPr>
          <w:kern w:val="0"/>
          <w:szCs w:val="24"/>
        </w:rPr>
        <w:t>100</w:t>
      </w:r>
      <w:r>
        <w:rPr>
          <w:rFonts w:hint="eastAsia"/>
          <w:color w:val="333333"/>
          <w:kern w:val="0"/>
          <w:shd w:val="clear" w:color="auto" w:fill="FFFFFF"/>
        </w:rPr>
        <w:t>范围。</w:t>
      </w:r>
    </w:p>
    <w:p>
      <w:pPr>
        <w:ind w:firstLine="480"/>
        <w:rPr>
          <w:kern w:val="0"/>
        </w:rPr>
      </w:pPr>
      <w:r>
        <w:rPr>
          <w:rFonts w:hint="eastAsia"/>
        </w:rPr>
        <w:fldChar w:fldCharType="begin"/>
      </w:r>
      <w:r>
        <w:instrText xml:space="preserve">= 2 \* GB2</w:instrText>
      </w:r>
      <w:r>
        <w:rPr>
          <w:rFonts w:hint="eastAsia"/>
        </w:rPr>
        <w:fldChar w:fldCharType="separate"/>
      </w:r>
      <w:r>
        <w:rPr>
          <w:rFonts w:hint="eastAsia"/>
        </w:rPr>
        <w:t>⑵</w:t>
      </w:r>
      <w:r>
        <w:rPr>
          <w:rFonts w:hint="eastAsia"/>
        </w:rPr>
        <w:fldChar w:fldCharType="end"/>
      </w:r>
      <w:r>
        <w:rPr>
          <w:rFonts w:hint="eastAsia"/>
          <w:kern w:val="0"/>
        </w:rPr>
        <w:t>行业及生产工艺评估</w:t>
      </w:r>
      <w:r>
        <w:rPr>
          <w:kern w:val="0"/>
        </w:rPr>
        <w:t>(M)</w:t>
      </w:r>
    </w:p>
    <w:p>
      <w:pPr>
        <w:ind w:firstLine="480"/>
        <w:rPr>
          <w:kern w:val="0"/>
        </w:rPr>
      </w:pPr>
      <w:r>
        <w:rPr>
          <w:rFonts w:hint="eastAsia"/>
          <w:kern w:val="0"/>
        </w:rPr>
        <w:t>根据表</w:t>
      </w:r>
      <w:r>
        <w:rPr>
          <w:kern w:val="0"/>
        </w:rPr>
        <w:t>8.2</w:t>
      </w:r>
      <w:r>
        <w:rPr>
          <w:rFonts w:hint="eastAsia"/>
          <w:kern w:val="0"/>
        </w:rPr>
        <w:t>—</w:t>
      </w:r>
      <w:r>
        <w:rPr>
          <w:kern w:val="0"/>
        </w:rPr>
        <w:t>2</w:t>
      </w:r>
      <w:r>
        <w:rPr>
          <w:rFonts w:hint="eastAsia"/>
          <w:kern w:val="0"/>
        </w:rPr>
        <w:t>评估生产工艺情况，其中具有多套工艺单元的项目，对每套生产工艺分别评分并求和。将</w:t>
      </w:r>
      <w:r>
        <w:rPr>
          <w:kern w:val="0"/>
        </w:rPr>
        <w:t>M</w:t>
      </w:r>
      <w:r>
        <w:rPr>
          <w:rFonts w:hint="eastAsia"/>
          <w:kern w:val="0"/>
        </w:rPr>
        <w:t>划分为</w:t>
      </w:r>
      <w:r>
        <w:rPr>
          <w:kern w:val="0"/>
        </w:rPr>
        <w:fldChar w:fldCharType="begin"/>
      </w:r>
      <w:r>
        <w:rPr>
          <w:kern w:val="0"/>
        </w:rPr>
        <w:instrText xml:space="preserve"> = 1 \* GB3 </w:instrText>
      </w:r>
      <w:r>
        <w:rPr>
          <w:kern w:val="0"/>
        </w:rPr>
        <w:fldChar w:fldCharType="separate"/>
      </w:r>
      <w:r>
        <w:rPr>
          <w:rFonts w:hint="eastAsia" w:ascii="宋体" w:hAnsi="宋体" w:cs="宋体"/>
          <w:kern w:val="0"/>
        </w:rPr>
        <w:t>①</w:t>
      </w:r>
      <w:r>
        <w:rPr>
          <w:kern w:val="0"/>
        </w:rPr>
        <w:fldChar w:fldCharType="end"/>
      </w:r>
      <w:r>
        <w:rPr>
          <w:kern w:val="0"/>
        </w:rPr>
        <w:t>M&gt;20</w:t>
      </w:r>
      <w:r>
        <w:rPr>
          <w:rFonts w:hint="eastAsia"/>
          <w:kern w:val="0"/>
        </w:rPr>
        <w:t>；</w:t>
      </w:r>
      <w:r>
        <w:rPr>
          <w:kern w:val="0"/>
        </w:rPr>
        <w:fldChar w:fldCharType="begin"/>
      </w:r>
      <w:r>
        <w:rPr>
          <w:kern w:val="0"/>
        </w:rPr>
        <w:instrText xml:space="preserve"> = 2 \* GB3 </w:instrText>
      </w:r>
      <w:r>
        <w:rPr>
          <w:kern w:val="0"/>
        </w:rPr>
        <w:fldChar w:fldCharType="separate"/>
      </w:r>
      <w:r>
        <w:rPr>
          <w:rFonts w:hint="eastAsia" w:ascii="宋体" w:hAnsi="宋体" w:cs="宋体"/>
          <w:kern w:val="0"/>
        </w:rPr>
        <w:t>②</w:t>
      </w:r>
      <w:r>
        <w:rPr>
          <w:kern w:val="0"/>
        </w:rPr>
        <w:fldChar w:fldCharType="end"/>
      </w:r>
      <w:r>
        <w:rPr>
          <w:kern w:val="0"/>
        </w:rPr>
        <w:t>10&lt;M≤20</w:t>
      </w:r>
      <w:r>
        <w:rPr>
          <w:rFonts w:hint="eastAsia"/>
          <w:kern w:val="0"/>
        </w:rPr>
        <w:t>；</w:t>
      </w:r>
      <w:r>
        <w:rPr>
          <w:kern w:val="0"/>
        </w:rPr>
        <w:fldChar w:fldCharType="begin"/>
      </w:r>
      <w:r>
        <w:rPr>
          <w:kern w:val="0"/>
        </w:rPr>
        <w:instrText xml:space="preserve"> = 3 \* GB3 </w:instrText>
      </w:r>
      <w:r>
        <w:rPr>
          <w:kern w:val="0"/>
        </w:rPr>
        <w:fldChar w:fldCharType="separate"/>
      </w:r>
      <w:r>
        <w:rPr>
          <w:rFonts w:hint="eastAsia" w:ascii="宋体" w:hAnsi="宋体" w:cs="宋体"/>
          <w:kern w:val="0"/>
        </w:rPr>
        <w:t>③</w:t>
      </w:r>
      <w:r>
        <w:rPr>
          <w:kern w:val="0"/>
        </w:rPr>
        <w:fldChar w:fldCharType="end"/>
      </w:r>
      <w:r>
        <w:rPr>
          <w:kern w:val="0"/>
        </w:rPr>
        <w:t>5&lt;M≤10</w:t>
      </w:r>
      <w:r>
        <w:rPr>
          <w:rFonts w:hint="eastAsia"/>
          <w:kern w:val="0"/>
        </w:rPr>
        <w:t>；</w:t>
      </w:r>
      <w:r>
        <w:rPr>
          <w:kern w:val="0"/>
        </w:rPr>
        <w:fldChar w:fldCharType="begin"/>
      </w:r>
      <w:r>
        <w:rPr>
          <w:kern w:val="0"/>
        </w:rPr>
        <w:instrText xml:space="preserve"> = 4 \* GB3 </w:instrText>
      </w:r>
      <w:r>
        <w:rPr>
          <w:kern w:val="0"/>
        </w:rPr>
        <w:fldChar w:fldCharType="separate"/>
      </w:r>
      <w:r>
        <w:rPr>
          <w:rFonts w:hint="eastAsia" w:ascii="宋体" w:hAnsi="宋体" w:cs="宋体"/>
          <w:kern w:val="0"/>
        </w:rPr>
        <w:t>④</w:t>
      </w:r>
      <w:r>
        <w:rPr>
          <w:kern w:val="0"/>
        </w:rPr>
        <w:fldChar w:fldCharType="end"/>
      </w:r>
      <w:r>
        <w:rPr>
          <w:kern w:val="0"/>
        </w:rPr>
        <w:t>M=5</w:t>
      </w:r>
      <w:r>
        <w:rPr>
          <w:rFonts w:hint="eastAsia"/>
          <w:kern w:val="0"/>
        </w:rPr>
        <w:t>，分别以</w:t>
      </w:r>
      <w:r>
        <w:rPr>
          <w:kern w:val="0"/>
        </w:rPr>
        <w:t>M1</w:t>
      </w:r>
      <w:r>
        <w:rPr>
          <w:rFonts w:hint="eastAsia"/>
          <w:kern w:val="0"/>
        </w:rPr>
        <w:t>、</w:t>
      </w:r>
      <w:r>
        <w:rPr>
          <w:kern w:val="0"/>
        </w:rPr>
        <w:t>M2</w:t>
      </w:r>
      <w:r>
        <w:rPr>
          <w:rFonts w:hint="eastAsia"/>
          <w:kern w:val="0"/>
        </w:rPr>
        <w:t>、</w:t>
      </w:r>
      <w:r>
        <w:rPr>
          <w:kern w:val="0"/>
        </w:rPr>
        <w:t>M3</w:t>
      </w:r>
      <w:r>
        <w:rPr>
          <w:rFonts w:hint="eastAsia"/>
          <w:kern w:val="0"/>
        </w:rPr>
        <w:t>和</w:t>
      </w:r>
      <w:r>
        <w:rPr>
          <w:kern w:val="0"/>
        </w:rPr>
        <w:t>M4</w:t>
      </w:r>
      <w:r>
        <w:rPr>
          <w:rFonts w:hint="eastAsia"/>
          <w:kern w:val="0"/>
        </w:rPr>
        <w:t>表示，具体如下表</w:t>
      </w:r>
      <w:r>
        <w:rPr>
          <w:kern w:val="0"/>
        </w:rPr>
        <w:t>8.2</w:t>
      </w:r>
      <w:r>
        <w:rPr>
          <w:rFonts w:hint="eastAsia" w:cs="Times New Roman"/>
          <w:kern w:val="0"/>
        </w:rPr>
        <w:t>—</w:t>
      </w:r>
      <w:r>
        <w:rPr>
          <w:rFonts w:cs="Times New Roman"/>
          <w:kern w:val="0"/>
        </w:rPr>
        <w:t>2</w:t>
      </w:r>
      <w:r>
        <w:rPr>
          <w:rFonts w:hint="eastAsia"/>
          <w:kern w:val="0"/>
        </w:rPr>
        <w:t>所示。</w:t>
      </w:r>
    </w:p>
    <w:p>
      <w:pPr>
        <w:pStyle w:val="161"/>
        <w:ind w:firstLine="480"/>
        <w:rPr>
          <w:rFonts w:cs="Times New Roman"/>
          <w:kern w:val="0"/>
        </w:rPr>
      </w:pPr>
      <w:r>
        <w:rPr>
          <w:rFonts w:hint="eastAsia" w:cs="Times New Roman" w:hAnsiTheme="minorEastAsia"/>
          <w:kern w:val="0"/>
        </w:rPr>
        <w:t>表</w:t>
      </w:r>
      <w:r>
        <w:rPr>
          <w:rFonts w:cs="Times New Roman"/>
          <w:kern w:val="0"/>
        </w:rPr>
        <w:t>8.2</w:t>
      </w:r>
      <w:r>
        <w:rPr>
          <w:rFonts w:hint="eastAsia" w:cs="Times New Roman"/>
          <w:kern w:val="0"/>
        </w:rPr>
        <w:t>—</w:t>
      </w:r>
      <w:r>
        <w:rPr>
          <w:rFonts w:cs="Times New Roman"/>
          <w:kern w:val="0"/>
        </w:rPr>
        <w:t xml:space="preserve">2   </w:t>
      </w:r>
      <w:r>
        <w:rPr>
          <w:rFonts w:hint="eastAsia" w:cs="Times New Roman" w:hAnsiTheme="minorEastAsia"/>
          <w:kern w:val="0"/>
        </w:rPr>
        <w:t>行业和生产工艺评估一览表</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156"/>
        <w:gridCol w:w="6081"/>
        <w:gridCol w:w="161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156"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行业</w:t>
            </w:r>
          </w:p>
        </w:tc>
        <w:tc>
          <w:tcPr>
            <w:tcW w:w="6081"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评估依据</w:t>
            </w:r>
          </w:p>
        </w:tc>
        <w:tc>
          <w:tcPr>
            <w:tcW w:w="1617"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分值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156" w:type="dxa"/>
            <w:vMerge w:val="restart"/>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石化、化工、医药、轻工、化纤、有色冶炼等</w:t>
            </w:r>
          </w:p>
        </w:tc>
        <w:tc>
          <w:tcPr>
            <w:tcW w:w="6081"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left"/>
              <w:rPr>
                <w:rFonts w:eastAsiaTheme="minorEastAsia"/>
                <w:kern w:val="0"/>
                <w:sz w:val="21"/>
              </w:rPr>
            </w:pPr>
            <w:r>
              <w:rPr>
                <w:rFonts w:hint="eastAsia"/>
                <w:kern w:val="0"/>
                <w:sz w:val="21"/>
              </w:rPr>
              <w:t>涉及光气及光气化工艺、电解工艺</w:t>
            </w:r>
            <w:r>
              <w:rPr>
                <w:kern w:val="0"/>
                <w:sz w:val="21"/>
              </w:rPr>
              <w:t>(</w:t>
            </w:r>
            <w:r>
              <w:rPr>
                <w:rFonts w:hint="eastAsia"/>
                <w:kern w:val="0"/>
                <w:sz w:val="21"/>
              </w:rPr>
              <w:t>氯碱</w:t>
            </w:r>
            <w:r>
              <w:rPr>
                <w:kern w:val="0"/>
                <w:sz w:val="21"/>
              </w:rPr>
              <w:t>)</w:t>
            </w:r>
            <w:r>
              <w:rPr>
                <w:rFonts w:hint="eastAsia"/>
                <w:kern w:val="0"/>
                <w:sz w:val="21"/>
              </w:rPr>
              <w:t>、氯化工艺、硝化工艺、合成氨工艺、裂解</w:t>
            </w:r>
            <w:r>
              <w:rPr>
                <w:kern w:val="0"/>
                <w:sz w:val="21"/>
              </w:rPr>
              <w:t>(</w:t>
            </w:r>
            <w:r>
              <w:rPr>
                <w:rFonts w:hint="eastAsia"/>
                <w:kern w:val="0"/>
                <w:sz w:val="21"/>
              </w:rPr>
              <w:t>裂化</w:t>
            </w:r>
            <w:r>
              <w:rPr>
                <w:kern w:val="0"/>
                <w:sz w:val="21"/>
              </w:rPr>
              <w:t>)</w:t>
            </w:r>
            <w:r>
              <w:rPr>
                <w:rFonts w:hint="eastAsia"/>
                <w:kern w:val="0"/>
                <w:sz w:val="21"/>
              </w:rPr>
              <w:t>工艺、氟化工艺、加氢工艺、重氮化工艺、氧化工艺、过氧化工艺、胺基化工艺、磺化工艺、聚合工艺、烷基化工艺、新型煤化工工艺、电石生产工艺、偶氮化工艺</w:t>
            </w:r>
          </w:p>
        </w:tc>
        <w:tc>
          <w:tcPr>
            <w:tcW w:w="1617"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10/</w:t>
            </w:r>
            <w:r>
              <w:rPr>
                <w:rFonts w:hint="eastAsia"/>
                <w:kern w:val="0"/>
                <w:sz w:val="21"/>
              </w:rPr>
              <w:t>套</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156"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eastAsiaTheme="minorEastAsia"/>
                <w:kern w:val="0"/>
                <w:sz w:val="21"/>
              </w:rPr>
            </w:pPr>
          </w:p>
        </w:tc>
        <w:tc>
          <w:tcPr>
            <w:tcW w:w="608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left"/>
              <w:rPr>
                <w:rFonts w:eastAsiaTheme="minorEastAsia"/>
                <w:kern w:val="0"/>
                <w:sz w:val="21"/>
              </w:rPr>
            </w:pPr>
            <w:r>
              <w:rPr>
                <w:rFonts w:hint="eastAsia"/>
                <w:kern w:val="0"/>
                <w:sz w:val="21"/>
              </w:rPr>
              <w:t>无机酸制酸工艺、焦化工艺</w:t>
            </w:r>
          </w:p>
        </w:tc>
        <w:tc>
          <w:tcPr>
            <w:tcW w:w="161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5/</w:t>
            </w:r>
            <w:r>
              <w:rPr>
                <w:rFonts w:hint="eastAsia"/>
                <w:kern w:val="0"/>
                <w:sz w:val="21"/>
              </w:rPr>
              <w:t>套</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156"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eastAsiaTheme="minorEastAsia"/>
                <w:kern w:val="0"/>
                <w:sz w:val="21"/>
              </w:rPr>
            </w:pPr>
          </w:p>
        </w:tc>
        <w:tc>
          <w:tcPr>
            <w:tcW w:w="608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left"/>
              <w:rPr>
                <w:rFonts w:eastAsiaTheme="minorEastAsia"/>
                <w:kern w:val="0"/>
                <w:sz w:val="21"/>
              </w:rPr>
            </w:pPr>
            <w:r>
              <w:rPr>
                <w:rFonts w:hint="eastAsia"/>
                <w:kern w:val="0"/>
                <w:sz w:val="21"/>
              </w:rPr>
              <w:t>其他高温或高压，且涉及危险物质的工艺过程</w:t>
            </w:r>
            <w:r>
              <w:rPr>
                <w:kern w:val="0"/>
                <w:sz w:val="21"/>
                <w:vertAlign w:val="superscript"/>
              </w:rPr>
              <w:t>a</w:t>
            </w:r>
            <w:r>
              <w:rPr>
                <w:rFonts w:hint="eastAsia"/>
                <w:kern w:val="0"/>
                <w:sz w:val="21"/>
              </w:rPr>
              <w:t>、危险物质贮存罐区</w:t>
            </w:r>
          </w:p>
        </w:tc>
        <w:tc>
          <w:tcPr>
            <w:tcW w:w="161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5/</w:t>
            </w:r>
            <w:r>
              <w:rPr>
                <w:rFonts w:hint="eastAsia"/>
                <w:kern w:val="0"/>
                <w:sz w:val="21"/>
              </w:rPr>
              <w:t>套</w:t>
            </w:r>
            <w:r>
              <w:rPr>
                <w:kern w:val="0"/>
                <w:sz w:val="21"/>
              </w:rPr>
              <w:t>(</w:t>
            </w:r>
            <w:r>
              <w:rPr>
                <w:rFonts w:hint="eastAsia"/>
                <w:kern w:val="0"/>
                <w:sz w:val="21"/>
              </w:rPr>
              <w:t>罐区</w:t>
            </w:r>
            <w:r>
              <w:rPr>
                <w:kern w:val="0"/>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15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管道、港口</w:t>
            </w:r>
            <w:r>
              <w:rPr>
                <w:kern w:val="0"/>
                <w:sz w:val="21"/>
              </w:rPr>
              <w:t>/</w:t>
            </w:r>
            <w:r>
              <w:rPr>
                <w:rFonts w:hint="eastAsia"/>
                <w:kern w:val="0"/>
                <w:sz w:val="21"/>
              </w:rPr>
              <w:t>码头等</w:t>
            </w:r>
          </w:p>
        </w:tc>
        <w:tc>
          <w:tcPr>
            <w:tcW w:w="608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left"/>
              <w:rPr>
                <w:rFonts w:eastAsiaTheme="minorEastAsia"/>
                <w:kern w:val="0"/>
                <w:sz w:val="21"/>
              </w:rPr>
            </w:pPr>
            <w:r>
              <w:rPr>
                <w:rFonts w:hint="eastAsia"/>
                <w:kern w:val="0"/>
                <w:sz w:val="21"/>
              </w:rPr>
              <w:t>涉及危险物质管道运输项目、港口</w:t>
            </w:r>
            <w:r>
              <w:rPr>
                <w:kern w:val="0"/>
                <w:sz w:val="21"/>
              </w:rPr>
              <w:t>/</w:t>
            </w:r>
            <w:r>
              <w:rPr>
                <w:rFonts w:hint="eastAsia"/>
                <w:kern w:val="0"/>
                <w:sz w:val="21"/>
              </w:rPr>
              <w:t>码头等</w:t>
            </w:r>
          </w:p>
        </w:tc>
        <w:tc>
          <w:tcPr>
            <w:tcW w:w="161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15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石油天然气</w:t>
            </w:r>
          </w:p>
        </w:tc>
        <w:tc>
          <w:tcPr>
            <w:tcW w:w="608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left"/>
              <w:rPr>
                <w:rFonts w:eastAsiaTheme="minorEastAsia"/>
                <w:kern w:val="0"/>
                <w:sz w:val="21"/>
              </w:rPr>
            </w:pPr>
            <w:r>
              <w:rPr>
                <w:rFonts w:hint="eastAsia"/>
                <w:kern w:val="0"/>
                <w:sz w:val="21"/>
              </w:rPr>
              <w:t>石油、天然气、页岩气开采</w:t>
            </w:r>
            <w:r>
              <w:rPr>
                <w:kern w:val="0"/>
                <w:sz w:val="21"/>
              </w:rPr>
              <w:t>(</w:t>
            </w:r>
            <w:r>
              <w:rPr>
                <w:rFonts w:hint="eastAsia"/>
                <w:kern w:val="0"/>
                <w:sz w:val="21"/>
              </w:rPr>
              <w:t>含净化</w:t>
            </w:r>
            <w:r>
              <w:rPr>
                <w:kern w:val="0"/>
                <w:sz w:val="21"/>
              </w:rPr>
              <w:t>)</w:t>
            </w:r>
            <w:r>
              <w:rPr>
                <w:rFonts w:hint="eastAsia"/>
                <w:kern w:val="0"/>
                <w:sz w:val="21"/>
              </w:rPr>
              <w:t>，气库</w:t>
            </w:r>
            <w:r>
              <w:rPr>
                <w:kern w:val="0"/>
                <w:sz w:val="21"/>
              </w:rPr>
              <w:t>(</w:t>
            </w:r>
            <w:r>
              <w:rPr>
                <w:rFonts w:hint="eastAsia"/>
                <w:kern w:val="0"/>
                <w:sz w:val="21"/>
              </w:rPr>
              <w:t>不含加气站的气库</w:t>
            </w:r>
            <w:r>
              <w:rPr>
                <w:kern w:val="0"/>
                <w:sz w:val="21"/>
              </w:rPr>
              <w:t>)</w:t>
            </w:r>
            <w:r>
              <w:rPr>
                <w:rFonts w:hint="eastAsia"/>
                <w:kern w:val="0"/>
                <w:sz w:val="21"/>
              </w:rPr>
              <w:t>，油库</w:t>
            </w:r>
            <w:r>
              <w:rPr>
                <w:kern w:val="0"/>
                <w:sz w:val="21"/>
              </w:rPr>
              <w:t>(</w:t>
            </w:r>
            <w:r>
              <w:rPr>
                <w:rFonts w:hint="eastAsia"/>
                <w:kern w:val="0"/>
                <w:sz w:val="21"/>
              </w:rPr>
              <w:t>不含加气站的油库</w:t>
            </w:r>
            <w:r>
              <w:rPr>
                <w:kern w:val="0"/>
                <w:sz w:val="21"/>
              </w:rPr>
              <w:t>)</w:t>
            </w:r>
            <w:r>
              <w:rPr>
                <w:rFonts w:hint="eastAsia"/>
                <w:kern w:val="0"/>
                <w:sz w:val="21"/>
              </w:rPr>
              <w:t>、油气管线</w:t>
            </w:r>
            <w:r>
              <w:rPr>
                <w:kern w:val="0"/>
                <w:sz w:val="21"/>
                <w:vertAlign w:val="superscript"/>
              </w:rPr>
              <w:t>b</w:t>
            </w:r>
            <w:r>
              <w:rPr>
                <w:kern w:val="0"/>
                <w:sz w:val="21"/>
              </w:rPr>
              <w:t>(</w:t>
            </w:r>
            <w:r>
              <w:rPr>
                <w:rFonts w:hint="eastAsia"/>
                <w:kern w:val="0"/>
                <w:sz w:val="21"/>
              </w:rPr>
              <w:t>不含城镇燃气管线</w:t>
            </w:r>
            <w:r>
              <w:rPr>
                <w:kern w:val="0"/>
                <w:sz w:val="21"/>
              </w:rPr>
              <w:t>)</w:t>
            </w:r>
          </w:p>
        </w:tc>
        <w:tc>
          <w:tcPr>
            <w:tcW w:w="161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15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其他</w:t>
            </w:r>
          </w:p>
        </w:tc>
        <w:tc>
          <w:tcPr>
            <w:tcW w:w="608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left"/>
              <w:rPr>
                <w:rFonts w:eastAsiaTheme="minorEastAsia"/>
                <w:kern w:val="0"/>
                <w:sz w:val="21"/>
              </w:rPr>
            </w:pPr>
            <w:r>
              <w:rPr>
                <w:rFonts w:hint="eastAsia"/>
                <w:kern w:val="0"/>
                <w:sz w:val="21"/>
              </w:rPr>
              <w:t>涉及危险物质使用、贮存的项目</w:t>
            </w:r>
          </w:p>
        </w:tc>
        <w:tc>
          <w:tcPr>
            <w:tcW w:w="161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9854" w:type="dxa"/>
            <w:gridSpan w:val="3"/>
            <w:tcBorders>
              <w:top w:val="dotted" w:color="auto" w:sz="4" w:space="0"/>
              <w:left w:val="nil"/>
              <w:bottom w:val="single" w:color="auto" w:sz="12" w:space="0"/>
              <w:right w:val="nil"/>
            </w:tcBorders>
            <w:vAlign w:val="center"/>
          </w:tcPr>
          <w:p>
            <w:pPr>
              <w:adjustRightInd w:val="0"/>
              <w:snapToGrid w:val="0"/>
              <w:spacing w:line="240" w:lineRule="atLeast"/>
              <w:ind w:firstLine="0" w:firstLineChars="0"/>
              <w:jc w:val="left"/>
              <w:rPr>
                <w:rFonts w:ascii="Arial" w:hAnsi="Arial" w:cs="Arial" w:eastAsiaTheme="minorEastAsia"/>
                <w:color w:val="333333"/>
                <w:kern w:val="0"/>
                <w:sz w:val="21"/>
                <w:shd w:val="clear" w:color="auto" w:fill="FFFFFF"/>
              </w:rPr>
            </w:pPr>
            <w:r>
              <w:rPr>
                <w:kern w:val="0"/>
                <w:sz w:val="21"/>
                <w:vertAlign w:val="superscript"/>
              </w:rPr>
              <w:t>a</w:t>
            </w:r>
            <w:r>
              <w:rPr>
                <w:rFonts w:hint="eastAsia"/>
                <w:kern w:val="0"/>
                <w:sz w:val="21"/>
              </w:rPr>
              <w:t>高温指工艺温度</w:t>
            </w:r>
            <w:r>
              <w:rPr>
                <w:rFonts w:ascii="Arial" w:hAnsi="Arial" w:cs="Arial"/>
                <w:color w:val="333333"/>
                <w:kern w:val="0"/>
                <w:sz w:val="21"/>
                <w:shd w:val="clear" w:color="auto" w:fill="FFFFFF"/>
              </w:rPr>
              <w:t>≥300</w:t>
            </w:r>
            <w:r>
              <w:rPr>
                <w:rFonts w:hint="eastAsia" w:ascii="宋体" w:hAnsi="宋体" w:cs="宋体"/>
                <w:spacing w:val="-6"/>
                <w:kern w:val="0"/>
                <w:sz w:val="21"/>
              </w:rPr>
              <w:t>℃，高压指压力容器的设计压力(p)</w:t>
            </w:r>
            <w:r>
              <w:rPr>
                <w:rFonts w:ascii="Arial" w:hAnsi="Arial" w:cs="Arial"/>
                <w:color w:val="333333"/>
                <w:kern w:val="0"/>
                <w:sz w:val="21"/>
                <w:shd w:val="clear" w:color="auto" w:fill="FFFFFF"/>
              </w:rPr>
              <w:t>≥10.0MPa</w:t>
            </w:r>
            <w:r>
              <w:rPr>
                <w:rFonts w:hint="eastAsia" w:ascii="Arial" w:hAnsi="Arial" w:cs="Arial"/>
                <w:color w:val="333333"/>
                <w:kern w:val="0"/>
                <w:sz w:val="21"/>
                <w:shd w:val="clear" w:color="auto" w:fill="FFFFFF"/>
              </w:rPr>
              <w:t>；</w:t>
            </w:r>
          </w:p>
          <w:p>
            <w:pPr>
              <w:adjustRightInd w:val="0"/>
              <w:snapToGrid w:val="0"/>
              <w:spacing w:line="240" w:lineRule="atLeast"/>
              <w:ind w:firstLine="0" w:firstLineChars="0"/>
              <w:jc w:val="left"/>
              <w:rPr>
                <w:rFonts w:eastAsiaTheme="minorEastAsia"/>
                <w:kern w:val="0"/>
                <w:sz w:val="21"/>
              </w:rPr>
            </w:pPr>
            <w:r>
              <w:rPr>
                <w:kern w:val="0"/>
                <w:sz w:val="21"/>
                <w:vertAlign w:val="superscript"/>
              </w:rPr>
              <w:t>b</w:t>
            </w:r>
            <w:r>
              <w:rPr>
                <w:rFonts w:hint="eastAsia"/>
                <w:kern w:val="0"/>
                <w:sz w:val="21"/>
              </w:rPr>
              <w:t>长输管道运输项目应按站场、管线分段进行评价。</w:t>
            </w:r>
          </w:p>
        </w:tc>
      </w:tr>
    </w:tbl>
    <w:p>
      <w:pPr>
        <w:widowControl/>
        <w:adjustRightInd w:val="0"/>
        <w:snapToGrid w:val="0"/>
        <w:spacing w:beforeLines="50"/>
        <w:ind w:firstLine="480"/>
        <w:jc w:val="left"/>
        <w:rPr>
          <w:rFonts w:eastAsiaTheme="minorEastAsia"/>
          <w:kern w:val="0"/>
          <w:szCs w:val="24"/>
        </w:rPr>
      </w:pPr>
      <w:r>
        <w:rPr>
          <w:rFonts w:hint="eastAsia"/>
          <w:kern w:val="0"/>
          <w:szCs w:val="24"/>
        </w:rPr>
        <w:t>根据本项目工程分析，项目生产工艺中不包括表</w:t>
      </w:r>
      <w:r>
        <w:rPr>
          <w:kern w:val="0"/>
          <w:szCs w:val="24"/>
        </w:rPr>
        <w:t>8.2</w:t>
      </w:r>
      <w:r>
        <w:rPr>
          <w:rFonts w:hint="eastAsia" w:cs="Times New Roman"/>
          <w:kern w:val="0"/>
        </w:rPr>
        <w:t>—</w:t>
      </w:r>
      <w:r>
        <w:rPr>
          <w:rFonts w:cs="Times New Roman"/>
          <w:kern w:val="0"/>
        </w:rPr>
        <w:t>2</w:t>
      </w:r>
      <w:r>
        <w:rPr>
          <w:rFonts w:hint="eastAsia"/>
          <w:kern w:val="0"/>
          <w:szCs w:val="24"/>
        </w:rPr>
        <w:t>评估依据中给出的进入评估依据的工艺，结合表</w:t>
      </w:r>
      <w:r>
        <w:rPr>
          <w:kern w:val="0"/>
          <w:szCs w:val="24"/>
        </w:rPr>
        <w:t>8.2</w:t>
      </w:r>
      <w:r>
        <w:rPr>
          <w:rFonts w:hint="eastAsia" w:cs="Times New Roman"/>
          <w:kern w:val="0"/>
        </w:rPr>
        <w:t>—</w:t>
      </w:r>
      <w:r>
        <w:rPr>
          <w:rFonts w:cs="Times New Roman"/>
          <w:kern w:val="0"/>
        </w:rPr>
        <w:t>2</w:t>
      </w:r>
      <w:r>
        <w:rPr>
          <w:rFonts w:hint="eastAsia"/>
          <w:kern w:val="0"/>
          <w:szCs w:val="24"/>
        </w:rPr>
        <w:t>，建设项目</w:t>
      </w:r>
      <w:r>
        <w:rPr>
          <w:kern w:val="0"/>
          <w:szCs w:val="24"/>
        </w:rPr>
        <w:t>M</w:t>
      </w:r>
      <w:r>
        <w:rPr>
          <w:rFonts w:hint="eastAsia"/>
          <w:kern w:val="0"/>
          <w:szCs w:val="24"/>
        </w:rPr>
        <w:t>值确定如下表</w:t>
      </w:r>
      <w:r>
        <w:rPr>
          <w:kern w:val="0"/>
        </w:rPr>
        <w:t>8.2</w:t>
      </w:r>
      <w:r>
        <w:rPr>
          <w:rFonts w:hint="eastAsia" w:cs="Times New Roman"/>
          <w:kern w:val="0"/>
        </w:rPr>
        <w:t>—3</w:t>
      </w:r>
      <w:r>
        <w:rPr>
          <w:rFonts w:hint="eastAsia"/>
          <w:kern w:val="0"/>
          <w:szCs w:val="24"/>
        </w:rPr>
        <w:t>所示。</w:t>
      </w:r>
    </w:p>
    <w:p>
      <w:pPr>
        <w:pStyle w:val="161"/>
        <w:ind w:firstLine="480"/>
        <w:rPr>
          <w:kern w:val="0"/>
        </w:rPr>
      </w:pPr>
      <w:r>
        <w:rPr>
          <w:rFonts w:hint="eastAsia" w:hAnsiTheme="minorEastAsia"/>
          <w:kern w:val="0"/>
        </w:rPr>
        <w:t>表</w:t>
      </w:r>
      <w:r>
        <w:rPr>
          <w:kern w:val="0"/>
        </w:rPr>
        <w:t>8.2</w:t>
      </w:r>
      <w:r>
        <w:rPr>
          <w:rFonts w:hint="eastAsia" w:cs="Times New Roman"/>
          <w:kern w:val="0"/>
        </w:rPr>
        <w:t>—3</w:t>
      </w:r>
      <w:r>
        <w:rPr>
          <w:rFonts w:hint="eastAsia" w:hAnsiTheme="minorEastAsia"/>
          <w:kern w:val="0"/>
        </w:rPr>
        <w:t>建设项目</w:t>
      </w:r>
      <w:r>
        <w:rPr>
          <w:kern w:val="0"/>
        </w:rPr>
        <w:t>M</w:t>
      </w:r>
      <w:r>
        <w:rPr>
          <w:rFonts w:hint="eastAsia" w:hAnsiTheme="minorEastAsia"/>
          <w:kern w:val="0"/>
        </w:rPr>
        <w:t>值确定表</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257"/>
        <w:gridCol w:w="6310"/>
        <w:gridCol w:w="128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3" w:hRule="atLeast"/>
          <w:jc w:val="center"/>
        </w:trPr>
        <w:tc>
          <w:tcPr>
            <w:tcW w:w="2257"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工艺单元名称</w:t>
            </w:r>
          </w:p>
        </w:tc>
        <w:tc>
          <w:tcPr>
            <w:tcW w:w="6310"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生产工艺</w:t>
            </w:r>
            <w:r>
              <w:rPr>
                <w:kern w:val="0"/>
                <w:sz w:val="21"/>
              </w:rPr>
              <w:t>/</w:t>
            </w:r>
            <w:r>
              <w:rPr>
                <w:rFonts w:hint="eastAsia"/>
                <w:kern w:val="0"/>
                <w:sz w:val="21"/>
              </w:rPr>
              <w:t>设备台数</w:t>
            </w:r>
          </w:p>
        </w:tc>
        <w:tc>
          <w:tcPr>
            <w:tcW w:w="1287"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M</w:t>
            </w:r>
            <w:r>
              <w:rPr>
                <w:rFonts w:hint="eastAsia"/>
                <w:kern w:val="0"/>
                <w:sz w:val="21"/>
              </w:rPr>
              <w:t>分值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257"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环保设施</w:t>
            </w:r>
          </w:p>
        </w:tc>
        <w:tc>
          <w:tcPr>
            <w:tcW w:w="6310"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2(RTO</w:t>
            </w:r>
            <w:r>
              <w:rPr>
                <w:rFonts w:hint="eastAsia"/>
                <w:kern w:val="0"/>
                <w:sz w:val="21"/>
              </w:rPr>
              <w:t>焚烧装置</w:t>
            </w:r>
            <w:r>
              <w:rPr>
                <w:kern w:val="0"/>
                <w:sz w:val="21"/>
              </w:rPr>
              <w:t>)</w:t>
            </w:r>
          </w:p>
        </w:tc>
        <w:tc>
          <w:tcPr>
            <w:tcW w:w="1287"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257"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罐区</w:t>
            </w:r>
          </w:p>
        </w:tc>
        <w:tc>
          <w:tcPr>
            <w:tcW w:w="631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2</w:t>
            </w:r>
          </w:p>
        </w:tc>
        <w:tc>
          <w:tcPr>
            <w:tcW w:w="128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8567" w:type="dxa"/>
            <w:gridSpan w:val="2"/>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合计</w:t>
            </w:r>
          </w:p>
        </w:tc>
        <w:tc>
          <w:tcPr>
            <w:tcW w:w="1287"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kern w:val="0"/>
                <w:sz w:val="21"/>
              </w:rPr>
            </w:pPr>
            <w:r>
              <w:rPr>
                <w:rFonts w:hint="eastAsia"/>
                <w:kern w:val="0"/>
                <w:sz w:val="21"/>
              </w:rPr>
              <w:t>20</w:t>
            </w:r>
          </w:p>
        </w:tc>
      </w:tr>
    </w:tbl>
    <w:p>
      <w:pPr>
        <w:widowControl/>
        <w:adjustRightInd w:val="0"/>
        <w:snapToGrid w:val="0"/>
        <w:spacing w:beforeLines="50"/>
        <w:ind w:firstLine="480"/>
        <w:jc w:val="left"/>
        <w:rPr>
          <w:rFonts w:eastAsiaTheme="minorEastAsia"/>
          <w:kern w:val="0"/>
          <w:szCs w:val="24"/>
        </w:rPr>
      </w:pPr>
      <w:r>
        <w:rPr>
          <w:rFonts w:hint="eastAsia"/>
          <w:kern w:val="0"/>
          <w:szCs w:val="24"/>
        </w:rPr>
        <w:t>根据上表，项目</w:t>
      </w:r>
      <w:r>
        <w:rPr>
          <w:kern w:val="0"/>
          <w:szCs w:val="24"/>
        </w:rPr>
        <w:t>M</w:t>
      </w:r>
      <w:r>
        <w:rPr>
          <w:rFonts w:hint="eastAsia"/>
          <w:kern w:val="0"/>
          <w:szCs w:val="24"/>
        </w:rPr>
        <w:t>值为20，属于</w:t>
      </w:r>
      <w:r>
        <w:rPr>
          <w:kern w:val="0"/>
          <w:szCs w:val="24"/>
        </w:rPr>
        <w:t>M2</w:t>
      </w:r>
      <w:r>
        <w:rPr>
          <w:rFonts w:hint="eastAsia"/>
          <w:kern w:val="0"/>
          <w:szCs w:val="24"/>
        </w:rPr>
        <w:t>。</w:t>
      </w:r>
    </w:p>
    <w:p>
      <w:pPr>
        <w:widowControl/>
        <w:adjustRightInd w:val="0"/>
        <w:snapToGrid w:val="0"/>
        <w:ind w:firstLine="480"/>
        <w:jc w:val="left"/>
        <w:rPr>
          <w:kern w:val="0"/>
          <w:szCs w:val="24"/>
        </w:rPr>
      </w:pPr>
      <w:r>
        <w:rPr>
          <w:kern w:val="0"/>
          <w:szCs w:val="24"/>
        </w:rPr>
        <w:fldChar w:fldCharType="begin"/>
      </w:r>
      <w:r>
        <w:rPr>
          <w:kern w:val="0"/>
          <w:szCs w:val="24"/>
        </w:rPr>
        <w:instrText xml:space="preserve">= 3 \* GB2</w:instrText>
      </w:r>
      <w:r>
        <w:rPr>
          <w:kern w:val="0"/>
          <w:szCs w:val="24"/>
        </w:rPr>
        <w:fldChar w:fldCharType="separate"/>
      </w:r>
      <w:r>
        <w:rPr>
          <w:rFonts w:hint="eastAsia"/>
          <w:kern w:val="0"/>
          <w:szCs w:val="24"/>
        </w:rPr>
        <w:t>⑶</w:t>
      </w:r>
      <w:r>
        <w:rPr>
          <w:kern w:val="0"/>
          <w:szCs w:val="24"/>
        </w:rPr>
        <w:fldChar w:fldCharType="end"/>
      </w:r>
      <w:r>
        <w:rPr>
          <w:rFonts w:hint="eastAsia"/>
          <w:kern w:val="0"/>
          <w:szCs w:val="24"/>
        </w:rPr>
        <w:t>危险物质及工艺系统危险性</w:t>
      </w:r>
      <w:r>
        <w:rPr>
          <w:kern w:val="0"/>
          <w:szCs w:val="24"/>
        </w:rPr>
        <w:t>(P)</w:t>
      </w:r>
      <w:r>
        <w:rPr>
          <w:rFonts w:hint="eastAsia"/>
          <w:kern w:val="0"/>
          <w:szCs w:val="24"/>
        </w:rPr>
        <w:t>分级</w:t>
      </w:r>
    </w:p>
    <w:p>
      <w:pPr>
        <w:widowControl/>
        <w:adjustRightInd w:val="0"/>
        <w:snapToGrid w:val="0"/>
        <w:ind w:firstLine="480"/>
        <w:jc w:val="left"/>
        <w:rPr>
          <w:kern w:val="0"/>
          <w:szCs w:val="24"/>
        </w:rPr>
      </w:pPr>
      <w:r>
        <w:rPr>
          <w:rFonts w:hint="eastAsia"/>
          <w:kern w:val="0"/>
          <w:szCs w:val="24"/>
        </w:rPr>
        <w:t>根据危险物质数量与临界量比值</w:t>
      </w:r>
      <w:r>
        <w:rPr>
          <w:kern w:val="0"/>
          <w:szCs w:val="24"/>
        </w:rPr>
        <w:t>(Q)</w:t>
      </w:r>
      <w:r>
        <w:rPr>
          <w:rFonts w:hint="eastAsia"/>
          <w:kern w:val="0"/>
          <w:szCs w:val="24"/>
        </w:rPr>
        <w:t>和行业及生产工艺</w:t>
      </w:r>
      <w:r>
        <w:rPr>
          <w:kern w:val="0"/>
          <w:szCs w:val="24"/>
        </w:rPr>
        <w:t>(M)</w:t>
      </w:r>
      <w:r>
        <w:rPr>
          <w:rFonts w:hint="eastAsia"/>
          <w:kern w:val="0"/>
          <w:szCs w:val="24"/>
        </w:rPr>
        <w:t>，按照下表</w:t>
      </w:r>
      <w:r>
        <w:rPr>
          <w:kern w:val="0"/>
          <w:szCs w:val="24"/>
        </w:rPr>
        <w:t>8.2</w:t>
      </w:r>
      <w:r>
        <w:rPr>
          <w:rFonts w:hint="eastAsia"/>
          <w:kern w:val="0"/>
          <w:szCs w:val="24"/>
        </w:rPr>
        <w:t>—</w:t>
      </w:r>
      <w:r>
        <w:rPr>
          <w:kern w:val="0"/>
          <w:szCs w:val="24"/>
        </w:rPr>
        <w:t>4</w:t>
      </w:r>
      <w:r>
        <w:rPr>
          <w:rFonts w:hint="eastAsia"/>
          <w:kern w:val="0"/>
          <w:szCs w:val="24"/>
        </w:rPr>
        <w:t>确定危险物质及工艺系统危险性等级</w:t>
      </w:r>
      <w:r>
        <w:rPr>
          <w:kern w:val="0"/>
          <w:szCs w:val="24"/>
        </w:rPr>
        <w:t>(P)</w:t>
      </w:r>
      <w:r>
        <w:rPr>
          <w:rFonts w:hint="eastAsia"/>
          <w:kern w:val="0"/>
          <w:szCs w:val="24"/>
        </w:rPr>
        <w:t>，分别以</w:t>
      </w:r>
      <w:r>
        <w:rPr>
          <w:kern w:val="0"/>
          <w:szCs w:val="24"/>
        </w:rPr>
        <w:t>P1</w:t>
      </w:r>
      <w:r>
        <w:rPr>
          <w:rFonts w:hint="eastAsia"/>
          <w:kern w:val="0"/>
          <w:szCs w:val="24"/>
        </w:rPr>
        <w:t>、</w:t>
      </w:r>
      <w:r>
        <w:rPr>
          <w:kern w:val="0"/>
          <w:szCs w:val="24"/>
        </w:rPr>
        <w:t>P2</w:t>
      </w:r>
      <w:r>
        <w:rPr>
          <w:rFonts w:hint="eastAsia"/>
          <w:kern w:val="0"/>
          <w:szCs w:val="24"/>
        </w:rPr>
        <w:t>、</w:t>
      </w:r>
      <w:r>
        <w:rPr>
          <w:kern w:val="0"/>
          <w:szCs w:val="24"/>
        </w:rPr>
        <w:t>P3</w:t>
      </w:r>
      <w:r>
        <w:rPr>
          <w:rFonts w:hint="eastAsia"/>
          <w:kern w:val="0"/>
          <w:szCs w:val="24"/>
        </w:rPr>
        <w:t>、</w:t>
      </w:r>
      <w:r>
        <w:rPr>
          <w:kern w:val="0"/>
          <w:szCs w:val="24"/>
        </w:rPr>
        <w:t>P4</w:t>
      </w:r>
      <w:r>
        <w:rPr>
          <w:rFonts w:hint="eastAsia"/>
          <w:kern w:val="0"/>
          <w:szCs w:val="24"/>
        </w:rPr>
        <w:t>所示。</w:t>
      </w:r>
    </w:p>
    <w:p>
      <w:pPr>
        <w:ind w:firstLine="480"/>
        <w:rPr>
          <w:kern w:val="0"/>
        </w:rPr>
      </w:pPr>
      <w:r>
        <w:rPr>
          <w:rFonts w:hint="eastAsia"/>
          <w:kern w:val="0"/>
        </w:rPr>
        <w:t>表</w:t>
      </w:r>
      <w:r>
        <w:rPr>
          <w:kern w:val="0"/>
        </w:rPr>
        <w:t>8.2</w:t>
      </w:r>
      <w:r>
        <w:rPr>
          <w:rFonts w:hint="eastAsia"/>
          <w:kern w:val="0"/>
          <w:szCs w:val="24"/>
        </w:rPr>
        <w:t>—</w:t>
      </w:r>
      <w:r>
        <w:rPr>
          <w:kern w:val="0"/>
        </w:rPr>
        <w:t xml:space="preserve">4        </w:t>
      </w:r>
      <w:r>
        <w:rPr>
          <w:rFonts w:hint="eastAsia"/>
          <w:kern w:val="0"/>
        </w:rPr>
        <w:t>危险物质及工艺系统危险性</w:t>
      </w:r>
      <w:r>
        <w:rPr>
          <w:kern w:val="0"/>
        </w:rPr>
        <w:t>(P)</w:t>
      </w:r>
      <w:r>
        <w:rPr>
          <w:rFonts w:hint="eastAsia"/>
          <w:kern w:val="0"/>
        </w:rPr>
        <w:t>分级一览表</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429"/>
        <w:gridCol w:w="1651"/>
        <w:gridCol w:w="1651"/>
        <w:gridCol w:w="1652"/>
        <w:gridCol w:w="147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429" w:type="dxa"/>
            <w:vMerge w:val="restart"/>
            <w:tcBorders>
              <w:top w:val="single" w:color="auto" w:sz="12" w:space="0"/>
              <w:left w:val="nil"/>
              <w:bottom w:val="single" w:color="auto" w:sz="12"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危险物质数量与临界量比值</w:t>
            </w:r>
            <w:r>
              <w:rPr>
                <w:rFonts w:cs="Times New Roman"/>
                <w:kern w:val="0"/>
                <w:sz w:val="21"/>
              </w:rPr>
              <w:t>(Q)</w:t>
            </w:r>
          </w:p>
        </w:tc>
        <w:tc>
          <w:tcPr>
            <w:tcW w:w="6425" w:type="dxa"/>
            <w:gridSpan w:val="4"/>
            <w:tcBorders>
              <w:top w:val="single" w:color="auto" w:sz="12" w:space="0"/>
              <w:left w:val="dotted" w:color="auto" w:sz="4" w:space="0"/>
              <w:bottom w:val="dotted" w:color="auto" w:sz="4" w:space="0"/>
              <w:right w:val="nil"/>
            </w:tcBorders>
          </w:tcPr>
          <w:p>
            <w:pPr>
              <w:adjustRightInd w:val="0"/>
              <w:snapToGrid w:val="0"/>
              <w:spacing w:line="240" w:lineRule="atLeast"/>
              <w:ind w:firstLine="0" w:firstLineChars="0"/>
              <w:jc w:val="center"/>
              <w:rPr>
                <w:rFonts w:cs="Times New Roman" w:eastAsiaTheme="minorEastAsia"/>
                <w:kern w:val="0"/>
                <w:sz w:val="21"/>
              </w:rPr>
            </w:pPr>
            <w:r>
              <w:rPr>
                <w:rFonts w:hint="eastAsia" w:cs="Times New Roman" w:hAnsiTheme="minorEastAsia"/>
                <w:kern w:val="0"/>
                <w:sz w:val="21"/>
              </w:rPr>
              <w:t>行业及生产工艺</w:t>
            </w:r>
            <w:r>
              <w:rPr>
                <w:rFonts w:cs="Times New Roman"/>
                <w:kern w:val="0"/>
                <w:sz w:val="21"/>
              </w:rPr>
              <w:t>(M)</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429" w:type="dxa"/>
            <w:vMerge w:val="continue"/>
            <w:tcBorders>
              <w:top w:val="single" w:color="auto" w:sz="12" w:space="0"/>
              <w:left w:val="nil"/>
              <w:bottom w:val="single" w:color="auto" w:sz="12" w:space="0"/>
              <w:right w:val="dotted" w:color="auto" w:sz="4" w:space="0"/>
            </w:tcBorders>
            <w:vAlign w:val="center"/>
          </w:tcPr>
          <w:p>
            <w:pPr>
              <w:widowControl/>
              <w:spacing w:line="240" w:lineRule="atLeast"/>
              <w:ind w:firstLine="0" w:firstLineChars="0"/>
              <w:jc w:val="left"/>
              <w:rPr>
                <w:rFonts w:cs="Times New Roman" w:eastAsiaTheme="minorEastAsia"/>
                <w:kern w:val="0"/>
                <w:sz w:val="21"/>
              </w:rPr>
            </w:pPr>
          </w:p>
        </w:tc>
        <w:tc>
          <w:tcPr>
            <w:tcW w:w="1651" w:type="dxa"/>
            <w:tcBorders>
              <w:top w:val="dotted" w:color="auto" w:sz="4"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M1</w:t>
            </w:r>
          </w:p>
        </w:tc>
        <w:tc>
          <w:tcPr>
            <w:tcW w:w="1651" w:type="dxa"/>
            <w:tcBorders>
              <w:top w:val="dotted" w:color="auto" w:sz="4"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cs="Times New Roman"/>
                <w:kern w:val="0"/>
                <w:sz w:val="21"/>
              </w:rPr>
            </w:pPr>
            <w:r>
              <w:rPr>
                <w:rFonts w:cs="Times New Roman"/>
                <w:kern w:val="0"/>
                <w:sz w:val="21"/>
              </w:rPr>
              <w:t>M2</w:t>
            </w:r>
          </w:p>
        </w:tc>
        <w:tc>
          <w:tcPr>
            <w:tcW w:w="1652" w:type="dxa"/>
            <w:tcBorders>
              <w:top w:val="dotted" w:color="auto" w:sz="4"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M3</w:t>
            </w:r>
          </w:p>
        </w:tc>
        <w:tc>
          <w:tcPr>
            <w:tcW w:w="1471" w:type="dxa"/>
            <w:tcBorders>
              <w:top w:val="dotted" w:color="auto" w:sz="4" w:space="0"/>
              <w:left w:val="dotted" w:color="auto" w:sz="4" w:space="0"/>
              <w:bottom w:val="single" w:color="auto" w:sz="12" w:space="0"/>
              <w:right w:val="nil"/>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M4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429" w:type="dxa"/>
            <w:tcBorders>
              <w:top w:val="single" w:color="auto" w:sz="12" w:space="0"/>
              <w:left w:val="nil"/>
              <w:bottom w:val="dotted" w:color="auto" w:sz="4"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Q≥100</w:t>
            </w:r>
          </w:p>
        </w:tc>
        <w:tc>
          <w:tcPr>
            <w:tcW w:w="1651" w:type="dxa"/>
            <w:tcBorders>
              <w:top w:val="single" w:color="auto" w:sz="12" w:space="0"/>
              <w:left w:val="dotted" w:color="auto" w:sz="4" w:space="0"/>
              <w:bottom w:val="dotted" w:color="auto" w:sz="4"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P1</w:t>
            </w:r>
          </w:p>
        </w:tc>
        <w:tc>
          <w:tcPr>
            <w:tcW w:w="1651" w:type="dxa"/>
            <w:tcBorders>
              <w:top w:val="single" w:color="auto" w:sz="12" w:space="0"/>
              <w:left w:val="dotted" w:color="auto" w:sz="4" w:space="0"/>
              <w:bottom w:val="dotted" w:color="auto" w:sz="4" w:space="0"/>
              <w:right w:val="dotted" w:color="auto" w:sz="4" w:space="0"/>
            </w:tcBorders>
          </w:tcPr>
          <w:p>
            <w:pPr>
              <w:adjustRightInd w:val="0"/>
              <w:snapToGrid w:val="0"/>
              <w:spacing w:line="240" w:lineRule="atLeast"/>
              <w:ind w:firstLine="0" w:firstLineChars="0"/>
              <w:jc w:val="center"/>
              <w:rPr>
                <w:rFonts w:cs="Times New Roman"/>
                <w:kern w:val="0"/>
                <w:sz w:val="21"/>
              </w:rPr>
            </w:pPr>
            <w:r>
              <w:rPr>
                <w:rFonts w:cs="Times New Roman"/>
                <w:kern w:val="0"/>
                <w:sz w:val="21"/>
              </w:rPr>
              <w:t>P1</w:t>
            </w:r>
          </w:p>
        </w:tc>
        <w:tc>
          <w:tcPr>
            <w:tcW w:w="1652" w:type="dxa"/>
            <w:tcBorders>
              <w:top w:val="single" w:color="auto" w:sz="12" w:space="0"/>
              <w:left w:val="dotted" w:color="auto" w:sz="4" w:space="0"/>
              <w:bottom w:val="dotted" w:color="auto" w:sz="4"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P2</w:t>
            </w:r>
          </w:p>
        </w:tc>
        <w:tc>
          <w:tcPr>
            <w:tcW w:w="1471" w:type="dxa"/>
            <w:tcBorders>
              <w:top w:val="single" w:color="auto" w:sz="12" w:space="0"/>
              <w:left w:val="dotted" w:color="auto" w:sz="4" w:space="0"/>
              <w:bottom w:val="dotted" w:color="auto" w:sz="4" w:space="0"/>
              <w:right w:val="nil"/>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429" w:type="dxa"/>
            <w:tcBorders>
              <w:top w:val="dotted" w:color="auto" w:sz="4" w:space="0"/>
              <w:left w:val="nil"/>
              <w:bottom w:val="dotted" w:color="auto" w:sz="4"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10</w:t>
            </w:r>
            <w:r>
              <w:rPr>
                <w:rFonts w:cs="Times New Roman"/>
                <w:kern w:val="0"/>
                <w:sz w:val="21"/>
                <w:shd w:val="clear" w:color="auto" w:fill="FFFFFF"/>
              </w:rPr>
              <w:t>≤</w:t>
            </w:r>
            <w:r>
              <w:rPr>
                <w:rFonts w:cs="Times New Roman"/>
                <w:kern w:val="0"/>
                <w:sz w:val="21"/>
              </w:rPr>
              <w:t>Q</w:t>
            </w:r>
            <w:r>
              <w:rPr>
                <w:rFonts w:cs="Times New Roman"/>
                <w:kern w:val="0"/>
                <w:sz w:val="21"/>
                <w:shd w:val="clear" w:color="auto" w:fill="FFFFFF"/>
              </w:rPr>
              <w:t>&lt;100</w:t>
            </w:r>
          </w:p>
        </w:tc>
        <w:tc>
          <w:tcPr>
            <w:tcW w:w="1651" w:type="dxa"/>
            <w:tcBorders>
              <w:top w:val="dotted" w:color="auto" w:sz="4" w:space="0"/>
              <w:left w:val="dotted" w:color="auto" w:sz="4" w:space="0"/>
              <w:bottom w:val="dotted" w:color="auto" w:sz="4"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P1</w:t>
            </w:r>
          </w:p>
        </w:tc>
        <w:tc>
          <w:tcPr>
            <w:tcW w:w="1651" w:type="dxa"/>
            <w:tcBorders>
              <w:top w:val="dotted" w:color="auto" w:sz="4" w:space="0"/>
              <w:left w:val="dotted" w:color="auto" w:sz="4" w:space="0"/>
              <w:bottom w:val="dotted" w:color="auto" w:sz="4"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P2</w:t>
            </w:r>
          </w:p>
        </w:tc>
        <w:tc>
          <w:tcPr>
            <w:tcW w:w="1652" w:type="dxa"/>
            <w:tcBorders>
              <w:top w:val="dotted" w:color="auto" w:sz="4" w:space="0"/>
              <w:left w:val="dotted" w:color="auto" w:sz="4" w:space="0"/>
              <w:bottom w:val="dotted" w:color="auto" w:sz="4"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P3</w:t>
            </w:r>
          </w:p>
        </w:tc>
        <w:tc>
          <w:tcPr>
            <w:tcW w:w="147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429" w:type="dxa"/>
            <w:tcBorders>
              <w:top w:val="dotted" w:color="auto" w:sz="4" w:space="0"/>
              <w:left w:val="nil"/>
              <w:bottom w:val="single" w:color="auto" w:sz="12"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1</w:t>
            </w:r>
            <w:r>
              <w:rPr>
                <w:rFonts w:cs="Times New Roman"/>
                <w:kern w:val="0"/>
                <w:sz w:val="21"/>
                <w:shd w:val="clear" w:color="auto" w:fill="FFFFFF"/>
              </w:rPr>
              <w:t>≤</w:t>
            </w:r>
            <w:r>
              <w:rPr>
                <w:rFonts w:cs="Times New Roman"/>
                <w:kern w:val="0"/>
                <w:sz w:val="21"/>
              </w:rPr>
              <w:t>Q</w:t>
            </w:r>
            <w:r>
              <w:rPr>
                <w:rFonts w:cs="Times New Roman"/>
                <w:kern w:val="0"/>
                <w:sz w:val="21"/>
                <w:shd w:val="clear" w:color="auto" w:fill="FFFFFF"/>
              </w:rPr>
              <w:t>&lt;10</w:t>
            </w:r>
          </w:p>
        </w:tc>
        <w:tc>
          <w:tcPr>
            <w:tcW w:w="1651" w:type="dxa"/>
            <w:tcBorders>
              <w:top w:val="dotted" w:color="auto" w:sz="4"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P2</w:t>
            </w:r>
          </w:p>
        </w:tc>
        <w:tc>
          <w:tcPr>
            <w:tcW w:w="1651" w:type="dxa"/>
            <w:tcBorders>
              <w:top w:val="dotted" w:color="auto" w:sz="4"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P3</w:t>
            </w:r>
          </w:p>
        </w:tc>
        <w:tc>
          <w:tcPr>
            <w:tcW w:w="1652" w:type="dxa"/>
            <w:tcBorders>
              <w:top w:val="dotted" w:color="auto" w:sz="4"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P4</w:t>
            </w:r>
          </w:p>
        </w:tc>
        <w:tc>
          <w:tcPr>
            <w:tcW w:w="1471" w:type="dxa"/>
            <w:tcBorders>
              <w:top w:val="dotted" w:color="auto" w:sz="4" w:space="0"/>
              <w:left w:val="dotted" w:color="auto" w:sz="4" w:space="0"/>
              <w:bottom w:val="single" w:color="auto" w:sz="12" w:space="0"/>
              <w:right w:val="nil"/>
            </w:tcBorders>
          </w:tcPr>
          <w:p>
            <w:pPr>
              <w:adjustRightInd w:val="0"/>
              <w:snapToGrid w:val="0"/>
              <w:spacing w:line="240" w:lineRule="atLeast"/>
              <w:ind w:firstLine="0" w:firstLineChars="0"/>
              <w:jc w:val="center"/>
              <w:rPr>
                <w:rFonts w:cs="Times New Roman" w:eastAsiaTheme="minorEastAsia"/>
                <w:kern w:val="0"/>
                <w:sz w:val="21"/>
              </w:rPr>
            </w:pPr>
            <w:r>
              <w:rPr>
                <w:rFonts w:cs="Times New Roman"/>
                <w:kern w:val="0"/>
                <w:sz w:val="21"/>
              </w:rPr>
              <w:t>P4</w:t>
            </w:r>
          </w:p>
        </w:tc>
      </w:tr>
    </w:tbl>
    <w:p>
      <w:pPr>
        <w:adjustRightInd w:val="0"/>
        <w:snapToGrid w:val="0"/>
        <w:ind w:firstLine="480"/>
        <w:rPr>
          <w:rFonts w:cs="Times New Roman" w:eastAsiaTheme="minorEastAsia"/>
          <w:szCs w:val="24"/>
        </w:rPr>
      </w:pPr>
      <w:r>
        <w:rPr>
          <w:rFonts w:hint="eastAsia"/>
          <w:kern w:val="0"/>
          <w:szCs w:val="24"/>
        </w:rPr>
        <w:t>项目</w:t>
      </w:r>
      <w:r>
        <w:rPr>
          <w:kern w:val="0"/>
          <w:szCs w:val="24"/>
        </w:rPr>
        <w:t>10≤Q</w:t>
      </w:r>
      <w:r>
        <w:rPr>
          <w:rFonts w:hint="eastAsia"/>
          <w:kern w:val="0"/>
          <w:szCs w:val="24"/>
        </w:rPr>
        <w:t>＜</w:t>
      </w:r>
      <w:r>
        <w:rPr>
          <w:kern w:val="0"/>
          <w:szCs w:val="24"/>
        </w:rPr>
        <w:t>100</w:t>
      </w:r>
      <w:r>
        <w:rPr>
          <w:rFonts w:hint="eastAsia"/>
          <w:kern w:val="0"/>
          <w:szCs w:val="24"/>
        </w:rPr>
        <w:t>，</w:t>
      </w:r>
      <w:r>
        <w:rPr>
          <w:kern w:val="0"/>
          <w:szCs w:val="24"/>
        </w:rPr>
        <w:t>M</w:t>
      </w:r>
      <w:r>
        <w:rPr>
          <w:rFonts w:hint="eastAsia"/>
          <w:kern w:val="0"/>
          <w:szCs w:val="24"/>
        </w:rPr>
        <w:t>值为</w:t>
      </w:r>
      <w:r>
        <w:rPr>
          <w:kern w:val="0"/>
          <w:szCs w:val="24"/>
        </w:rPr>
        <w:t>M2</w:t>
      </w:r>
      <w:r>
        <w:rPr>
          <w:rFonts w:hint="eastAsia"/>
          <w:kern w:val="0"/>
          <w:szCs w:val="24"/>
        </w:rPr>
        <w:t>，根据上表，项目危险物质及工艺系统危险性分级为</w:t>
      </w:r>
      <w:r>
        <w:rPr>
          <w:kern w:val="0"/>
          <w:szCs w:val="24"/>
        </w:rPr>
        <w:t>P</w:t>
      </w:r>
      <w:r>
        <w:rPr>
          <w:rFonts w:hint="eastAsia"/>
          <w:kern w:val="0"/>
          <w:szCs w:val="24"/>
        </w:rPr>
        <w:t>2。</w:t>
      </w:r>
    </w:p>
    <w:p>
      <w:pPr>
        <w:pStyle w:val="5"/>
        <w:rPr>
          <w:rFonts w:asciiTheme="minorHAnsi" w:hAnsiTheme="minorHAnsi" w:cstheme="minorBidi"/>
          <w:sz w:val="24"/>
        </w:rPr>
      </w:pPr>
      <w:bookmarkStart w:id="555" w:name="_Toc9403159"/>
      <w:bookmarkStart w:id="556" w:name="_Toc13760277"/>
      <w:r>
        <w:t>8.2.2E</w:t>
      </w:r>
      <w:r>
        <w:rPr>
          <w:rFonts w:hint="eastAsia"/>
        </w:rPr>
        <w:t>的分级确定</w:t>
      </w:r>
      <w:bookmarkEnd w:id="555"/>
      <w:bookmarkEnd w:id="556"/>
    </w:p>
    <w:p>
      <w:pPr>
        <w:ind w:firstLine="480"/>
      </w:pPr>
      <w:r>
        <w:rPr>
          <w:rFonts w:hint="eastAsia"/>
        </w:rPr>
        <w:t>根据《建设项目环境风险评价技术导则》</w:t>
      </w:r>
      <w:r>
        <w:t>(HJ169-2018)</w:t>
      </w:r>
      <w:r>
        <w:rPr>
          <w:rFonts w:hint="eastAsia"/>
        </w:rPr>
        <w:t>附录</w:t>
      </w:r>
      <w:r>
        <w:t>D</w:t>
      </w:r>
      <w:r>
        <w:rPr>
          <w:rFonts w:hint="eastAsia"/>
        </w:rPr>
        <w:t>中：</w:t>
      </w:r>
    </w:p>
    <w:p>
      <w:pPr>
        <w:ind w:firstLine="480"/>
      </w:pPr>
      <w:r>
        <w:rPr>
          <w:rFonts w:hint="eastAsia"/>
        </w:rPr>
        <w:fldChar w:fldCharType="begin"/>
      </w:r>
      <w:r>
        <w:instrText xml:space="preserve">= 1 \* GB2</w:instrText>
      </w:r>
      <w:r>
        <w:rPr>
          <w:rFonts w:hint="eastAsia"/>
        </w:rPr>
        <w:fldChar w:fldCharType="separate"/>
      </w:r>
      <w:r>
        <w:rPr>
          <w:rFonts w:hint="eastAsia"/>
        </w:rPr>
        <w:t>⑴</w:t>
      </w:r>
      <w:r>
        <w:rPr>
          <w:rFonts w:hint="eastAsia"/>
        </w:rPr>
        <w:fldChar w:fldCharType="end"/>
      </w:r>
      <w:r>
        <w:rPr>
          <w:rFonts w:hint="eastAsia"/>
        </w:rPr>
        <w:t>大气环境</w:t>
      </w:r>
    </w:p>
    <w:p>
      <w:pPr>
        <w:ind w:firstLine="480"/>
        <w:rPr>
          <w:kern w:val="0"/>
        </w:rPr>
      </w:pPr>
      <w:r>
        <w:rPr>
          <w:rFonts w:hint="eastAsia"/>
          <w:kern w:val="0"/>
        </w:rPr>
        <w:t>表</w:t>
      </w:r>
      <w:r>
        <w:rPr>
          <w:kern w:val="0"/>
        </w:rPr>
        <w:t>8.2</w:t>
      </w:r>
      <w:r>
        <w:rPr>
          <w:rFonts w:hint="eastAsia"/>
          <w:kern w:val="0"/>
          <w:szCs w:val="24"/>
        </w:rPr>
        <w:t>—</w:t>
      </w:r>
      <w:r>
        <w:rPr>
          <w:kern w:val="0"/>
        </w:rPr>
        <w:t xml:space="preserve">5        </w:t>
      </w:r>
      <w:r>
        <w:rPr>
          <w:rFonts w:hint="eastAsia"/>
          <w:kern w:val="0"/>
        </w:rPr>
        <w:t>大气环境敏感程度分级</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36"/>
        <w:gridCol w:w="841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436"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分级</w:t>
            </w:r>
          </w:p>
        </w:tc>
        <w:tc>
          <w:tcPr>
            <w:tcW w:w="8418"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大气环境敏感性</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436"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El</w:t>
            </w:r>
          </w:p>
        </w:tc>
        <w:tc>
          <w:tcPr>
            <w:tcW w:w="8418"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left"/>
              <w:rPr>
                <w:rFonts w:cs="Times New Roman" w:eastAsiaTheme="minorEastAsia"/>
                <w:sz w:val="21"/>
              </w:rPr>
            </w:pPr>
            <w:r>
              <w:rPr>
                <w:rFonts w:hint="eastAsia" w:cs="Times New Roman"/>
                <w:sz w:val="21"/>
              </w:rPr>
              <w:t>周边</w:t>
            </w:r>
            <w:r>
              <w:rPr>
                <w:rFonts w:cs="Times New Roman"/>
                <w:sz w:val="21"/>
              </w:rPr>
              <w:t>5km</w:t>
            </w:r>
            <w:r>
              <w:rPr>
                <w:rFonts w:hint="eastAsia" w:cs="Times New Roman"/>
                <w:sz w:val="21"/>
              </w:rPr>
              <w:t>范围内居住区、医疗卫生、文化教育、科研、行政办公等机构人口总数大于</w:t>
            </w:r>
            <w:r>
              <w:rPr>
                <w:rFonts w:cs="Times New Roman"/>
                <w:sz w:val="21"/>
              </w:rPr>
              <w:t>5</w:t>
            </w:r>
            <w:r>
              <w:rPr>
                <w:rFonts w:hint="eastAsia" w:cs="Times New Roman"/>
                <w:sz w:val="21"/>
              </w:rPr>
              <w:t>万人，或其他需要特殊保护区域；或周边</w:t>
            </w:r>
            <w:r>
              <w:rPr>
                <w:rFonts w:cs="Times New Roman"/>
                <w:sz w:val="21"/>
              </w:rPr>
              <w:t>500m</w:t>
            </w:r>
            <w:r>
              <w:rPr>
                <w:rFonts w:hint="eastAsia" w:cs="Times New Roman"/>
                <w:sz w:val="21"/>
              </w:rPr>
              <w:t>围内人口总数大于</w:t>
            </w:r>
            <w:r>
              <w:rPr>
                <w:rFonts w:cs="Times New Roman"/>
                <w:sz w:val="21"/>
              </w:rPr>
              <w:t>1000</w:t>
            </w:r>
            <w:r>
              <w:rPr>
                <w:rFonts w:hint="eastAsia" w:cs="Times New Roman"/>
                <w:sz w:val="21"/>
              </w:rPr>
              <w:t>人；油气、化学品输送管线管段周边</w:t>
            </w:r>
            <w:r>
              <w:rPr>
                <w:rFonts w:cs="Times New Roman"/>
                <w:sz w:val="21"/>
              </w:rPr>
              <w:t>200m</w:t>
            </w:r>
            <w:r>
              <w:rPr>
                <w:rFonts w:hint="eastAsia" w:cs="Times New Roman"/>
                <w:sz w:val="21"/>
              </w:rPr>
              <w:t>范围内，每千米管段人口数大于</w:t>
            </w:r>
            <w:r>
              <w:rPr>
                <w:rFonts w:cs="Times New Roman"/>
                <w:sz w:val="21"/>
              </w:rPr>
              <w:t>200</w:t>
            </w:r>
            <w:r>
              <w:rPr>
                <w:rFonts w:hint="eastAsia" w:cs="Times New Roman"/>
                <w:sz w:val="21"/>
              </w:rPr>
              <w:t>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43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E2</w:t>
            </w:r>
          </w:p>
        </w:tc>
        <w:tc>
          <w:tcPr>
            <w:tcW w:w="8418"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left"/>
              <w:rPr>
                <w:rFonts w:cs="Times New Roman" w:eastAsiaTheme="minorEastAsia"/>
                <w:sz w:val="21"/>
              </w:rPr>
            </w:pPr>
            <w:r>
              <w:rPr>
                <w:rFonts w:hint="eastAsia" w:cs="Times New Roman"/>
                <w:sz w:val="21"/>
              </w:rPr>
              <w:t>周边</w:t>
            </w:r>
            <w:r>
              <w:rPr>
                <w:rFonts w:cs="Times New Roman"/>
                <w:sz w:val="21"/>
              </w:rPr>
              <w:t>5km</w:t>
            </w:r>
            <w:r>
              <w:rPr>
                <w:rFonts w:hint="eastAsia" w:cs="Times New Roman"/>
                <w:sz w:val="21"/>
              </w:rPr>
              <w:t>范围内居住区、医疗卫生、文化教的、科研、行政办公等机构人口总数大于</w:t>
            </w:r>
            <w:r>
              <w:rPr>
                <w:rFonts w:cs="Times New Roman"/>
                <w:sz w:val="21"/>
              </w:rPr>
              <w:t>1</w:t>
            </w:r>
            <w:r>
              <w:rPr>
                <w:rFonts w:hint="eastAsia" w:cs="Times New Roman"/>
                <w:sz w:val="21"/>
              </w:rPr>
              <w:t>万人，小于</w:t>
            </w:r>
            <w:r>
              <w:rPr>
                <w:rFonts w:cs="Times New Roman"/>
                <w:sz w:val="21"/>
              </w:rPr>
              <w:t>5</w:t>
            </w:r>
            <w:r>
              <w:rPr>
                <w:rFonts w:hint="eastAsia" w:cs="Times New Roman"/>
                <w:sz w:val="21"/>
              </w:rPr>
              <w:t>万人，或周边</w:t>
            </w:r>
            <w:r>
              <w:rPr>
                <w:rFonts w:cs="Times New Roman"/>
                <w:sz w:val="21"/>
              </w:rPr>
              <w:t>500m</w:t>
            </w:r>
            <w:r>
              <w:rPr>
                <w:rFonts w:hint="eastAsia" w:cs="Times New Roman"/>
                <w:sz w:val="21"/>
              </w:rPr>
              <w:t>范围内人口总数大于</w:t>
            </w:r>
            <w:r>
              <w:rPr>
                <w:rFonts w:cs="Times New Roman"/>
                <w:sz w:val="21"/>
              </w:rPr>
              <w:t>500</w:t>
            </w:r>
            <w:r>
              <w:rPr>
                <w:rFonts w:hint="eastAsia" w:cs="Times New Roman"/>
                <w:sz w:val="21"/>
              </w:rPr>
              <w:t>人，小于</w:t>
            </w:r>
            <w:r>
              <w:rPr>
                <w:rFonts w:cs="Times New Roman"/>
                <w:sz w:val="21"/>
              </w:rPr>
              <w:t>1000</w:t>
            </w:r>
            <w:r>
              <w:rPr>
                <w:rFonts w:hint="eastAsia" w:cs="Times New Roman"/>
                <w:sz w:val="21"/>
              </w:rPr>
              <w:t>人；油气、化学品输送管线管段周边</w:t>
            </w:r>
            <w:r>
              <w:rPr>
                <w:rFonts w:cs="Times New Roman"/>
                <w:sz w:val="21"/>
              </w:rPr>
              <w:t>200m</w:t>
            </w:r>
            <w:r>
              <w:rPr>
                <w:rFonts w:hint="eastAsia" w:cs="Times New Roman"/>
                <w:sz w:val="21"/>
              </w:rPr>
              <w:t>范围内，每千米管段人口数大于</w:t>
            </w:r>
            <w:r>
              <w:rPr>
                <w:rFonts w:cs="Times New Roman"/>
                <w:sz w:val="21"/>
              </w:rPr>
              <w:t>100</w:t>
            </w:r>
            <w:r>
              <w:rPr>
                <w:rFonts w:hint="eastAsia" w:cs="Times New Roman"/>
                <w:sz w:val="21"/>
              </w:rPr>
              <w:t>人，小于</w:t>
            </w:r>
            <w:r>
              <w:rPr>
                <w:rFonts w:cs="Times New Roman"/>
                <w:sz w:val="21"/>
              </w:rPr>
              <w:t>200</w:t>
            </w:r>
            <w:r>
              <w:rPr>
                <w:rFonts w:hint="eastAsia" w:cs="Times New Roman"/>
                <w:sz w:val="21"/>
              </w:rPr>
              <w:t>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436"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E3</w:t>
            </w:r>
          </w:p>
        </w:tc>
        <w:tc>
          <w:tcPr>
            <w:tcW w:w="8418"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left"/>
              <w:rPr>
                <w:rFonts w:cs="Times New Roman" w:eastAsiaTheme="minorEastAsia"/>
                <w:sz w:val="21"/>
              </w:rPr>
            </w:pPr>
            <w:r>
              <w:rPr>
                <w:rFonts w:hint="eastAsia" w:cs="Times New Roman"/>
                <w:sz w:val="21"/>
              </w:rPr>
              <w:t>边</w:t>
            </w:r>
            <w:r>
              <w:rPr>
                <w:rFonts w:cs="Times New Roman"/>
                <w:sz w:val="21"/>
              </w:rPr>
              <w:t>5km</w:t>
            </w:r>
            <w:r>
              <w:rPr>
                <w:rFonts w:hint="eastAsia" w:cs="Times New Roman"/>
                <w:sz w:val="21"/>
              </w:rPr>
              <w:t>范围内居住区、区疗卫生、文化教自、科研、行政小等机构人口总数小于</w:t>
            </w:r>
            <w:r>
              <w:rPr>
                <w:rFonts w:cs="Times New Roman"/>
                <w:sz w:val="21"/>
              </w:rPr>
              <w:t>1</w:t>
            </w:r>
            <w:r>
              <w:rPr>
                <w:rFonts w:hint="eastAsia" w:cs="Times New Roman"/>
                <w:sz w:val="21"/>
              </w:rPr>
              <w:t>万人：或周边</w:t>
            </w:r>
            <w:r>
              <w:rPr>
                <w:rFonts w:cs="Times New Roman"/>
                <w:sz w:val="21"/>
              </w:rPr>
              <w:t>500m</w:t>
            </w:r>
            <w:r>
              <w:rPr>
                <w:rFonts w:hint="eastAsia" w:cs="Times New Roman"/>
                <w:sz w:val="21"/>
              </w:rPr>
              <w:t>范围内人口总数小于</w:t>
            </w:r>
            <w:r>
              <w:rPr>
                <w:rFonts w:cs="Times New Roman"/>
                <w:sz w:val="21"/>
              </w:rPr>
              <w:t>500</w:t>
            </w:r>
            <w:r>
              <w:rPr>
                <w:rFonts w:hint="eastAsia" w:cs="Times New Roman"/>
                <w:sz w:val="21"/>
              </w:rPr>
              <w:t>人，油气、化学品输送管线管段周边</w:t>
            </w:r>
            <w:r>
              <w:rPr>
                <w:rFonts w:cs="Times New Roman"/>
                <w:sz w:val="21"/>
              </w:rPr>
              <w:t>200m</w:t>
            </w:r>
            <w:r>
              <w:rPr>
                <w:rFonts w:hint="eastAsia" w:cs="Times New Roman"/>
                <w:sz w:val="21"/>
              </w:rPr>
              <w:t>范围内，每千米管段人口数小于</w:t>
            </w:r>
            <w:r>
              <w:rPr>
                <w:rFonts w:cs="Times New Roman"/>
                <w:sz w:val="21"/>
              </w:rPr>
              <w:t>100</w:t>
            </w:r>
            <w:r>
              <w:rPr>
                <w:rFonts w:hint="eastAsia" w:cs="Times New Roman"/>
                <w:sz w:val="21"/>
              </w:rPr>
              <w:t>人</w:t>
            </w:r>
          </w:p>
        </w:tc>
      </w:tr>
    </w:tbl>
    <w:p>
      <w:pPr>
        <w:adjustRightInd w:val="0"/>
        <w:snapToGrid w:val="0"/>
        <w:ind w:firstLine="480"/>
        <w:rPr>
          <w:rFonts w:cs="Times New Roman" w:eastAsiaTheme="minorEastAsia"/>
          <w:szCs w:val="24"/>
        </w:rPr>
      </w:pPr>
      <w:r>
        <w:rPr>
          <w:rFonts w:hint="eastAsia" w:cs="Times New Roman"/>
          <w:szCs w:val="24"/>
        </w:rPr>
        <w:t>本工程</w:t>
      </w:r>
      <w:r>
        <w:rPr>
          <w:rFonts w:cs="Times New Roman"/>
          <w:szCs w:val="24"/>
        </w:rPr>
        <w:t>5km</w:t>
      </w:r>
      <w:r>
        <w:rPr>
          <w:rFonts w:hint="eastAsia" w:cs="Times New Roman"/>
          <w:szCs w:val="24"/>
        </w:rPr>
        <w:t>范围内居人口总数小于</w:t>
      </w:r>
      <w:r>
        <w:rPr>
          <w:rFonts w:cs="Times New Roman"/>
          <w:szCs w:val="24"/>
        </w:rPr>
        <w:t>1</w:t>
      </w:r>
      <w:r>
        <w:rPr>
          <w:rFonts w:hint="eastAsia" w:cs="Times New Roman"/>
          <w:szCs w:val="24"/>
        </w:rPr>
        <w:t>万人且周边</w:t>
      </w:r>
      <w:r>
        <w:rPr>
          <w:rFonts w:cs="Times New Roman"/>
          <w:szCs w:val="24"/>
        </w:rPr>
        <w:t>500m</w:t>
      </w:r>
      <w:r>
        <w:rPr>
          <w:rFonts w:hint="eastAsia" w:cs="Times New Roman"/>
          <w:szCs w:val="24"/>
        </w:rPr>
        <w:t>范围内人口总数小于</w:t>
      </w:r>
      <w:r>
        <w:rPr>
          <w:rFonts w:cs="Times New Roman"/>
          <w:szCs w:val="24"/>
        </w:rPr>
        <w:t>500</w:t>
      </w:r>
      <w:r>
        <w:rPr>
          <w:rFonts w:hint="eastAsia" w:cs="Times New Roman"/>
          <w:szCs w:val="24"/>
        </w:rPr>
        <w:t>人，根据表</w:t>
      </w:r>
      <w:r>
        <w:rPr>
          <w:rFonts w:cs="Times New Roman"/>
          <w:szCs w:val="24"/>
        </w:rPr>
        <w:t>8.2</w:t>
      </w:r>
      <w:r>
        <w:rPr>
          <w:rFonts w:hint="eastAsia"/>
          <w:kern w:val="0"/>
          <w:szCs w:val="24"/>
        </w:rPr>
        <w:t>—</w:t>
      </w:r>
      <w:r>
        <w:rPr>
          <w:rFonts w:cs="Times New Roman"/>
          <w:szCs w:val="24"/>
        </w:rPr>
        <w:t>5</w:t>
      </w:r>
      <w:r>
        <w:rPr>
          <w:rFonts w:hint="eastAsia" w:cs="Times New Roman"/>
          <w:szCs w:val="24"/>
        </w:rPr>
        <w:t>，大气环境敏感程度分级为</w:t>
      </w:r>
      <w:r>
        <w:rPr>
          <w:rFonts w:cs="Times New Roman"/>
          <w:szCs w:val="24"/>
        </w:rPr>
        <w:t>E3</w:t>
      </w:r>
      <w:r>
        <w:rPr>
          <w:rFonts w:hint="eastAsia" w:cs="Times New Roman"/>
          <w:szCs w:val="24"/>
        </w:rPr>
        <w:t>，属于环境低度敏感区。</w:t>
      </w:r>
    </w:p>
    <w:p>
      <w:pPr>
        <w:adjustRightInd w:val="0"/>
        <w:snapToGrid w:val="0"/>
        <w:ind w:firstLine="424" w:firstLineChars="177"/>
        <w:rPr>
          <w:rFonts w:cs="Times New Roman" w:asciiTheme="minorEastAsia" w:hAnsiTheme="minorEastAsia"/>
          <w:szCs w:val="24"/>
        </w:rPr>
      </w:pPr>
      <w:r>
        <w:rPr>
          <w:rFonts w:hint="eastAsia" w:cs="Times New Roman" w:asciiTheme="minorEastAsia" w:hAnsiTheme="minorEastAsia"/>
          <w:szCs w:val="24"/>
        </w:rPr>
        <w:fldChar w:fldCharType="begin"/>
      </w:r>
      <w:r>
        <w:rPr>
          <w:rFonts w:hint="eastAsia" w:cs="Times New Roman" w:asciiTheme="minorEastAsia" w:hAnsiTheme="minorEastAsia"/>
          <w:szCs w:val="24"/>
        </w:rPr>
        <w:instrText xml:space="preserve"> = 2 \* GB2 </w:instrText>
      </w:r>
      <w:r>
        <w:rPr>
          <w:rFonts w:hint="eastAsia" w:cs="Times New Roman" w:asciiTheme="minorEastAsia" w:hAnsiTheme="minorEastAsia"/>
          <w:szCs w:val="24"/>
        </w:rPr>
        <w:fldChar w:fldCharType="separate"/>
      </w:r>
      <w:r>
        <w:rPr>
          <w:rFonts w:hint="eastAsia" w:cs="Times New Roman" w:asciiTheme="minorEastAsia" w:hAnsiTheme="minorEastAsia"/>
          <w:szCs w:val="24"/>
        </w:rPr>
        <w:t>⑵</w:t>
      </w:r>
      <w:r>
        <w:rPr>
          <w:rFonts w:hint="eastAsia" w:cs="Times New Roman" w:asciiTheme="minorEastAsia" w:hAnsiTheme="minorEastAsia"/>
          <w:szCs w:val="24"/>
        </w:rPr>
        <w:fldChar w:fldCharType="end"/>
      </w:r>
      <w:r>
        <w:rPr>
          <w:rFonts w:hint="eastAsia" w:cs="Times New Roman" w:asciiTheme="minorEastAsia" w:hAnsiTheme="minorEastAsia"/>
          <w:szCs w:val="24"/>
        </w:rPr>
        <w:t>地表水环境</w:t>
      </w:r>
    </w:p>
    <w:p>
      <w:pPr>
        <w:pStyle w:val="739"/>
        <w:ind w:firstLine="480"/>
        <w:rPr>
          <w:kern w:val="0"/>
        </w:rPr>
      </w:pPr>
      <w:r>
        <w:rPr>
          <w:rFonts w:hint="eastAsia" w:hAnsiTheme="minorEastAsia"/>
          <w:kern w:val="0"/>
        </w:rPr>
        <w:t>表</w:t>
      </w:r>
      <w:r>
        <w:rPr>
          <w:kern w:val="0"/>
        </w:rPr>
        <w:t>8.2</w:t>
      </w:r>
      <w:r>
        <w:rPr>
          <w:rFonts w:hint="eastAsia"/>
          <w:kern w:val="0"/>
        </w:rPr>
        <w:t>—</w:t>
      </w:r>
      <w:r>
        <w:rPr>
          <w:kern w:val="0"/>
        </w:rPr>
        <w:t xml:space="preserve">6     </w:t>
      </w:r>
      <w:r>
        <w:rPr>
          <w:rFonts w:hint="eastAsia" w:hAnsiTheme="minorEastAsia"/>
          <w:kern w:val="0"/>
        </w:rPr>
        <w:t>地表水功能敏感性分区</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00"/>
        <w:gridCol w:w="825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敏感性</w:t>
            </w:r>
          </w:p>
        </w:tc>
        <w:tc>
          <w:tcPr>
            <w:tcW w:w="8254"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地表水环境敏感特征</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敏感</w:t>
            </w:r>
            <w:r>
              <w:rPr>
                <w:sz w:val="21"/>
              </w:rPr>
              <w:t>F1</w:t>
            </w:r>
          </w:p>
        </w:tc>
        <w:tc>
          <w:tcPr>
            <w:tcW w:w="8254"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left"/>
              <w:rPr>
                <w:rFonts w:eastAsiaTheme="minorEastAsia"/>
                <w:sz w:val="21"/>
              </w:rPr>
            </w:pPr>
            <w:r>
              <w:rPr>
                <w:rFonts w:hint="eastAsia"/>
                <w:sz w:val="21"/>
              </w:rPr>
              <w:t>排放点进入地表水水域环境功能为</w:t>
            </w:r>
            <w:r>
              <w:rPr>
                <w:rFonts w:hint="eastAsia" w:ascii="宋体" w:hAnsi="宋体" w:cs="宋体"/>
                <w:sz w:val="21"/>
              </w:rPr>
              <w:t>Ⅱ</w:t>
            </w:r>
            <w:r>
              <w:rPr>
                <w:rFonts w:hint="eastAsia"/>
                <w:sz w:val="21"/>
              </w:rPr>
              <w:t>类及以上，或海水水质分类第一类；或以发生事故时，危险物质泄漏到水体的排放点算起，排放进入受纳河流最大流速时，</w:t>
            </w:r>
            <w:r>
              <w:rPr>
                <w:sz w:val="21"/>
              </w:rPr>
              <w:t>24h</w:t>
            </w:r>
            <w:r>
              <w:rPr>
                <w:rFonts w:hint="eastAsia"/>
                <w:sz w:val="21"/>
              </w:rPr>
              <w:t>流经范围内涉跨国界的</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较敏感</w:t>
            </w:r>
            <w:r>
              <w:rPr>
                <w:sz w:val="21"/>
              </w:rPr>
              <w:t>F2</w:t>
            </w:r>
          </w:p>
        </w:tc>
        <w:tc>
          <w:tcPr>
            <w:tcW w:w="8254"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left"/>
              <w:rPr>
                <w:rFonts w:eastAsiaTheme="minorEastAsia"/>
                <w:sz w:val="21"/>
              </w:rPr>
            </w:pPr>
            <w:r>
              <w:rPr>
                <w:rFonts w:hint="eastAsia"/>
                <w:sz w:val="21"/>
              </w:rPr>
              <w:t>排放点进入地表水水域环境功能为</w:t>
            </w:r>
            <w:r>
              <w:rPr>
                <w:rFonts w:hint="eastAsia" w:ascii="宋体" w:hAnsi="宋体" w:cs="宋体"/>
                <w:sz w:val="21"/>
              </w:rPr>
              <w:t>Ⅲ</w:t>
            </w:r>
            <w:r>
              <w:rPr>
                <w:rFonts w:hint="eastAsia"/>
                <w:sz w:val="21"/>
              </w:rPr>
              <w:t>类，或海水水质分类第二类；或以发生事故时，危险物质泄漏到水体的排放点算起，排放进入受纳河流最大流速时，</w:t>
            </w:r>
            <w:r>
              <w:rPr>
                <w:sz w:val="21"/>
              </w:rPr>
              <w:t>24h</w:t>
            </w:r>
            <w:r>
              <w:rPr>
                <w:rFonts w:hint="eastAsia"/>
                <w:sz w:val="21"/>
              </w:rPr>
              <w:t>流经范围内涉跨省界的</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低敏感</w:t>
            </w:r>
            <w:r>
              <w:rPr>
                <w:sz w:val="21"/>
              </w:rPr>
              <w:t>F3</w:t>
            </w:r>
          </w:p>
        </w:tc>
        <w:tc>
          <w:tcPr>
            <w:tcW w:w="8254"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rPr>
                <w:rFonts w:eastAsiaTheme="minorEastAsia"/>
                <w:sz w:val="21"/>
              </w:rPr>
            </w:pPr>
            <w:r>
              <w:rPr>
                <w:rFonts w:hint="eastAsia"/>
                <w:sz w:val="21"/>
              </w:rPr>
              <w:t>上述地区之外的其他地区</w:t>
            </w:r>
          </w:p>
        </w:tc>
      </w:tr>
    </w:tbl>
    <w:p>
      <w:pPr>
        <w:pStyle w:val="739"/>
        <w:ind w:firstLine="480"/>
        <w:rPr>
          <w:rFonts w:hAnsiTheme="minorEastAsia"/>
          <w:kern w:val="0"/>
        </w:rPr>
      </w:pPr>
    </w:p>
    <w:p>
      <w:pPr>
        <w:pStyle w:val="739"/>
        <w:ind w:firstLine="480"/>
        <w:rPr>
          <w:rFonts w:hAnsiTheme="minorEastAsia"/>
          <w:kern w:val="0"/>
        </w:rPr>
      </w:pPr>
      <w:r>
        <w:rPr>
          <w:rFonts w:hint="eastAsia" w:hAnsiTheme="minorEastAsia"/>
          <w:kern w:val="0"/>
        </w:rPr>
        <w:t>表</w:t>
      </w:r>
      <w:r>
        <w:rPr>
          <w:rFonts w:hAnsiTheme="minorEastAsia"/>
          <w:kern w:val="0"/>
        </w:rPr>
        <w:t>8.2</w:t>
      </w:r>
      <w:r>
        <w:rPr>
          <w:rFonts w:hint="eastAsia"/>
          <w:kern w:val="0"/>
          <w:szCs w:val="24"/>
        </w:rPr>
        <w:t>—</w:t>
      </w:r>
      <w:r>
        <w:rPr>
          <w:rFonts w:hAnsiTheme="minorEastAsia"/>
          <w:kern w:val="0"/>
        </w:rPr>
        <w:t xml:space="preserve">7       </w:t>
      </w:r>
      <w:r>
        <w:rPr>
          <w:rFonts w:hint="eastAsia" w:hAnsiTheme="minorEastAsia"/>
          <w:kern w:val="0"/>
        </w:rPr>
        <w:t>环境敏感目标分级</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00"/>
        <w:gridCol w:w="825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分级</w:t>
            </w:r>
          </w:p>
        </w:tc>
        <w:tc>
          <w:tcPr>
            <w:tcW w:w="8254"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环境敏感目标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S1</w:t>
            </w:r>
          </w:p>
        </w:tc>
        <w:tc>
          <w:tcPr>
            <w:tcW w:w="8254"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rPr>
                <w:rFonts w:eastAsiaTheme="minorEastAsia"/>
                <w:sz w:val="21"/>
              </w:rPr>
            </w:pPr>
            <w:r>
              <w:rPr>
                <w:rFonts w:hint="eastAsia"/>
                <w:sz w:val="21"/>
              </w:rPr>
              <w:t>发生事故时，危险物质泄漏到内陆水体的排放点下游</w:t>
            </w:r>
            <w:r>
              <w:rPr>
                <w:sz w:val="21"/>
              </w:rPr>
              <w:t>(</w:t>
            </w:r>
            <w:r>
              <w:rPr>
                <w:rFonts w:hint="eastAsia"/>
                <w:sz w:val="21"/>
              </w:rPr>
              <w:t>顺水流向</w:t>
            </w:r>
            <w:r>
              <w:rPr>
                <w:sz w:val="21"/>
              </w:rPr>
              <w:t>)10km</w:t>
            </w:r>
            <w:r>
              <w:rPr>
                <w:rFonts w:hint="eastAsia"/>
                <w:sz w:val="21"/>
              </w:rPr>
              <w:t>范围内、近岸海域一个潮周期水质点可能达到的最大水平距离的两倍范围内，有如下一类或多类环境风险受体：集中式地表水饮用水水源保护区</w:t>
            </w:r>
            <w:r>
              <w:rPr>
                <w:sz w:val="21"/>
              </w:rPr>
              <w:t>(</w:t>
            </w:r>
            <w:r>
              <w:rPr>
                <w:rFonts w:hint="eastAsia"/>
                <w:sz w:val="21"/>
              </w:rPr>
              <w:t>包括一级保护区、二级保护区及准保护区</w:t>
            </w:r>
            <w:r>
              <w:rPr>
                <w:sz w:val="21"/>
              </w:rPr>
              <w:t>)</w:t>
            </w:r>
            <w:r>
              <w:rPr>
                <w:rFonts w:hint="eastAsia"/>
                <w:sz w:val="21"/>
              </w:rPr>
              <w:t>；农村及分散式饮用水水源保护区；自然保护区；重要湿地；珍稀濒危野生动植物天然集中分布区；重要水生生物的自然产卵场及索饵场、越冬场和洄游通道；世界文化和自然遗产地；红树林、珊瑚礁等滨海湿地生态系统；珍稀、瀕危海洋生物的天然集中分布区；海洋特别保护区；海上自然保护区；盐场保护区；海水浴场：海洋自然历史遗迹；风景名胜区；或其他特殊重要保护区域</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S2</w:t>
            </w:r>
          </w:p>
        </w:tc>
        <w:tc>
          <w:tcPr>
            <w:tcW w:w="8254"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rPr>
                <w:rFonts w:eastAsiaTheme="minorEastAsia"/>
                <w:sz w:val="21"/>
              </w:rPr>
            </w:pPr>
            <w:r>
              <w:rPr>
                <w:rFonts w:hint="eastAsia"/>
                <w:sz w:val="21"/>
              </w:rPr>
              <w:t>发生事故时，危险物质泄漏到内陆水体的排放点下游</w:t>
            </w:r>
            <w:r>
              <w:rPr>
                <w:sz w:val="21"/>
              </w:rPr>
              <w:t>(</w:t>
            </w:r>
            <w:r>
              <w:rPr>
                <w:rFonts w:hint="eastAsia"/>
                <w:sz w:val="21"/>
              </w:rPr>
              <w:t>顺水流向</w:t>
            </w:r>
            <w:r>
              <w:rPr>
                <w:sz w:val="21"/>
              </w:rPr>
              <w:t>)10km</w:t>
            </w:r>
            <w:r>
              <w:rPr>
                <w:rFonts w:hint="eastAsia"/>
                <w:sz w:val="21"/>
              </w:rPr>
              <w:t>范围内、近岸海域一个潮周期水质点可能达到的最大水平距离的两倍范围内，有如下一类或多类环境风险受体的：水产养殖区；天然渔场；森林公园；地质公园；海滨风景游览区；具有重要经济价值的海洋生物生存区城</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600"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S3</w:t>
            </w:r>
          </w:p>
        </w:tc>
        <w:tc>
          <w:tcPr>
            <w:tcW w:w="8254"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rPr>
                <w:rFonts w:eastAsiaTheme="minorEastAsia"/>
                <w:sz w:val="21"/>
              </w:rPr>
            </w:pPr>
            <w:r>
              <w:rPr>
                <w:rFonts w:hint="eastAsia"/>
                <w:sz w:val="21"/>
              </w:rPr>
              <w:t>排放点下游</w:t>
            </w:r>
            <w:r>
              <w:rPr>
                <w:sz w:val="21"/>
              </w:rPr>
              <w:t>(</w:t>
            </w:r>
            <w:r>
              <w:rPr>
                <w:rFonts w:hint="eastAsia"/>
                <w:sz w:val="21"/>
              </w:rPr>
              <w:t>顺水流向</w:t>
            </w:r>
            <w:r>
              <w:rPr>
                <w:sz w:val="21"/>
              </w:rPr>
              <w:t>)10km</w:t>
            </w:r>
            <w:r>
              <w:rPr>
                <w:rFonts w:hint="eastAsia"/>
                <w:sz w:val="21"/>
              </w:rPr>
              <w:t>范围、近岸海域一个潮周期水质点可能达到的最大水平距离的两倍范围内无上述类型</w:t>
            </w:r>
            <w:r>
              <w:rPr>
                <w:sz w:val="21"/>
              </w:rPr>
              <w:t>1</w:t>
            </w:r>
            <w:r>
              <w:rPr>
                <w:rFonts w:hint="eastAsia"/>
                <w:sz w:val="21"/>
              </w:rPr>
              <w:t>和类型</w:t>
            </w:r>
            <w:r>
              <w:rPr>
                <w:sz w:val="21"/>
              </w:rPr>
              <w:t>2</w:t>
            </w:r>
            <w:r>
              <w:rPr>
                <w:rFonts w:hint="eastAsia"/>
                <w:sz w:val="21"/>
              </w:rPr>
              <w:t>包括的敏感保护目标</w:t>
            </w:r>
          </w:p>
        </w:tc>
      </w:tr>
    </w:tbl>
    <w:p>
      <w:pPr>
        <w:pStyle w:val="739"/>
        <w:ind w:firstLine="480"/>
        <w:rPr>
          <w:rFonts w:hAnsiTheme="minorEastAsia"/>
          <w:kern w:val="0"/>
        </w:rPr>
      </w:pPr>
    </w:p>
    <w:p>
      <w:pPr>
        <w:pStyle w:val="739"/>
        <w:ind w:firstLine="480"/>
        <w:rPr>
          <w:rFonts w:eastAsiaTheme="minorEastAsia"/>
          <w:kern w:val="0"/>
        </w:rPr>
      </w:pPr>
      <w:r>
        <w:rPr>
          <w:rFonts w:hint="eastAsia" w:hAnsiTheme="minorEastAsia"/>
          <w:kern w:val="0"/>
        </w:rPr>
        <w:t>表</w:t>
      </w:r>
      <w:r>
        <w:rPr>
          <w:kern w:val="0"/>
        </w:rPr>
        <w:t>8.2</w:t>
      </w:r>
      <w:r>
        <w:rPr>
          <w:rFonts w:hint="eastAsia"/>
          <w:kern w:val="0"/>
          <w:szCs w:val="24"/>
        </w:rPr>
        <w:t>—</w:t>
      </w:r>
      <w:r>
        <w:rPr>
          <w:kern w:val="0"/>
        </w:rPr>
        <w:t xml:space="preserve">8      </w:t>
      </w:r>
      <w:r>
        <w:rPr>
          <w:rFonts w:hint="eastAsia" w:hAnsiTheme="minorEastAsia"/>
          <w:kern w:val="0"/>
        </w:rPr>
        <w:t>地表水环境敏感程度分级</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463"/>
        <w:gridCol w:w="2463"/>
        <w:gridCol w:w="2464"/>
        <w:gridCol w:w="246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vMerge w:val="restart"/>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敏感目标</w:t>
            </w:r>
          </w:p>
        </w:tc>
        <w:tc>
          <w:tcPr>
            <w:tcW w:w="7391" w:type="dxa"/>
            <w:gridSpan w:val="3"/>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地表水功能敏感性</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vMerge w:val="continue"/>
            <w:tcBorders>
              <w:top w:val="single" w:color="auto" w:sz="12" w:space="0"/>
              <w:left w:val="nil"/>
              <w:bottom w:val="single" w:color="auto" w:sz="12" w:space="0"/>
              <w:right w:val="dotted" w:color="auto" w:sz="4" w:space="0"/>
            </w:tcBorders>
            <w:vAlign w:val="center"/>
          </w:tcPr>
          <w:p>
            <w:pPr>
              <w:widowControl/>
              <w:spacing w:line="240" w:lineRule="atLeast"/>
              <w:ind w:firstLine="0" w:firstLineChars="0"/>
              <w:jc w:val="left"/>
              <w:rPr>
                <w:rFonts w:eastAsiaTheme="minorEastAsia"/>
                <w:sz w:val="21"/>
              </w:rPr>
            </w:pPr>
          </w:p>
        </w:tc>
        <w:tc>
          <w:tcPr>
            <w:tcW w:w="2463"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F1</w:t>
            </w:r>
          </w:p>
        </w:tc>
        <w:tc>
          <w:tcPr>
            <w:tcW w:w="2464"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F2</w:t>
            </w:r>
          </w:p>
        </w:tc>
        <w:tc>
          <w:tcPr>
            <w:tcW w:w="2464"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eastAsiaTheme="minorEastAsia"/>
                <w:sz w:val="21"/>
              </w:rPr>
              <w:t>F3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S1</w:t>
            </w:r>
          </w:p>
        </w:tc>
        <w:tc>
          <w:tcPr>
            <w:tcW w:w="2463"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E1</w:t>
            </w:r>
          </w:p>
        </w:tc>
        <w:tc>
          <w:tcPr>
            <w:tcW w:w="2464"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E1</w:t>
            </w:r>
          </w:p>
        </w:tc>
        <w:tc>
          <w:tcPr>
            <w:tcW w:w="2464"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rFonts w:eastAsiaTheme="minorEastAsia"/>
                <w:sz w:val="21"/>
              </w:rPr>
              <w:t>E2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S2</w:t>
            </w:r>
          </w:p>
        </w:tc>
        <w:tc>
          <w:tcPr>
            <w:tcW w:w="246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E1</w:t>
            </w:r>
          </w:p>
        </w:tc>
        <w:tc>
          <w:tcPr>
            <w:tcW w:w="246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E2</w:t>
            </w:r>
          </w:p>
        </w:tc>
        <w:tc>
          <w:tcPr>
            <w:tcW w:w="2464"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rFonts w:eastAsiaTheme="minorEastAsia"/>
                <w:sz w:val="21"/>
              </w:rPr>
              <w:t>E3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eastAsiaTheme="minorEastAsia"/>
                <w:sz w:val="21"/>
              </w:rPr>
              <w:t>S3</w:t>
            </w:r>
          </w:p>
        </w:tc>
        <w:tc>
          <w:tcPr>
            <w:tcW w:w="2463"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E1</w:t>
            </w:r>
          </w:p>
        </w:tc>
        <w:tc>
          <w:tcPr>
            <w:tcW w:w="2464"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E2</w:t>
            </w:r>
          </w:p>
        </w:tc>
        <w:tc>
          <w:tcPr>
            <w:tcW w:w="2464"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eastAsiaTheme="minorEastAsia"/>
                <w:sz w:val="21"/>
              </w:rPr>
              <w:t>E3</w:t>
            </w:r>
          </w:p>
        </w:tc>
      </w:tr>
    </w:tbl>
    <w:p>
      <w:pPr>
        <w:adjustRightInd w:val="0"/>
        <w:snapToGrid w:val="0"/>
        <w:ind w:firstLine="480"/>
        <w:rPr>
          <w:rFonts w:cs="Times New Roman"/>
          <w:szCs w:val="24"/>
        </w:rPr>
      </w:pPr>
    </w:p>
    <w:p>
      <w:pPr>
        <w:adjustRightInd w:val="0"/>
        <w:snapToGrid w:val="0"/>
        <w:ind w:firstLine="480"/>
        <w:rPr>
          <w:rFonts w:cs="Times New Roman" w:eastAsiaTheme="minorEastAsia"/>
          <w:szCs w:val="24"/>
        </w:rPr>
      </w:pPr>
      <w:r>
        <w:rPr>
          <w:rFonts w:hint="eastAsia" w:cs="Times New Roman"/>
          <w:szCs w:val="24"/>
        </w:rPr>
        <w:t>本工程污水处理站处理后回用，废水不排放。根据表</w:t>
      </w:r>
      <w:r>
        <w:rPr>
          <w:rFonts w:cs="Times New Roman"/>
          <w:szCs w:val="24"/>
        </w:rPr>
        <w:t>8.2</w:t>
      </w:r>
      <w:r>
        <w:rPr>
          <w:rFonts w:hint="eastAsia" w:cs="Times New Roman"/>
          <w:szCs w:val="24"/>
        </w:rPr>
        <w:t>—</w:t>
      </w:r>
      <w:r>
        <w:rPr>
          <w:rFonts w:cs="Times New Roman"/>
          <w:szCs w:val="24"/>
        </w:rPr>
        <w:t>6</w:t>
      </w:r>
      <w:r>
        <w:rPr>
          <w:rFonts w:hint="eastAsia" w:cs="Times New Roman"/>
          <w:szCs w:val="24"/>
        </w:rPr>
        <w:t>，地表水功能敏感性分区为</w:t>
      </w:r>
      <w:r>
        <w:rPr>
          <w:rFonts w:cs="Times New Roman"/>
          <w:szCs w:val="24"/>
        </w:rPr>
        <w:t>“</w:t>
      </w:r>
      <w:r>
        <w:rPr>
          <w:rFonts w:hint="eastAsia" w:cs="Times New Roman"/>
          <w:szCs w:val="24"/>
        </w:rPr>
        <w:t>低敏感度</w:t>
      </w:r>
      <w:r>
        <w:rPr>
          <w:rFonts w:cs="Times New Roman"/>
          <w:szCs w:val="24"/>
        </w:rPr>
        <w:t>F3”</w:t>
      </w:r>
      <w:r>
        <w:rPr>
          <w:rFonts w:hint="eastAsia" w:cs="Times New Roman"/>
          <w:szCs w:val="24"/>
        </w:rPr>
        <w:t>；根据表</w:t>
      </w:r>
      <w:r>
        <w:rPr>
          <w:rFonts w:cs="Times New Roman"/>
          <w:szCs w:val="24"/>
        </w:rPr>
        <w:t>8.2</w:t>
      </w:r>
      <w:r>
        <w:rPr>
          <w:rFonts w:hint="eastAsia" w:cs="Times New Roman"/>
          <w:szCs w:val="24"/>
        </w:rPr>
        <w:t>—</w:t>
      </w:r>
      <w:r>
        <w:rPr>
          <w:rFonts w:cs="Times New Roman"/>
          <w:szCs w:val="24"/>
        </w:rPr>
        <w:t>7</w:t>
      </w:r>
      <w:r>
        <w:rPr>
          <w:rFonts w:hint="eastAsia" w:cs="Times New Roman"/>
          <w:szCs w:val="24"/>
        </w:rPr>
        <w:t>，环境敏感目标分级为</w:t>
      </w:r>
      <w:r>
        <w:rPr>
          <w:rFonts w:cs="Times New Roman"/>
          <w:szCs w:val="24"/>
        </w:rPr>
        <w:t>“S3”</w:t>
      </w:r>
      <w:r>
        <w:rPr>
          <w:rFonts w:hint="eastAsia" w:cs="Times New Roman"/>
          <w:szCs w:val="24"/>
        </w:rPr>
        <w:t>；根据表</w:t>
      </w:r>
      <w:r>
        <w:rPr>
          <w:rFonts w:cs="Times New Roman"/>
          <w:szCs w:val="24"/>
        </w:rPr>
        <w:t>8.2</w:t>
      </w:r>
      <w:r>
        <w:rPr>
          <w:rFonts w:hint="eastAsia" w:cs="Times New Roman"/>
          <w:szCs w:val="24"/>
        </w:rPr>
        <w:t>—</w:t>
      </w:r>
      <w:r>
        <w:rPr>
          <w:rFonts w:cs="Times New Roman"/>
          <w:szCs w:val="24"/>
        </w:rPr>
        <w:t>8</w:t>
      </w:r>
      <w:r>
        <w:rPr>
          <w:rFonts w:hint="eastAsia" w:cs="Times New Roman"/>
          <w:szCs w:val="24"/>
        </w:rPr>
        <w:t>，地表水环境敏感程度分级为</w:t>
      </w:r>
      <w:r>
        <w:rPr>
          <w:rFonts w:cs="Times New Roman"/>
          <w:szCs w:val="24"/>
        </w:rPr>
        <w:t>E3</w:t>
      </w:r>
      <w:r>
        <w:rPr>
          <w:rFonts w:hint="eastAsia" w:cs="Times New Roman"/>
          <w:szCs w:val="24"/>
        </w:rPr>
        <w:t>，属于环境低度敏感区。</w:t>
      </w:r>
    </w:p>
    <w:p>
      <w:pPr>
        <w:adjustRightInd w:val="0"/>
        <w:snapToGrid w:val="0"/>
        <w:ind w:firstLine="480"/>
        <w:rPr>
          <w:rFonts w:cs="Times New Roman" w:asciiTheme="minorEastAsia" w:hAnsiTheme="minorEastAsia"/>
          <w:szCs w:val="24"/>
        </w:rPr>
      </w:pPr>
      <w:r>
        <w:rPr>
          <w:rFonts w:hint="eastAsia" w:cs="Times New Roman" w:asciiTheme="minorEastAsia" w:hAnsiTheme="minorEastAsia"/>
          <w:szCs w:val="24"/>
        </w:rPr>
        <w:fldChar w:fldCharType="begin"/>
      </w:r>
      <w:r>
        <w:rPr>
          <w:rFonts w:hint="eastAsia" w:cs="Times New Roman" w:asciiTheme="minorEastAsia" w:hAnsiTheme="minorEastAsia"/>
          <w:szCs w:val="24"/>
        </w:rPr>
        <w:instrText xml:space="preserve"> = 3 \* GB2 </w:instrText>
      </w:r>
      <w:r>
        <w:rPr>
          <w:rFonts w:hint="eastAsia" w:cs="Times New Roman" w:asciiTheme="minorEastAsia" w:hAnsiTheme="minorEastAsia"/>
          <w:szCs w:val="24"/>
        </w:rPr>
        <w:fldChar w:fldCharType="separate"/>
      </w:r>
      <w:r>
        <w:rPr>
          <w:rFonts w:hint="eastAsia" w:cs="Times New Roman" w:asciiTheme="minorEastAsia" w:hAnsiTheme="minorEastAsia"/>
          <w:szCs w:val="24"/>
        </w:rPr>
        <w:t>⑶</w:t>
      </w:r>
      <w:r>
        <w:rPr>
          <w:rFonts w:hint="eastAsia" w:cs="Times New Roman" w:asciiTheme="minorEastAsia" w:hAnsiTheme="minorEastAsia"/>
          <w:szCs w:val="24"/>
        </w:rPr>
        <w:fldChar w:fldCharType="end"/>
      </w:r>
      <w:r>
        <w:rPr>
          <w:rFonts w:hint="eastAsia" w:cs="Times New Roman" w:asciiTheme="minorEastAsia" w:hAnsiTheme="minorEastAsia"/>
          <w:szCs w:val="24"/>
        </w:rPr>
        <w:t>地下水环境</w:t>
      </w:r>
    </w:p>
    <w:p>
      <w:pPr>
        <w:widowControl/>
        <w:adjustRightInd w:val="0"/>
        <w:snapToGrid w:val="0"/>
        <w:spacing w:line="500" w:lineRule="exact"/>
        <w:ind w:firstLine="480"/>
        <w:rPr>
          <w:rFonts w:cs="Times New Roman"/>
          <w:kern w:val="0"/>
          <w:szCs w:val="24"/>
        </w:rPr>
      </w:pPr>
      <w:r>
        <w:rPr>
          <w:rFonts w:hint="eastAsia" w:cs="Times New Roman" w:hAnsiTheme="minorEastAsia"/>
          <w:kern w:val="0"/>
          <w:szCs w:val="24"/>
        </w:rPr>
        <w:t>表</w:t>
      </w:r>
      <w:r>
        <w:rPr>
          <w:rFonts w:cs="Times New Roman"/>
          <w:kern w:val="0"/>
          <w:szCs w:val="24"/>
        </w:rPr>
        <w:t>8.2</w:t>
      </w:r>
      <w:r>
        <w:rPr>
          <w:rFonts w:hint="eastAsia" w:cs="Times New Roman"/>
          <w:szCs w:val="24"/>
        </w:rPr>
        <w:t>—</w:t>
      </w:r>
      <w:r>
        <w:rPr>
          <w:rFonts w:cs="Times New Roman"/>
          <w:kern w:val="0"/>
          <w:szCs w:val="24"/>
        </w:rPr>
        <w:t xml:space="preserve">9      </w:t>
      </w:r>
      <w:r>
        <w:rPr>
          <w:rFonts w:hint="eastAsia" w:cs="Times New Roman" w:hAnsiTheme="minorEastAsia"/>
          <w:kern w:val="0"/>
          <w:szCs w:val="24"/>
        </w:rPr>
        <w:t>地下水功能敏感性分区</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765"/>
        <w:gridCol w:w="808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765"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敏感性</w:t>
            </w:r>
          </w:p>
        </w:tc>
        <w:tc>
          <w:tcPr>
            <w:tcW w:w="8089"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水环境敏感特征</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765"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敏感</w:t>
            </w:r>
            <w:r>
              <w:rPr>
                <w:sz w:val="21"/>
              </w:rPr>
              <w:t>G1</w:t>
            </w:r>
          </w:p>
        </w:tc>
        <w:tc>
          <w:tcPr>
            <w:tcW w:w="8089"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rPr>
                <w:rFonts w:eastAsiaTheme="minorEastAsia"/>
                <w:sz w:val="21"/>
              </w:rPr>
            </w:pPr>
            <w:r>
              <w:rPr>
                <w:rFonts w:hint="eastAsia"/>
                <w:sz w:val="21"/>
              </w:rPr>
              <w:t>集中式饮用水水源</w:t>
            </w:r>
            <w:r>
              <w:rPr>
                <w:sz w:val="21"/>
              </w:rPr>
              <w:t>(</w:t>
            </w:r>
            <w:r>
              <w:rPr>
                <w:rFonts w:hint="eastAsia"/>
                <w:sz w:val="21"/>
              </w:rPr>
              <w:t>包括已建成的在用、备用、应急水源，在建和规划的饮用水水源</w:t>
            </w:r>
            <w:r>
              <w:rPr>
                <w:sz w:val="21"/>
              </w:rPr>
              <w:t>)</w:t>
            </w:r>
            <w:r>
              <w:rPr>
                <w:rFonts w:hint="eastAsia"/>
                <w:sz w:val="21"/>
              </w:rPr>
              <w:t>准保护区；除集中式饮用水源以外的国家或地方政府设定的与地下水环境相关的其他保护区，如热水、矿泉水、温泉等特殊地下水资源保护区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76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较敏感</w:t>
            </w:r>
            <w:r>
              <w:rPr>
                <w:sz w:val="21"/>
              </w:rPr>
              <w:t>G2</w:t>
            </w:r>
          </w:p>
        </w:tc>
        <w:tc>
          <w:tcPr>
            <w:tcW w:w="8089"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rPr>
                <w:rFonts w:eastAsiaTheme="minorEastAsia"/>
                <w:sz w:val="21"/>
              </w:rPr>
            </w:pPr>
            <w:r>
              <w:rPr>
                <w:rFonts w:hint="eastAsia"/>
                <w:sz w:val="21"/>
              </w:rPr>
              <w:t>集中式饮用水水源</w:t>
            </w:r>
            <w:r>
              <w:rPr>
                <w:sz w:val="21"/>
              </w:rPr>
              <w:t>(</w:t>
            </w:r>
            <w:r>
              <w:rPr>
                <w:rFonts w:hint="eastAsia"/>
                <w:sz w:val="21"/>
              </w:rPr>
              <w:t>包括己建成的在用、备用、应急水源，在建和规划的饮用水水源</w:t>
            </w:r>
            <w:r>
              <w:rPr>
                <w:sz w:val="21"/>
              </w:rPr>
              <w:t>)</w:t>
            </w:r>
            <w:r>
              <w:rPr>
                <w:rFonts w:hint="eastAsia"/>
                <w:sz w:val="21"/>
              </w:rPr>
              <w:t>准保护区以外的补给径流区；未划定准保护区的集中式饮用水水源，其保护区以外的补给径流区；分散式饮用水水源地；特殊地下水资源</w:t>
            </w:r>
            <w:r>
              <w:rPr>
                <w:sz w:val="21"/>
              </w:rPr>
              <w:t>(</w:t>
            </w:r>
            <w:r>
              <w:rPr>
                <w:rFonts w:hint="eastAsia"/>
                <w:sz w:val="21"/>
              </w:rPr>
              <w:t>如热水、矿泉水、温泉等</w:t>
            </w:r>
            <w:r>
              <w:rPr>
                <w:sz w:val="21"/>
              </w:rPr>
              <w:t>)</w:t>
            </w:r>
            <w:r>
              <w:rPr>
                <w:rFonts w:hint="eastAsia"/>
                <w:sz w:val="21"/>
              </w:rPr>
              <w:t>保护区以外的分布区等其他表列入上述敏感分级的环境坡感区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765"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不敏感</w:t>
            </w:r>
            <w:r>
              <w:rPr>
                <w:sz w:val="21"/>
              </w:rPr>
              <w:t>G3</w:t>
            </w:r>
          </w:p>
        </w:tc>
        <w:tc>
          <w:tcPr>
            <w:tcW w:w="8089"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rPr>
                <w:rFonts w:eastAsiaTheme="minorEastAsia"/>
                <w:sz w:val="21"/>
              </w:rPr>
            </w:pPr>
            <w:r>
              <w:rPr>
                <w:rFonts w:hint="eastAsia"/>
                <w:sz w:val="21"/>
              </w:rPr>
              <w:t>上述地区之外的其他地区</w:t>
            </w:r>
          </w:p>
        </w:tc>
      </w:tr>
    </w:tbl>
    <w:p>
      <w:pPr>
        <w:widowControl/>
        <w:adjustRightInd w:val="0"/>
        <w:snapToGrid w:val="0"/>
        <w:spacing w:beforeLines="50" w:line="500" w:lineRule="exact"/>
        <w:ind w:firstLine="480"/>
        <w:rPr>
          <w:rFonts w:cs="Times New Roman" w:eastAsiaTheme="minorEastAsia"/>
          <w:kern w:val="0"/>
          <w:szCs w:val="24"/>
        </w:rPr>
      </w:pPr>
      <w:r>
        <w:rPr>
          <w:rFonts w:hint="eastAsia" w:cs="Times New Roman" w:hAnsiTheme="minorEastAsia"/>
          <w:kern w:val="0"/>
          <w:szCs w:val="24"/>
        </w:rPr>
        <w:t>表</w:t>
      </w:r>
      <w:r>
        <w:rPr>
          <w:rFonts w:cs="Times New Roman"/>
          <w:kern w:val="0"/>
          <w:szCs w:val="24"/>
        </w:rPr>
        <w:t>8.2</w:t>
      </w:r>
      <w:r>
        <w:rPr>
          <w:rFonts w:hint="eastAsia" w:cs="Times New Roman"/>
          <w:szCs w:val="24"/>
        </w:rPr>
        <w:t>—</w:t>
      </w:r>
      <w:r>
        <w:rPr>
          <w:rFonts w:cs="Times New Roman"/>
          <w:kern w:val="0"/>
          <w:szCs w:val="24"/>
        </w:rPr>
        <w:t xml:space="preserve">10     </w:t>
      </w:r>
      <w:r>
        <w:rPr>
          <w:rFonts w:hint="eastAsia" w:cs="Times New Roman" w:hAnsiTheme="minorEastAsia"/>
          <w:kern w:val="0"/>
          <w:szCs w:val="24"/>
        </w:rPr>
        <w:t>包气带防污性能分级</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29"/>
        <w:gridCol w:w="792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929"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分级</w:t>
            </w:r>
          </w:p>
        </w:tc>
        <w:tc>
          <w:tcPr>
            <w:tcW w:w="7925"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包气带岩土的渗透性能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929"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D3</w:t>
            </w:r>
          </w:p>
        </w:tc>
        <w:tc>
          <w:tcPr>
            <w:tcW w:w="7925"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Mb≥1.0m,K≤1.0×10</w:t>
            </w:r>
            <w:r>
              <w:rPr>
                <w:rFonts w:cs="Times New Roman"/>
                <w:sz w:val="21"/>
                <w:vertAlign w:val="superscript"/>
              </w:rPr>
              <w:t>-6</w:t>
            </w:r>
            <w:r>
              <w:rPr>
                <w:rFonts w:cs="Times New Roman"/>
                <w:sz w:val="21"/>
              </w:rPr>
              <w:t>cm/s,</w:t>
            </w:r>
            <w:r>
              <w:rPr>
                <w:rFonts w:hint="eastAsia" w:cs="Times New Roman"/>
                <w:sz w:val="21"/>
              </w:rPr>
              <w:t>且分布连续、稳定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929"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D2</w:t>
            </w:r>
          </w:p>
        </w:tc>
        <w:tc>
          <w:tcPr>
            <w:tcW w:w="792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0.5m≤Mb</w:t>
            </w:r>
            <w:r>
              <w:rPr>
                <w:rFonts w:hint="eastAsia" w:cs="Times New Roman"/>
                <w:sz w:val="21"/>
              </w:rPr>
              <w:t>﹤</w:t>
            </w:r>
            <w:r>
              <w:rPr>
                <w:rFonts w:cs="Times New Roman"/>
                <w:sz w:val="21"/>
              </w:rPr>
              <w:t>1.0m, K≤1.0×10</w:t>
            </w:r>
            <w:r>
              <w:rPr>
                <w:rFonts w:cs="Times New Roman"/>
                <w:sz w:val="21"/>
                <w:vertAlign w:val="superscript"/>
              </w:rPr>
              <w:t>-6</w:t>
            </w:r>
            <w:r>
              <w:rPr>
                <w:rFonts w:cs="Times New Roman"/>
                <w:sz w:val="21"/>
              </w:rPr>
              <w:t>cm/s,</w:t>
            </w:r>
            <w:r>
              <w:rPr>
                <w:rFonts w:hint="eastAsia" w:cs="Times New Roman"/>
                <w:sz w:val="21"/>
              </w:rPr>
              <w:t>且分布连续、稳定</w:t>
            </w:r>
          </w:p>
          <w:p>
            <w:pPr>
              <w:adjustRightInd w:val="0"/>
              <w:snapToGrid w:val="0"/>
              <w:spacing w:line="240" w:lineRule="atLeast"/>
              <w:ind w:firstLine="0" w:firstLineChars="0"/>
              <w:jc w:val="center"/>
              <w:rPr>
                <w:rFonts w:cs="Times New Roman" w:eastAsiaTheme="minorEastAsia"/>
                <w:sz w:val="21"/>
              </w:rPr>
            </w:pPr>
            <w:r>
              <w:rPr>
                <w:rFonts w:cs="Times New Roman"/>
                <w:sz w:val="21"/>
              </w:rPr>
              <w:t>Mb≥1.0m,1.0×10</w:t>
            </w:r>
            <w:r>
              <w:rPr>
                <w:rFonts w:cs="Times New Roman"/>
                <w:sz w:val="21"/>
                <w:vertAlign w:val="superscript"/>
              </w:rPr>
              <w:t>-6</w:t>
            </w:r>
            <w:r>
              <w:rPr>
                <w:rFonts w:cs="Times New Roman"/>
                <w:sz w:val="21"/>
              </w:rPr>
              <w:t>cm/s &lt;k≤1.0×10</w:t>
            </w:r>
            <w:r>
              <w:rPr>
                <w:rFonts w:cs="Times New Roman"/>
                <w:sz w:val="21"/>
                <w:vertAlign w:val="superscript"/>
              </w:rPr>
              <w:t>-4</w:t>
            </w:r>
            <w:r>
              <w:rPr>
                <w:rFonts w:cs="Times New Roman"/>
                <w:sz w:val="21"/>
              </w:rPr>
              <w:t>cm/s,</w:t>
            </w:r>
            <w:r>
              <w:rPr>
                <w:rFonts w:hint="eastAsia" w:cs="Times New Roman"/>
                <w:sz w:val="21"/>
              </w:rPr>
              <w:t>分布连续、稳定</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929"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cs="Times New Roman" w:eastAsiaTheme="minorEastAsia"/>
                <w:sz w:val="21"/>
              </w:rPr>
            </w:pPr>
            <w:r>
              <w:rPr>
                <w:rFonts w:cs="Times New Roman"/>
                <w:sz w:val="21"/>
              </w:rPr>
              <w:t>D1</w:t>
            </w:r>
          </w:p>
        </w:tc>
        <w:tc>
          <w:tcPr>
            <w:tcW w:w="7925"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cs="Times New Roman" w:eastAsiaTheme="minorEastAsia"/>
                <w:sz w:val="21"/>
              </w:rPr>
            </w:pPr>
            <w:r>
              <w:rPr>
                <w:rFonts w:hint="eastAsia" w:cs="Times New Roman"/>
                <w:sz w:val="21"/>
              </w:rPr>
              <w:t>岩</w:t>
            </w:r>
            <w:r>
              <w:rPr>
                <w:rFonts w:cs="Times New Roman"/>
                <w:sz w:val="21"/>
              </w:rPr>
              <w:t>(</w:t>
            </w:r>
            <w:r>
              <w:rPr>
                <w:rFonts w:hint="eastAsia" w:cs="Times New Roman"/>
                <w:sz w:val="21"/>
              </w:rPr>
              <w:t>土</w:t>
            </w:r>
            <w:r>
              <w:rPr>
                <w:rFonts w:cs="Times New Roman"/>
                <w:sz w:val="21"/>
              </w:rPr>
              <w:t>)</w:t>
            </w:r>
            <w:r>
              <w:rPr>
                <w:rFonts w:hint="eastAsia" w:cs="Times New Roman"/>
                <w:sz w:val="21"/>
              </w:rPr>
              <w:t>层不满足上述</w:t>
            </w:r>
            <w:r>
              <w:rPr>
                <w:rFonts w:cs="Times New Roman"/>
                <w:sz w:val="21"/>
              </w:rPr>
              <w:t>“D2“</w:t>
            </w:r>
            <w:r>
              <w:rPr>
                <w:rFonts w:hint="eastAsia" w:cs="Times New Roman"/>
                <w:sz w:val="21"/>
              </w:rPr>
              <w:t>和</w:t>
            </w:r>
            <w:r>
              <w:rPr>
                <w:rFonts w:cs="Times New Roman"/>
                <w:sz w:val="21"/>
              </w:rPr>
              <w:t>“D3”</w:t>
            </w:r>
            <w:r>
              <w:rPr>
                <w:rFonts w:hint="eastAsia" w:cs="Times New Roman"/>
                <w:sz w:val="21"/>
              </w:rPr>
              <w:t>条件</w:t>
            </w:r>
          </w:p>
        </w:tc>
      </w:tr>
    </w:tbl>
    <w:p>
      <w:pPr>
        <w:widowControl/>
        <w:adjustRightInd w:val="0"/>
        <w:snapToGrid w:val="0"/>
        <w:spacing w:beforeLines="50" w:line="500" w:lineRule="exact"/>
        <w:ind w:firstLine="480"/>
        <w:rPr>
          <w:rFonts w:cs="Times New Roman" w:eastAsiaTheme="minorEastAsia"/>
          <w:kern w:val="0"/>
          <w:szCs w:val="24"/>
        </w:rPr>
      </w:pPr>
      <w:r>
        <w:rPr>
          <w:rFonts w:hint="eastAsia" w:cs="Times New Roman"/>
          <w:kern w:val="0"/>
          <w:szCs w:val="24"/>
        </w:rPr>
        <w:t>表</w:t>
      </w:r>
      <w:r>
        <w:rPr>
          <w:rFonts w:cs="Times New Roman"/>
          <w:kern w:val="0"/>
          <w:szCs w:val="24"/>
        </w:rPr>
        <w:t>8.2</w:t>
      </w:r>
      <w:r>
        <w:rPr>
          <w:rFonts w:hint="eastAsia" w:cs="Times New Roman"/>
          <w:szCs w:val="24"/>
        </w:rPr>
        <w:t>—</w:t>
      </w:r>
      <w:r>
        <w:rPr>
          <w:rFonts w:cs="Times New Roman"/>
          <w:kern w:val="0"/>
          <w:szCs w:val="24"/>
        </w:rPr>
        <w:t xml:space="preserve">11      </w:t>
      </w:r>
      <w:r>
        <w:rPr>
          <w:rFonts w:hint="eastAsia" w:cs="Times New Roman"/>
          <w:kern w:val="0"/>
          <w:szCs w:val="24"/>
        </w:rPr>
        <w:t>地下水环境敏感程度分级</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463"/>
        <w:gridCol w:w="2463"/>
        <w:gridCol w:w="2464"/>
        <w:gridCol w:w="246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vMerge w:val="restart"/>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包气带防污性能</w:t>
            </w:r>
          </w:p>
        </w:tc>
        <w:tc>
          <w:tcPr>
            <w:tcW w:w="7391" w:type="dxa"/>
            <w:gridSpan w:val="3"/>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地下水功能敏感性</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vMerge w:val="continue"/>
            <w:tcBorders>
              <w:top w:val="single" w:color="auto" w:sz="12" w:space="0"/>
              <w:left w:val="nil"/>
              <w:bottom w:val="single" w:color="auto" w:sz="12" w:space="0"/>
              <w:right w:val="dotted" w:color="auto" w:sz="4" w:space="0"/>
            </w:tcBorders>
            <w:vAlign w:val="center"/>
          </w:tcPr>
          <w:p>
            <w:pPr>
              <w:widowControl/>
              <w:spacing w:line="240" w:lineRule="atLeast"/>
              <w:ind w:firstLine="0" w:firstLineChars="0"/>
              <w:jc w:val="left"/>
              <w:rPr>
                <w:rFonts w:eastAsiaTheme="minorEastAsia"/>
                <w:sz w:val="21"/>
              </w:rPr>
            </w:pPr>
          </w:p>
        </w:tc>
        <w:tc>
          <w:tcPr>
            <w:tcW w:w="2463"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G1</w:t>
            </w:r>
          </w:p>
        </w:tc>
        <w:tc>
          <w:tcPr>
            <w:tcW w:w="2464"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G2</w:t>
            </w:r>
          </w:p>
        </w:tc>
        <w:tc>
          <w:tcPr>
            <w:tcW w:w="2464"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sz w:val="21"/>
              </w:rPr>
            </w:pPr>
            <w:r>
              <w:rPr>
                <w:sz w:val="21"/>
              </w:rPr>
              <w:t>G3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D1</w:t>
            </w:r>
          </w:p>
        </w:tc>
        <w:tc>
          <w:tcPr>
            <w:tcW w:w="2463"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E1</w:t>
            </w:r>
          </w:p>
        </w:tc>
        <w:tc>
          <w:tcPr>
            <w:tcW w:w="2464"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E1</w:t>
            </w:r>
          </w:p>
        </w:tc>
        <w:tc>
          <w:tcPr>
            <w:tcW w:w="2464"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sz w:val="21"/>
              </w:rPr>
              <w:t>E2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D2</w:t>
            </w:r>
          </w:p>
        </w:tc>
        <w:tc>
          <w:tcPr>
            <w:tcW w:w="246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E1</w:t>
            </w:r>
          </w:p>
        </w:tc>
        <w:tc>
          <w:tcPr>
            <w:tcW w:w="246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E2</w:t>
            </w:r>
          </w:p>
        </w:tc>
        <w:tc>
          <w:tcPr>
            <w:tcW w:w="2464"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sz w:val="21"/>
              </w:rPr>
              <w:t>E3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463"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D3</w:t>
            </w:r>
          </w:p>
        </w:tc>
        <w:tc>
          <w:tcPr>
            <w:tcW w:w="2463"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E2</w:t>
            </w:r>
          </w:p>
        </w:tc>
        <w:tc>
          <w:tcPr>
            <w:tcW w:w="2464"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E3</w:t>
            </w:r>
          </w:p>
        </w:tc>
        <w:tc>
          <w:tcPr>
            <w:tcW w:w="2464"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sz w:val="21"/>
              </w:rPr>
              <w:t>E3</w:t>
            </w:r>
          </w:p>
        </w:tc>
      </w:tr>
    </w:tbl>
    <w:p>
      <w:pPr>
        <w:adjustRightInd w:val="0"/>
        <w:snapToGrid w:val="0"/>
        <w:ind w:firstLine="480"/>
        <w:rPr>
          <w:szCs w:val="24"/>
        </w:rPr>
      </w:pPr>
    </w:p>
    <w:p>
      <w:pPr>
        <w:adjustRightInd w:val="0"/>
        <w:snapToGrid w:val="0"/>
        <w:ind w:firstLine="480"/>
        <w:rPr>
          <w:rFonts w:cs="Times New Roman" w:eastAsiaTheme="minorEastAsia"/>
          <w:szCs w:val="24"/>
        </w:rPr>
      </w:pPr>
      <w:r>
        <w:rPr>
          <w:rFonts w:hint="eastAsia"/>
          <w:szCs w:val="24"/>
        </w:rPr>
        <w:t>项目区地表土层为</w:t>
      </w:r>
      <w:r>
        <w:rPr>
          <w:rFonts w:hint="eastAsia" w:hAnsi="宋体"/>
          <w:szCs w:val="24"/>
        </w:rPr>
        <w:t>第四系全新统</w:t>
      </w:r>
      <w:r>
        <w:rPr>
          <w:rFonts w:hAnsi="宋体"/>
          <w:szCs w:val="24"/>
        </w:rPr>
        <w:t>(Q</w:t>
      </w:r>
      <w:r>
        <w:rPr>
          <w:rFonts w:hAnsi="宋体"/>
          <w:szCs w:val="24"/>
          <w:vertAlign w:val="subscript"/>
        </w:rPr>
        <w:t xml:space="preserve">4 </w:t>
      </w:r>
      <w:r>
        <w:rPr>
          <w:rFonts w:hAnsi="宋体"/>
          <w:szCs w:val="24"/>
          <w:vertAlign w:val="superscript"/>
        </w:rPr>
        <w:t>eol</w:t>
      </w:r>
      <w:r>
        <w:rPr>
          <w:rFonts w:hAnsi="宋体"/>
          <w:szCs w:val="24"/>
        </w:rPr>
        <w:t>)</w:t>
      </w:r>
      <w:r>
        <w:rPr>
          <w:rFonts w:hint="eastAsia" w:hAnsi="宋体"/>
          <w:szCs w:val="24"/>
        </w:rPr>
        <w:t>和新近系下新统红柳沟组地层</w:t>
      </w:r>
      <w:r>
        <w:rPr>
          <w:rFonts w:hAnsi="宋体"/>
          <w:szCs w:val="24"/>
        </w:rPr>
        <w:t>(N</w:t>
      </w:r>
      <w:r>
        <w:rPr>
          <w:rFonts w:hAnsi="宋体"/>
          <w:szCs w:val="24"/>
          <w:vertAlign w:val="subscript"/>
        </w:rPr>
        <w:t>1</w:t>
      </w:r>
      <w:r>
        <w:rPr>
          <w:rFonts w:hAnsi="宋体"/>
          <w:szCs w:val="24"/>
        </w:rPr>
        <w:t>h</w:t>
      </w:r>
      <w:r>
        <w:rPr>
          <w:rFonts w:hAnsi="宋体"/>
          <w:szCs w:val="24"/>
          <w:vertAlign w:val="subscript"/>
        </w:rPr>
        <w:t>l</w:t>
      </w:r>
      <w:r>
        <w:rPr>
          <w:rFonts w:hAnsi="宋体"/>
          <w:szCs w:val="24"/>
        </w:rPr>
        <w:t>)</w:t>
      </w:r>
      <w:r>
        <w:rPr>
          <w:rFonts w:hint="eastAsia"/>
          <w:szCs w:val="24"/>
        </w:rPr>
        <w:t>，项目区域没有集中式饮用水水源地、分散式饮用水水源地及特殊地下水源，根据表</w:t>
      </w:r>
      <w:r>
        <w:rPr>
          <w:szCs w:val="24"/>
        </w:rPr>
        <w:t>8.2</w:t>
      </w:r>
      <w:r>
        <w:rPr>
          <w:rFonts w:hint="eastAsia" w:cs="Times New Roman"/>
          <w:szCs w:val="24"/>
        </w:rPr>
        <w:t>—</w:t>
      </w:r>
      <w:r>
        <w:rPr>
          <w:szCs w:val="24"/>
        </w:rPr>
        <w:t>9</w:t>
      </w:r>
      <w:r>
        <w:rPr>
          <w:rFonts w:hint="eastAsia"/>
          <w:szCs w:val="24"/>
        </w:rPr>
        <w:t>，地下水功能敏感性分区为</w:t>
      </w:r>
      <w:r>
        <w:rPr>
          <w:szCs w:val="24"/>
        </w:rPr>
        <w:t>“</w:t>
      </w:r>
      <w:r>
        <w:rPr>
          <w:rFonts w:hint="eastAsia"/>
          <w:szCs w:val="24"/>
        </w:rPr>
        <w:t>不敏感</w:t>
      </w:r>
      <w:r>
        <w:rPr>
          <w:szCs w:val="24"/>
        </w:rPr>
        <w:t>G3”</w:t>
      </w:r>
      <w:r>
        <w:rPr>
          <w:rFonts w:hint="eastAsia"/>
          <w:szCs w:val="24"/>
        </w:rPr>
        <w:t>；根据表</w:t>
      </w:r>
      <w:r>
        <w:rPr>
          <w:szCs w:val="24"/>
        </w:rPr>
        <w:t>8.2</w:t>
      </w:r>
      <w:r>
        <w:rPr>
          <w:rFonts w:hint="eastAsia" w:cs="Times New Roman"/>
          <w:szCs w:val="24"/>
        </w:rPr>
        <w:t>—</w:t>
      </w:r>
      <w:r>
        <w:rPr>
          <w:szCs w:val="24"/>
        </w:rPr>
        <w:t>10</w:t>
      </w:r>
      <w:r>
        <w:rPr>
          <w:rFonts w:hint="eastAsia"/>
          <w:szCs w:val="24"/>
        </w:rPr>
        <w:t>，包气带防污性能分级为</w:t>
      </w:r>
      <w:r>
        <w:rPr>
          <w:szCs w:val="24"/>
        </w:rPr>
        <w:t>“D</w:t>
      </w:r>
      <w:r>
        <w:rPr>
          <w:rFonts w:hint="eastAsia"/>
          <w:szCs w:val="24"/>
        </w:rPr>
        <w:t>2</w:t>
      </w:r>
      <w:r>
        <w:rPr>
          <w:szCs w:val="24"/>
        </w:rPr>
        <w:t>”</w:t>
      </w:r>
      <w:r>
        <w:rPr>
          <w:rFonts w:hint="eastAsia"/>
          <w:szCs w:val="24"/>
        </w:rPr>
        <w:t>；综上，根据表</w:t>
      </w:r>
      <w:r>
        <w:rPr>
          <w:szCs w:val="24"/>
        </w:rPr>
        <w:t>8.2</w:t>
      </w:r>
      <w:r>
        <w:rPr>
          <w:rFonts w:hint="eastAsia" w:cs="Times New Roman"/>
          <w:szCs w:val="24"/>
        </w:rPr>
        <w:t>—</w:t>
      </w:r>
      <w:r>
        <w:rPr>
          <w:szCs w:val="24"/>
        </w:rPr>
        <w:t>11</w:t>
      </w:r>
      <w:r>
        <w:rPr>
          <w:rFonts w:hint="eastAsia"/>
          <w:szCs w:val="24"/>
        </w:rPr>
        <w:t>，地下水环境敏感程度分级为“</w:t>
      </w:r>
      <w:r>
        <w:rPr>
          <w:szCs w:val="24"/>
        </w:rPr>
        <w:t>E</w:t>
      </w:r>
      <w:r>
        <w:rPr>
          <w:rFonts w:hint="eastAsia"/>
          <w:szCs w:val="24"/>
        </w:rPr>
        <w:t>3”。</w:t>
      </w:r>
    </w:p>
    <w:p>
      <w:pPr>
        <w:pStyle w:val="5"/>
        <w:rPr>
          <w:rFonts w:asciiTheme="minorHAnsi" w:hAnsiTheme="minorHAnsi" w:cstheme="minorBidi"/>
          <w:sz w:val="24"/>
        </w:rPr>
      </w:pPr>
      <w:bookmarkStart w:id="557" w:name="_Toc13760278"/>
      <w:bookmarkStart w:id="558" w:name="_Toc9403160"/>
      <w:r>
        <w:t>8.2.3</w:t>
      </w:r>
      <w:r>
        <w:rPr>
          <w:rFonts w:hint="eastAsia"/>
        </w:rPr>
        <w:t>环境风险潜势划分</w:t>
      </w:r>
      <w:bookmarkEnd w:id="557"/>
      <w:bookmarkEnd w:id="558"/>
    </w:p>
    <w:p>
      <w:pPr>
        <w:widowControl/>
        <w:adjustRightInd w:val="0"/>
        <w:snapToGrid w:val="0"/>
        <w:ind w:firstLine="480"/>
        <w:rPr>
          <w:szCs w:val="24"/>
        </w:rPr>
      </w:pPr>
      <w:r>
        <w:rPr>
          <w:rFonts w:hint="eastAsia"/>
          <w:szCs w:val="24"/>
        </w:rPr>
        <w:t>建设项目风险潜势划分如下表</w:t>
      </w:r>
      <w:r>
        <w:rPr>
          <w:szCs w:val="24"/>
        </w:rPr>
        <w:t>8.2</w:t>
      </w:r>
      <w:r>
        <w:rPr>
          <w:rFonts w:hint="eastAsia" w:cs="Times New Roman"/>
          <w:szCs w:val="24"/>
        </w:rPr>
        <w:t>—</w:t>
      </w:r>
      <w:r>
        <w:rPr>
          <w:szCs w:val="24"/>
        </w:rPr>
        <w:t>12</w:t>
      </w:r>
      <w:r>
        <w:rPr>
          <w:rFonts w:hint="eastAsia"/>
          <w:szCs w:val="24"/>
        </w:rPr>
        <w:t>所示。</w:t>
      </w:r>
    </w:p>
    <w:p>
      <w:pPr>
        <w:widowControl/>
        <w:adjustRightInd w:val="0"/>
        <w:snapToGrid w:val="0"/>
        <w:spacing w:line="500" w:lineRule="exact"/>
        <w:ind w:firstLine="480"/>
        <w:rPr>
          <w:rFonts w:cs="Times New Roman"/>
          <w:kern w:val="0"/>
          <w:szCs w:val="24"/>
        </w:rPr>
      </w:pPr>
      <w:r>
        <w:rPr>
          <w:rFonts w:hint="eastAsia" w:cs="Times New Roman" w:hAnsiTheme="minorEastAsia"/>
          <w:kern w:val="0"/>
          <w:szCs w:val="24"/>
        </w:rPr>
        <w:t>表</w:t>
      </w:r>
      <w:r>
        <w:rPr>
          <w:rFonts w:cs="Times New Roman"/>
          <w:kern w:val="0"/>
          <w:szCs w:val="24"/>
        </w:rPr>
        <w:t>8.2</w:t>
      </w:r>
      <w:r>
        <w:rPr>
          <w:rFonts w:hint="eastAsia" w:cs="Times New Roman"/>
          <w:szCs w:val="24"/>
        </w:rPr>
        <w:t>—</w:t>
      </w:r>
      <w:r>
        <w:rPr>
          <w:rFonts w:cs="Times New Roman"/>
          <w:kern w:val="0"/>
          <w:szCs w:val="24"/>
        </w:rPr>
        <w:t xml:space="preserve">12     </w:t>
      </w:r>
      <w:r>
        <w:rPr>
          <w:rFonts w:hint="eastAsia" w:cs="Times New Roman" w:hAnsiTheme="minorEastAsia"/>
          <w:kern w:val="0"/>
          <w:szCs w:val="24"/>
        </w:rPr>
        <w:t>建设项目环境风险潜势划分</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581"/>
        <w:gridCol w:w="2130"/>
        <w:gridCol w:w="1804"/>
        <w:gridCol w:w="1638"/>
        <w:gridCol w:w="170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581" w:type="dxa"/>
            <w:vMerge w:val="restart"/>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环境敏感程度</w:t>
            </w:r>
            <w:r>
              <w:rPr>
                <w:sz w:val="21"/>
              </w:rPr>
              <w:t>(E)</w:t>
            </w:r>
          </w:p>
        </w:tc>
        <w:tc>
          <w:tcPr>
            <w:tcW w:w="7273" w:type="dxa"/>
            <w:gridSpan w:val="4"/>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危险物质及工艺系统危险性</w:t>
            </w:r>
            <w:r>
              <w:rPr>
                <w:sz w:val="21"/>
              </w:rPr>
              <w:t>(P)</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581" w:type="dxa"/>
            <w:vMerge w:val="continue"/>
            <w:tcBorders>
              <w:top w:val="single" w:color="auto" w:sz="12" w:space="0"/>
              <w:left w:val="nil"/>
              <w:bottom w:val="single" w:color="auto" w:sz="12" w:space="0"/>
              <w:right w:val="dotted" w:color="auto" w:sz="4" w:space="0"/>
            </w:tcBorders>
            <w:vAlign w:val="center"/>
          </w:tcPr>
          <w:p>
            <w:pPr>
              <w:widowControl/>
              <w:spacing w:line="240" w:lineRule="atLeast"/>
              <w:ind w:firstLine="0" w:firstLineChars="0"/>
              <w:jc w:val="left"/>
              <w:rPr>
                <w:rFonts w:eastAsiaTheme="minorEastAsia"/>
                <w:sz w:val="21"/>
              </w:rPr>
            </w:pPr>
          </w:p>
        </w:tc>
        <w:tc>
          <w:tcPr>
            <w:tcW w:w="2130"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极高危害</w:t>
            </w:r>
            <w:r>
              <w:rPr>
                <w:sz w:val="21"/>
              </w:rPr>
              <w:t>(P1)</w:t>
            </w:r>
          </w:p>
        </w:tc>
        <w:tc>
          <w:tcPr>
            <w:tcW w:w="1804"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高度危害</w:t>
            </w:r>
            <w:r>
              <w:rPr>
                <w:sz w:val="21"/>
              </w:rPr>
              <w:t>(P2)</w:t>
            </w:r>
          </w:p>
        </w:tc>
        <w:tc>
          <w:tcPr>
            <w:tcW w:w="1638"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中度危</w:t>
            </w:r>
            <w:r>
              <w:rPr>
                <w:sz w:val="21"/>
              </w:rPr>
              <w:t>(P3)</w:t>
            </w:r>
          </w:p>
        </w:tc>
        <w:tc>
          <w:tcPr>
            <w:tcW w:w="1701"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轻度危害</w:t>
            </w:r>
            <w:r>
              <w:rPr>
                <w:sz w:val="21"/>
              </w:rPr>
              <w:t>(P4)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581"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环境高度敏感区</w:t>
            </w:r>
            <w:r>
              <w:rPr>
                <w:sz w:val="21"/>
              </w:rPr>
              <w:t>(E1)</w:t>
            </w:r>
          </w:p>
        </w:tc>
        <w:tc>
          <w:tcPr>
            <w:tcW w:w="2130"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4 \* ROMAN </w:instrText>
            </w:r>
            <w:r>
              <w:rPr>
                <w:sz w:val="21"/>
              </w:rPr>
              <w:fldChar w:fldCharType="separate"/>
            </w:r>
            <w:r>
              <w:rPr>
                <w:sz w:val="21"/>
              </w:rPr>
              <w:t>IV</w:t>
            </w:r>
            <w:r>
              <w:rPr>
                <w:sz w:val="21"/>
              </w:rPr>
              <w:fldChar w:fldCharType="end"/>
            </w:r>
            <w:r>
              <w:rPr>
                <w:sz w:val="21"/>
                <w:vertAlign w:val="superscript"/>
              </w:rPr>
              <w:t>+</w:t>
            </w:r>
          </w:p>
        </w:tc>
        <w:tc>
          <w:tcPr>
            <w:tcW w:w="1804"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4 \* ROMAN </w:instrText>
            </w:r>
            <w:r>
              <w:rPr>
                <w:sz w:val="21"/>
              </w:rPr>
              <w:fldChar w:fldCharType="separate"/>
            </w:r>
            <w:r>
              <w:rPr>
                <w:sz w:val="21"/>
              </w:rPr>
              <w:t>IV</w:t>
            </w:r>
            <w:r>
              <w:rPr>
                <w:sz w:val="21"/>
              </w:rPr>
              <w:fldChar w:fldCharType="end"/>
            </w:r>
          </w:p>
        </w:tc>
        <w:tc>
          <w:tcPr>
            <w:tcW w:w="1638"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3 \* ROMAN </w:instrText>
            </w:r>
            <w:r>
              <w:rPr>
                <w:sz w:val="21"/>
              </w:rPr>
              <w:fldChar w:fldCharType="separate"/>
            </w:r>
            <w:r>
              <w:rPr>
                <w:sz w:val="21"/>
              </w:rPr>
              <w:t>III</w:t>
            </w:r>
            <w:r>
              <w:rPr>
                <w:sz w:val="21"/>
              </w:rPr>
              <w:fldChar w:fldCharType="end"/>
            </w:r>
          </w:p>
        </w:tc>
        <w:tc>
          <w:tcPr>
            <w:tcW w:w="1701"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3 \* ROMAN </w:instrText>
            </w:r>
            <w:r>
              <w:rPr>
                <w:sz w:val="21"/>
              </w:rPr>
              <w:fldChar w:fldCharType="separate"/>
            </w:r>
            <w:r>
              <w:rPr>
                <w:sz w:val="21"/>
              </w:rPr>
              <w:t>III</w:t>
            </w:r>
            <w:r>
              <w:rPr>
                <w:sz w:val="21"/>
              </w:rPr>
              <w:fldChar w:fldCharType="end"/>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581"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环境中度敏感区</w:t>
            </w:r>
            <w:r>
              <w:rPr>
                <w:sz w:val="21"/>
              </w:rPr>
              <w:t>(E2)</w:t>
            </w:r>
          </w:p>
        </w:tc>
        <w:tc>
          <w:tcPr>
            <w:tcW w:w="213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4 \* ROMAN </w:instrText>
            </w:r>
            <w:r>
              <w:rPr>
                <w:sz w:val="21"/>
              </w:rPr>
              <w:fldChar w:fldCharType="separate"/>
            </w:r>
            <w:r>
              <w:rPr>
                <w:sz w:val="21"/>
              </w:rPr>
              <w:t>IV</w:t>
            </w:r>
            <w:r>
              <w:rPr>
                <w:sz w:val="21"/>
              </w:rPr>
              <w:fldChar w:fldCharType="end"/>
            </w:r>
          </w:p>
        </w:tc>
        <w:tc>
          <w:tcPr>
            <w:tcW w:w="180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3 \* ROMAN </w:instrText>
            </w:r>
            <w:r>
              <w:rPr>
                <w:sz w:val="21"/>
              </w:rPr>
              <w:fldChar w:fldCharType="separate"/>
            </w:r>
            <w:r>
              <w:rPr>
                <w:sz w:val="21"/>
              </w:rPr>
              <w:t>III</w:t>
            </w:r>
            <w:r>
              <w:rPr>
                <w:sz w:val="21"/>
              </w:rPr>
              <w:fldChar w:fldCharType="end"/>
            </w:r>
          </w:p>
        </w:tc>
        <w:tc>
          <w:tcPr>
            <w:tcW w:w="1638"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3 \* ROMAN </w:instrText>
            </w:r>
            <w:r>
              <w:rPr>
                <w:sz w:val="21"/>
              </w:rPr>
              <w:fldChar w:fldCharType="separate"/>
            </w:r>
            <w:r>
              <w:rPr>
                <w:sz w:val="21"/>
              </w:rPr>
              <w:t>III</w:t>
            </w:r>
            <w:r>
              <w:rPr>
                <w:sz w:val="21"/>
              </w:rPr>
              <w:fldChar w:fldCharType="end"/>
            </w:r>
          </w:p>
        </w:tc>
        <w:tc>
          <w:tcPr>
            <w:tcW w:w="1701"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2 \* ROMAN </w:instrText>
            </w:r>
            <w:r>
              <w:rPr>
                <w:sz w:val="21"/>
              </w:rPr>
              <w:fldChar w:fldCharType="separate"/>
            </w:r>
            <w:r>
              <w:rPr>
                <w:sz w:val="21"/>
              </w:rPr>
              <w:t>II</w:t>
            </w:r>
            <w:r>
              <w:rPr>
                <w:sz w:val="21"/>
              </w:rPr>
              <w:fldChar w:fldCharType="end"/>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581"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环境低度敏感区</w:t>
            </w:r>
            <w:r>
              <w:rPr>
                <w:sz w:val="21"/>
              </w:rPr>
              <w:t>(E3)</w:t>
            </w:r>
          </w:p>
        </w:tc>
        <w:tc>
          <w:tcPr>
            <w:tcW w:w="2130"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3 \* ROMAN </w:instrText>
            </w:r>
            <w:r>
              <w:rPr>
                <w:sz w:val="21"/>
              </w:rPr>
              <w:fldChar w:fldCharType="separate"/>
            </w:r>
            <w:r>
              <w:rPr>
                <w:sz w:val="21"/>
              </w:rPr>
              <w:t>III</w:t>
            </w:r>
            <w:r>
              <w:rPr>
                <w:sz w:val="21"/>
              </w:rPr>
              <w:fldChar w:fldCharType="end"/>
            </w:r>
          </w:p>
        </w:tc>
        <w:tc>
          <w:tcPr>
            <w:tcW w:w="1804"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3 \* ROMAN </w:instrText>
            </w:r>
            <w:r>
              <w:rPr>
                <w:sz w:val="21"/>
              </w:rPr>
              <w:fldChar w:fldCharType="separate"/>
            </w:r>
            <w:r>
              <w:rPr>
                <w:sz w:val="21"/>
              </w:rPr>
              <w:t>III</w:t>
            </w:r>
            <w:r>
              <w:rPr>
                <w:sz w:val="21"/>
              </w:rPr>
              <w:fldChar w:fldCharType="end"/>
            </w:r>
          </w:p>
        </w:tc>
        <w:tc>
          <w:tcPr>
            <w:tcW w:w="1638"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2 \* ROMAN </w:instrText>
            </w:r>
            <w:r>
              <w:rPr>
                <w:sz w:val="21"/>
              </w:rPr>
              <w:fldChar w:fldCharType="separate"/>
            </w:r>
            <w:r>
              <w:rPr>
                <w:sz w:val="21"/>
              </w:rPr>
              <w:t>II</w:t>
            </w:r>
            <w:r>
              <w:rPr>
                <w:sz w:val="21"/>
              </w:rPr>
              <w:fldChar w:fldCharType="end"/>
            </w:r>
          </w:p>
        </w:tc>
        <w:tc>
          <w:tcPr>
            <w:tcW w:w="1701"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1 \* ROMAN </w:instrText>
            </w:r>
            <w:r>
              <w:rPr>
                <w:sz w:val="21"/>
              </w:rPr>
              <w:fldChar w:fldCharType="separate"/>
            </w:r>
            <w:r>
              <w:rPr>
                <w:sz w:val="21"/>
              </w:rPr>
              <w:t>I</w:t>
            </w:r>
            <w:r>
              <w:rPr>
                <w:sz w:val="21"/>
              </w:rPr>
              <w:fldChar w:fldCharType="end"/>
            </w:r>
          </w:p>
        </w:tc>
      </w:tr>
    </w:tbl>
    <w:p>
      <w:pPr>
        <w:adjustRightInd w:val="0"/>
        <w:snapToGrid w:val="0"/>
        <w:ind w:firstLine="480"/>
        <w:rPr>
          <w:szCs w:val="24"/>
        </w:rPr>
      </w:pPr>
    </w:p>
    <w:p>
      <w:pPr>
        <w:adjustRightInd w:val="0"/>
        <w:snapToGrid w:val="0"/>
        <w:ind w:firstLine="480"/>
        <w:rPr>
          <w:rFonts w:eastAsiaTheme="minorEastAsia"/>
          <w:szCs w:val="24"/>
        </w:rPr>
      </w:pPr>
      <w:r>
        <w:rPr>
          <w:rFonts w:hint="eastAsia"/>
          <w:szCs w:val="24"/>
        </w:rPr>
        <w:t>根据表</w:t>
      </w:r>
      <w:r>
        <w:rPr>
          <w:szCs w:val="24"/>
        </w:rPr>
        <w:t>8.2</w:t>
      </w:r>
      <w:r>
        <w:rPr>
          <w:rFonts w:hint="eastAsia" w:cs="Times New Roman"/>
          <w:szCs w:val="24"/>
        </w:rPr>
        <w:t>—</w:t>
      </w:r>
      <w:r>
        <w:rPr>
          <w:szCs w:val="24"/>
        </w:rPr>
        <w:t>12</w:t>
      </w:r>
      <w:r>
        <w:rPr>
          <w:rFonts w:hint="eastAsia"/>
          <w:szCs w:val="24"/>
        </w:rPr>
        <w:t>，项目各要素风险潜势如下表</w:t>
      </w:r>
      <w:r>
        <w:rPr>
          <w:szCs w:val="24"/>
        </w:rPr>
        <w:t>8.2</w:t>
      </w:r>
      <w:r>
        <w:rPr>
          <w:rFonts w:hint="eastAsia" w:cs="Times New Roman"/>
          <w:szCs w:val="24"/>
        </w:rPr>
        <w:t>—</w:t>
      </w:r>
      <w:r>
        <w:rPr>
          <w:szCs w:val="24"/>
        </w:rPr>
        <w:t>13</w:t>
      </w:r>
      <w:r>
        <w:rPr>
          <w:rFonts w:hint="eastAsia"/>
          <w:szCs w:val="24"/>
        </w:rPr>
        <w:t>所示。</w:t>
      </w:r>
    </w:p>
    <w:p>
      <w:pPr>
        <w:widowControl/>
        <w:adjustRightInd w:val="0"/>
        <w:snapToGrid w:val="0"/>
        <w:spacing w:line="500" w:lineRule="exact"/>
        <w:ind w:firstLine="480"/>
        <w:rPr>
          <w:rFonts w:cs="Times New Roman"/>
          <w:kern w:val="0"/>
          <w:szCs w:val="24"/>
        </w:rPr>
      </w:pPr>
      <w:r>
        <w:rPr>
          <w:rFonts w:hint="eastAsia" w:cs="Times New Roman" w:hAnsiTheme="minorEastAsia"/>
          <w:kern w:val="0"/>
          <w:szCs w:val="24"/>
        </w:rPr>
        <w:t>表</w:t>
      </w:r>
      <w:r>
        <w:rPr>
          <w:rFonts w:cs="Times New Roman"/>
          <w:kern w:val="0"/>
          <w:szCs w:val="24"/>
        </w:rPr>
        <w:t>8.2</w:t>
      </w:r>
      <w:r>
        <w:rPr>
          <w:rFonts w:hint="eastAsia" w:cs="Times New Roman"/>
          <w:szCs w:val="24"/>
        </w:rPr>
        <w:t>—</w:t>
      </w:r>
      <w:r>
        <w:rPr>
          <w:rFonts w:cs="Times New Roman"/>
          <w:kern w:val="0"/>
          <w:szCs w:val="24"/>
        </w:rPr>
        <w:t xml:space="preserve">13     </w:t>
      </w:r>
      <w:r>
        <w:rPr>
          <w:rFonts w:hint="eastAsia" w:cs="Times New Roman" w:hAnsiTheme="minorEastAsia"/>
          <w:kern w:val="0"/>
          <w:szCs w:val="24"/>
        </w:rPr>
        <w:t>项目各要素风险潜势判断</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463"/>
        <w:gridCol w:w="2463"/>
        <w:gridCol w:w="2464"/>
        <w:gridCol w:w="246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jc w:val="center"/>
        </w:trPr>
        <w:tc>
          <w:tcPr>
            <w:tcW w:w="2463"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环境要素</w:t>
            </w:r>
          </w:p>
        </w:tc>
        <w:tc>
          <w:tcPr>
            <w:tcW w:w="2463"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敏感程度</w:t>
            </w:r>
          </w:p>
        </w:tc>
        <w:tc>
          <w:tcPr>
            <w:tcW w:w="2464"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危害等级</w:t>
            </w:r>
          </w:p>
        </w:tc>
        <w:tc>
          <w:tcPr>
            <w:tcW w:w="2464"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风险潜势</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jc w:val="center"/>
        </w:trPr>
        <w:tc>
          <w:tcPr>
            <w:tcW w:w="2463"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大气</w:t>
            </w:r>
          </w:p>
        </w:tc>
        <w:tc>
          <w:tcPr>
            <w:tcW w:w="2463"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E3</w:t>
            </w:r>
          </w:p>
        </w:tc>
        <w:tc>
          <w:tcPr>
            <w:tcW w:w="2464"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P</w:t>
            </w:r>
            <w:r>
              <w:rPr>
                <w:rFonts w:hint="eastAsia"/>
                <w:sz w:val="21"/>
              </w:rPr>
              <w:t>2</w:t>
            </w:r>
          </w:p>
        </w:tc>
        <w:tc>
          <w:tcPr>
            <w:tcW w:w="2464"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sz w:val="21"/>
              </w:rPr>
              <w:t>III</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jc w:val="center"/>
        </w:trPr>
        <w:tc>
          <w:tcPr>
            <w:tcW w:w="2463"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地表水</w:t>
            </w:r>
          </w:p>
        </w:tc>
        <w:tc>
          <w:tcPr>
            <w:tcW w:w="246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E3</w:t>
            </w:r>
          </w:p>
        </w:tc>
        <w:tc>
          <w:tcPr>
            <w:tcW w:w="246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P</w:t>
            </w:r>
            <w:r>
              <w:rPr>
                <w:rFonts w:hint="eastAsia"/>
                <w:sz w:val="21"/>
              </w:rPr>
              <w:t>2</w:t>
            </w:r>
          </w:p>
        </w:tc>
        <w:tc>
          <w:tcPr>
            <w:tcW w:w="2464"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sz w:val="21"/>
              </w:rPr>
              <w:t>III</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jc w:val="center"/>
        </w:trPr>
        <w:tc>
          <w:tcPr>
            <w:tcW w:w="2463"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地下水</w:t>
            </w:r>
          </w:p>
        </w:tc>
        <w:tc>
          <w:tcPr>
            <w:tcW w:w="2463"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E</w:t>
            </w:r>
            <w:r>
              <w:rPr>
                <w:rFonts w:hint="eastAsia"/>
                <w:sz w:val="21"/>
              </w:rPr>
              <w:t>3</w:t>
            </w:r>
          </w:p>
        </w:tc>
        <w:tc>
          <w:tcPr>
            <w:tcW w:w="2464"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P</w:t>
            </w:r>
            <w:r>
              <w:rPr>
                <w:rFonts w:hint="eastAsia"/>
                <w:sz w:val="21"/>
              </w:rPr>
              <w:t>2</w:t>
            </w:r>
          </w:p>
        </w:tc>
        <w:tc>
          <w:tcPr>
            <w:tcW w:w="2464"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sz w:val="21"/>
              </w:rPr>
              <w:t>III</w:t>
            </w:r>
          </w:p>
        </w:tc>
      </w:tr>
    </w:tbl>
    <w:p>
      <w:pPr>
        <w:pStyle w:val="4"/>
        <w:rPr>
          <w:rFonts w:asciiTheme="majorHAnsi" w:hAnsiTheme="majorHAnsi" w:cstheme="majorBidi"/>
          <w:sz w:val="28"/>
        </w:rPr>
      </w:pPr>
      <w:bookmarkStart w:id="559" w:name="_Toc13760279"/>
      <w:bookmarkStart w:id="560" w:name="_Toc9403161"/>
      <w:r>
        <w:t>8.3</w:t>
      </w:r>
      <w:r>
        <w:rPr>
          <w:rFonts w:hint="eastAsia"/>
        </w:rPr>
        <w:t>评价工作等级划分</w:t>
      </w:r>
      <w:bookmarkEnd w:id="559"/>
      <w:bookmarkEnd w:id="560"/>
    </w:p>
    <w:p>
      <w:pPr>
        <w:adjustRightInd w:val="0"/>
        <w:snapToGrid w:val="0"/>
        <w:ind w:firstLine="480"/>
        <w:rPr>
          <w:szCs w:val="24"/>
        </w:rPr>
      </w:pPr>
      <w:r>
        <w:rPr>
          <w:rFonts w:hint="eastAsia"/>
          <w:szCs w:val="24"/>
        </w:rPr>
        <w:t>根据《建设项目环境风险评价技术导则</w:t>
      </w:r>
      <w:r>
        <w:rPr>
          <w:szCs w:val="24"/>
        </w:rPr>
        <w:t xml:space="preserve"> HJ169-2018</w:t>
      </w:r>
      <w:r>
        <w:rPr>
          <w:rFonts w:hint="eastAsia"/>
          <w:szCs w:val="24"/>
        </w:rPr>
        <w:t>》，建设项目风险评价等级划分如下表</w:t>
      </w:r>
      <w:r>
        <w:rPr>
          <w:szCs w:val="24"/>
        </w:rPr>
        <w:t>8.3</w:t>
      </w:r>
      <w:r>
        <w:rPr>
          <w:rFonts w:hint="eastAsia"/>
          <w:sz w:val="21"/>
        </w:rPr>
        <w:t>—</w:t>
      </w:r>
      <w:r>
        <w:rPr>
          <w:szCs w:val="24"/>
        </w:rPr>
        <w:t>1</w:t>
      </w:r>
      <w:r>
        <w:rPr>
          <w:rFonts w:hint="eastAsia"/>
          <w:szCs w:val="24"/>
        </w:rPr>
        <w:t>所示。</w:t>
      </w:r>
    </w:p>
    <w:p>
      <w:pPr>
        <w:adjustRightInd w:val="0"/>
        <w:snapToGrid w:val="0"/>
        <w:spacing w:line="500" w:lineRule="exact"/>
        <w:ind w:firstLine="480"/>
        <w:rPr>
          <w:rFonts w:cs="Times New Roman"/>
          <w:szCs w:val="24"/>
        </w:rPr>
      </w:pPr>
      <w:r>
        <w:rPr>
          <w:rFonts w:hint="eastAsia" w:cs="Times New Roman" w:hAnsiTheme="minorEastAsia"/>
          <w:szCs w:val="24"/>
        </w:rPr>
        <w:t>表</w:t>
      </w:r>
      <w:r>
        <w:rPr>
          <w:rFonts w:cs="Times New Roman"/>
          <w:szCs w:val="24"/>
        </w:rPr>
        <w:t>8.3</w:t>
      </w:r>
      <w:r>
        <w:rPr>
          <w:rFonts w:hint="eastAsia"/>
          <w:sz w:val="21"/>
        </w:rPr>
        <w:t>—</w:t>
      </w:r>
      <w:r>
        <w:rPr>
          <w:rFonts w:cs="Times New Roman"/>
          <w:szCs w:val="24"/>
        </w:rPr>
        <w:t xml:space="preserve">1     </w:t>
      </w:r>
      <w:r>
        <w:rPr>
          <w:rFonts w:hint="eastAsia" w:cs="Times New Roman" w:hAnsiTheme="minorEastAsia"/>
          <w:szCs w:val="24"/>
        </w:rPr>
        <w:t>评价工作等级划分</w:t>
      </w:r>
    </w:p>
    <w:tbl>
      <w:tblPr>
        <w:tblStyle w:val="88"/>
        <w:tblW w:w="9854" w:type="dxa"/>
        <w:tblInd w:w="0" w:type="dxa"/>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Layout w:type="fixed"/>
        <w:tblCellMar>
          <w:top w:w="0" w:type="dxa"/>
          <w:left w:w="108" w:type="dxa"/>
          <w:bottom w:w="0" w:type="dxa"/>
          <w:right w:w="108" w:type="dxa"/>
        </w:tblCellMar>
      </w:tblPr>
      <w:tblGrid>
        <w:gridCol w:w="1971"/>
        <w:gridCol w:w="1971"/>
        <w:gridCol w:w="1970"/>
        <w:gridCol w:w="1971"/>
        <w:gridCol w:w="1971"/>
      </w:tblGrid>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108" w:type="dxa"/>
            <w:bottom w:w="0" w:type="dxa"/>
            <w:right w:w="108" w:type="dxa"/>
          </w:tblCellMar>
        </w:tblPrEx>
        <w:tc>
          <w:tcPr>
            <w:tcW w:w="1971" w:type="dxa"/>
            <w:tcBorders>
              <w:top w:val="single" w:color="auto" w:sz="12" w:space="0"/>
              <w:left w:val="nil"/>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环境风险潜势</w:t>
            </w:r>
          </w:p>
        </w:tc>
        <w:tc>
          <w:tcPr>
            <w:tcW w:w="1971"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4 \* ROMAN </w:instrText>
            </w:r>
            <w:r>
              <w:rPr>
                <w:sz w:val="21"/>
              </w:rPr>
              <w:fldChar w:fldCharType="separate"/>
            </w:r>
            <w:r>
              <w:rPr>
                <w:sz w:val="21"/>
              </w:rPr>
              <w:t>IV</w:t>
            </w:r>
            <w:r>
              <w:rPr>
                <w:sz w:val="21"/>
              </w:rPr>
              <w:fldChar w:fldCharType="end"/>
            </w:r>
            <w:r>
              <w:rPr>
                <w:rFonts w:hint="eastAsia"/>
                <w:sz w:val="21"/>
              </w:rPr>
              <w:t>、</w:t>
            </w:r>
            <w:r>
              <w:rPr>
                <w:sz w:val="21"/>
              </w:rPr>
              <w:t>IV</w:t>
            </w:r>
            <w:r>
              <w:rPr>
                <w:sz w:val="21"/>
                <w:vertAlign w:val="superscript"/>
              </w:rPr>
              <w:t>+</w:t>
            </w:r>
          </w:p>
        </w:tc>
        <w:tc>
          <w:tcPr>
            <w:tcW w:w="1970"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3 \* ROMAN </w:instrText>
            </w:r>
            <w:r>
              <w:rPr>
                <w:sz w:val="21"/>
              </w:rPr>
              <w:fldChar w:fldCharType="separate"/>
            </w:r>
            <w:r>
              <w:rPr>
                <w:sz w:val="21"/>
              </w:rPr>
              <w:t>III</w:t>
            </w:r>
            <w:r>
              <w:rPr>
                <w:sz w:val="21"/>
              </w:rPr>
              <w:fldChar w:fldCharType="end"/>
            </w:r>
          </w:p>
        </w:tc>
        <w:tc>
          <w:tcPr>
            <w:tcW w:w="1971"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2 \* ROMAN </w:instrText>
            </w:r>
            <w:r>
              <w:rPr>
                <w:sz w:val="21"/>
              </w:rPr>
              <w:fldChar w:fldCharType="separate"/>
            </w:r>
            <w:r>
              <w:rPr>
                <w:sz w:val="21"/>
              </w:rPr>
              <w:t>II</w:t>
            </w:r>
            <w:r>
              <w:rPr>
                <w:sz w:val="21"/>
              </w:rPr>
              <w:fldChar w:fldCharType="end"/>
            </w:r>
          </w:p>
        </w:tc>
        <w:tc>
          <w:tcPr>
            <w:tcW w:w="1971" w:type="dxa"/>
            <w:tcBorders>
              <w:top w:val="single" w:color="auto" w:sz="12" w:space="0"/>
              <w:left w:val="dotted" w:color="auto" w:sz="4" w:space="0"/>
              <w:bottom w:val="single" w:color="auto" w:sz="12" w:space="0"/>
              <w:right w:val="nil"/>
            </w:tcBorders>
          </w:tcPr>
          <w:p>
            <w:pPr>
              <w:adjustRightInd w:val="0"/>
              <w:snapToGrid w:val="0"/>
              <w:spacing w:line="240" w:lineRule="atLeast"/>
              <w:ind w:firstLine="0" w:firstLineChars="0"/>
              <w:jc w:val="center"/>
              <w:rPr>
                <w:rFonts w:eastAsiaTheme="minorEastAsia"/>
                <w:sz w:val="21"/>
              </w:rPr>
            </w:pPr>
            <w:r>
              <w:rPr>
                <w:sz w:val="21"/>
              </w:rPr>
              <w:fldChar w:fldCharType="begin"/>
            </w:r>
            <w:r>
              <w:rPr>
                <w:sz w:val="21"/>
              </w:rPr>
              <w:instrText xml:space="preserve"> = 1 \* ROMAN </w:instrText>
            </w:r>
            <w:r>
              <w:rPr>
                <w:sz w:val="21"/>
              </w:rPr>
              <w:fldChar w:fldCharType="separate"/>
            </w:r>
            <w:r>
              <w:rPr>
                <w:sz w:val="21"/>
              </w:rPr>
              <w:t>I</w:t>
            </w:r>
            <w:r>
              <w:rPr>
                <w:sz w:val="21"/>
              </w:rPr>
              <w:fldChar w:fldCharType="end"/>
            </w:r>
          </w:p>
        </w:tc>
      </w:tr>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108" w:type="dxa"/>
            <w:bottom w:w="0" w:type="dxa"/>
            <w:right w:w="108" w:type="dxa"/>
          </w:tblCellMar>
        </w:tblPrEx>
        <w:tc>
          <w:tcPr>
            <w:tcW w:w="1971" w:type="dxa"/>
            <w:tcBorders>
              <w:top w:val="single" w:color="auto" w:sz="12" w:space="0"/>
              <w:left w:val="nil"/>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评价工作等级</w:t>
            </w:r>
          </w:p>
        </w:tc>
        <w:tc>
          <w:tcPr>
            <w:tcW w:w="1971"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一</w:t>
            </w:r>
          </w:p>
        </w:tc>
        <w:tc>
          <w:tcPr>
            <w:tcW w:w="1970"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二</w:t>
            </w:r>
          </w:p>
        </w:tc>
        <w:tc>
          <w:tcPr>
            <w:tcW w:w="1971" w:type="dxa"/>
            <w:tcBorders>
              <w:top w:val="single" w:color="auto" w:sz="12" w:space="0"/>
              <w:left w:val="dotted" w:color="auto" w:sz="4" w:space="0"/>
              <w:bottom w:val="single" w:color="auto" w:sz="12" w:space="0"/>
              <w:right w:val="dotted" w:color="auto" w:sz="4" w:space="0"/>
            </w:tcBorders>
          </w:tcPr>
          <w:p>
            <w:pPr>
              <w:adjustRightInd w:val="0"/>
              <w:snapToGrid w:val="0"/>
              <w:spacing w:line="240" w:lineRule="atLeast"/>
              <w:ind w:firstLine="0" w:firstLineChars="0"/>
              <w:jc w:val="center"/>
              <w:rPr>
                <w:rFonts w:eastAsiaTheme="minorEastAsia"/>
                <w:sz w:val="21"/>
              </w:rPr>
            </w:pPr>
            <w:r>
              <w:rPr>
                <w:rFonts w:hint="eastAsia"/>
                <w:sz w:val="21"/>
              </w:rPr>
              <w:t>三</w:t>
            </w:r>
          </w:p>
        </w:tc>
        <w:tc>
          <w:tcPr>
            <w:tcW w:w="1971" w:type="dxa"/>
            <w:tcBorders>
              <w:top w:val="single" w:color="auto" w:sz="12" w:space="0"/>
              <w:left w:val="dotted" w:color="auto" w:sz="4" w:space="0"/>
              <w:bottom w:val="single" w:color="auto" w:sz="12" w:space="0"/>
              <w:right w:val="nil"/>
            </w:tcBorders>
          </w:tcPr>
          <w:p>
            <w:pPr>
              <w:adjustRightInd w:val="0"/>
              <w:snapToGrid w:val="0"/>
              <w:spacing w:line="240" w:lineRule="atLeast"/>
              <w:ind w:firstLine="0" w:firstLineChars="0"/>
              <w:jc w:val="center"/>
              <w:rPr>
                <w:rFonts w:eastAsiaTheme="minorEastAsia"/>
                <w:sz w:val="21"/>
              </w:rPr>
            </w:pPr>
            <w:r>
              <w:rPr>
                <w:rFonts w:hint="eastAsia"/>
                <w:sz w:val="21"/>
              </w:rPr>
              <w:t>简单分析</w:t>
            </w:r>
          </w:p>
        </w:tc>
      </w:tr>
    </w:tbl>
    <w:p>
      <w:pPr>
        <w:adjustRightInd w:val="0"/>
        <w:snapToGrid w:val="0"/>
        <w:ind w:firstLine="480"/>
        <w:rPr>
          <w:szCs w:val="24"/>
        </w:rPr>
      </w:pPr>
    </w:p>
    <w:p>
      <w:pPr>
        <w:adjustRightInd w:val="0"/>
        <w:snapToGrid w:val="0"/>
        <w:ind w:firstLine="480"/>
        <w:rPr>
          <w:rFonts w:eastAsiaTheme="minorEastAsia"/>
          <w:szCs w:val="24"/>
        </w:rPr>
      </w:pPr>
      <w:r>
        <w:rPr>
          <w:rFonts w:hint="eastAsia"/>
          <w:szCs w:val="24"/>
        </w:rPr>
        <w:t>根据表</w:t>
      </w:r>
      <w:r>
        <w:rPr>
          <w:szCs w:val="24"/>
        </w:rPr>
        <w:t>8.3</w:t>
      </w:r>
      <w:r>
        <w:rPr>
          <w:rFonts w:hint="eastAsia"/>
          <w:sz w:val="21"/>
        </w:rPr>
        <w:t>—</w:t>
      </w:r>
      <w:r>
        <w:rPr>
          <w:szCs w:val="24"/>
        </w:rPr>
        <w:t>1</w:t>
      </w:r>
      <w:r>
        <w:rPr>
          <w:rFonts w:hint="eastAsia"/>
          <w:szCs w:val="24"/>
        </w:rPr>
        <w:t>，项目各要素风险评价等级如下表</w:t>
      </w:r>
      <w:r>
        <w:rPr>
          <w:szCs w:val="24"/>
        </w:rPr>
        <w:t>8.3</w:t>
      </w:r>
      <w:r>
        <w:rPr>
          <w:rFonts w:hint="eastAsia"/>
          <w:sz w:val="21"/>
        </w:rPr>
        <w:t>—</w:t>
      </w:r>
      <w:r>
        <w:rPr>
          <w:szCs w:val="24"/>
        </w:rPr>
        <w:t>2</w:t>
      </w:r>
      <w:r>
        <w:rPr>
          <w:rFonts w:hint="eastAsia"/>
          <w:szCs w:val="24"/>
        </w:rPr>
        <w:t>所示。</w:t>
      </w:r>
    </w:p>
    <w:p>
      <w:pPr>
        <w:widowControl/>
        <w:adjustRightInd w:val="0"/>
        <w:snapToGrid w:val="0"/>
        <w:spacing w:line="500" w:lineRule="exact"/>
        <w:ind w:firstLine="480"/>
        <w:rPr>
          <w:rFonts w:cs="Times New Roman"/>
          <w:kern w:val="0"/>
          <w:szCs w:val="24"/>
        </w:rPr>
      </w:pPr>
      <w:r>
        <w:rPr>
          <w:rFonts w:hint="eastAsia" w:cs="Times New Roman"/>
          <w:kern w:val="0"/>
          <w:szCs w:val="24"/>
        </w:rPr>
        <w:t>表</w:t>
      </w:r>
      <w:r>
        <w:rPr>
          <w:rFonts w:cs="Times New Roman"/>
          <w:kern w:val="0"/>
          <w:szCs w:val="24"/>
        </w:rPr>
        <w:t>8.3</w:t>
      </w:r>
      <w:r>
        <w:rPr>
          <w:rFonts w:hint="eastAsia"/>
          <w:sz w:val="21"/>
        </w:rPr>
        <w:t>—</w:t>
      </w:r>
      <w:r>
        <w:rPr>
          <w:rFonts w:cs="Times New Roman"/>
          <w:kern w:val="0"/>
          <w:szCs w:val="24"/>
        </w:rPr>
        <w:t xml:space="preserve">2        </w:t>
      </w:r>
      <w:r>
        <w:rPr>
          <w:rFonts w:hint="eastAsia" w:cs="Times New Roman"/>
          <w:kern w:val="0"/>
          <w:szCs w:val="24"/>
        </w:rPr>
        <w:t>项目各要素风险评价等级确定</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285"/>
        <w:gridCol w:w="3284"/>
        <w:gridCol w:w="328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285"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环境要素</w:t>
            </w:r>
          </w:p>
        </w:tc>
        <w:tc>
          <w:tcPr>
            <w:tcW w:w="3284"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风险潜势</w:t>
            </w:r>
          </w:p>
        </w:tc>
        <w:tc>
          <w:tcPr>
            <w:tcW w:w="3285"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评价等级</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285"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大气</w:t>
            </w:r>
          </w:p>
        </w:tc>
        <w:tc>
          <w:tcPr>
            <w:tcW w:w="3284"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III</w:t>
            </w:r>
          </w:p>
        </w:tc>
        <w:tc>
          <w:tcPr>
            <w:tcW w:w="3285"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二</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28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地表水</w:t>
            </w:r>
          </w:p>
        </w:tc>
        <w:tc>
          <w:tcPr>
            <w:tcW w:w="3284"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III</w:t>
            </w:r>
          </w:p>
        </w:tc>
        <w:tc>
          <w:tcPr>
            <w:tcW w:w="328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二</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285"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地下水</w:t>
            </w:r>
          </w:p>
        </w:tc>
        <w:tc>
          <w:tcPr>
            <w:tcW w:w="3284"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III</w:t>
            </w:r>
          </w:p>
        </w:tc>
        <w:tc>
          <w:tcPr>
            <w:tcW w:w="3285"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二</w:t>
            </w:r>
          </w:p>
        </w:tc>
      </w:tr>
    </w:tbl>
    <w:p>
      <w:pPr>
        <w:adjustRightInd w:val="0"/>
        <w:snapToGrid w:val="0"/>
        <w:ind w:firstLine="480"/>
        <w:rPr>
          <w:szCs w:val="24"/>
        </w:rPr>
      </w:pPr>
    </w:p>
    <w:p>
      <w:pPr>
        <w:adjustRightInd w:val="0"/>
        <w:snapToGrid w:val="0"/>
        <w:ind w:firstLine="480"/>
        <w:rPr>
          <w:rFonts w:cs="Times New Roman" w:eastAsiaTheme="minorEastAsia"/>
          <w:szCs w:val="24"/>
        </w:rPr>
      </w:pPr>
      <w:r>
        <w:rPr>
          <w:rFonts w:hint="eastAsia"/>
          <w:szCs w:val="24"/>
        </w:rPr>
        <w:t>根据表</w:t>
      </w:r>
      <w:r>
        <w:rPr>
          <w:szCs w:val="24"/>
        </w:rPr>
        <w:t>8.3</w:t>
      </w:r>
      <w:r>
        <w:rPr>
          <w:rFonts w:hint="eastAsia"/>
          <w:sz w:val="21"/>
        </w:rPr>
        <w:t>—</w:t>
      </w:r>
      <w:r>
        <w:rPr>
          <w:szCs w:val="24"/>
        </w:rPr>
        <w:t>2</w:t>
      </w:r>
      <w:r>
        <w:rPr>
          <w:rFonts w:hint="eastAsia"/>
          <w:szCs w:val="24"/>
        </w:rPr>
        <w:t>，本项目风险评价等级为二级，大气环境风险评价范围为距建设项目边界</w:t>
      </w:r>
      <w:r>
        <w:rPr>
          <w:szCs w:val="24"/>
        </w:rPr>
        <w:t>5km</w:t>
      </w:r>
      <w:r>
        <w:rPr>
          <w:rFonts w:hint="eastAsia"/>
          <w:szCs w:val="24"/>
        </w:rPr>
        <w:t>；由于项目产生的废水经污水处理站处理后全部回用，不外排，因此不再设定地表水评价范围；项目地下水评价范围见本报告6.2地下水章节部分。</w:t>
      </w:r>
    </w:p>
    <w:p>
      <w:pPr>
        <w:pStyle w:val="4"/>
        <w:rPr>
          <w:rFonts w:asciiTheme="majorHAnsi" w:hAnsiTheme="majorHAnsi" w:cstheme="majorBidi"/>
          <w:sz w:val="28"/>
        </w:rPr>
      </w:pPr>
      <w:bookmarkStart w:id="561" w:name="_Toc13760280"/>
      <w:bookmarkStart w:id="562" w:name="_Toc9403162"/>
      <w:r>
        <w:t>8.4</w:t>
      </w:r>
      <w:r>
        <w:rPr>
          <w:rFonts w:hint="eastAsia"/>
        </w:rPr>
        <w:t>风险识别</w:t>
      </w:r>
      <w:bookmarkEnd w:id="561"/>
      <w:bookmarkEnd w:id="562"/>
    </w:p>
    <w:p>
      <w:pPr>
        <w:adjustRightInd w:val="0"/>
        <w:snapToGrid w:val="0"/>
        <w:ind w:firstLine="480"/>
        <w:rPr>
          <w:rFonts w:cs="Times New Roman"/>
          <w:szCs w:val="24"/>
        </w:rPr>
      </w:pPr>
      <w:r>
        <w:rPr>
          <w:rFonts w:hint="eastAsia"/>
          <w:szCs w:val="24"/>
        </w:rPr>
        <w:t>本评价从物质风险识别和生产过程</w:t>
      </w:r>
      <w:r>
        <w:rPr>
          <w:szCs w:val="24"/>
        </w:rPr>
        <w:t>(</w:t>
      </w:r>
      <w:r>
        <w:rPr>
          <w:rFonts w:hint="eastAsia"/>
          <w:szCs w:val="24"/>
        </w:rPr>
        <w:t>单元</w:t>
      </w:r>
      <w:r>
        <w:rPr>
          <w:szCs w:val="24"/>
        </w:rPr>
        <w:t>)</w:t>
      </w:r>
      <w:r>
        <w:rPr>
          <w:rFonts w:hint="eastAsia"/>
          <w:szCs w:val="24"/>
        </w:rPr>
        <w:t>风险识别两个方面确定建设项目的主要危险物料和危险源。</w:t>
      </w:r>
    </w:p>
    <w:p>
      <w:pPr>
        <w:pStyle w:val="5"/>
        <w:rPr>
          <w:rFonts w:asciiTheme="minorHAnsi" w:hAnsiTheme="minorHAnsi" w:cstheme="minorBidi"/>
          <w:sz w:val="24"/>
        </w:rPr>
      </w:pPr>
      <w:bookmarkStart w:id="563" w:name="_Toc9403163"/>
      <w:bookmarkStart w:id="564" w:name="_Toc13760281"/>
      <w:r>
        <w:t>8.4.1</w:t>
      </w:r>
      <w:r>
        <w:rPr>
          <w:rFonts w:hint="eastAsia"/>
        </w:rPr>
        <w:t>物质潜在风险性识别</w:t>
      </w:r>
      <w:bookmarkEnd w:id="563"/>
      <w:bookmarkEnd w:id="564"/>
    </w:p>
    <w:p>
      <w:pPr>
        <w:tabs>
          <w:tab w:val="left" w:pos="1230"/>
        </w:tabs>
        <w:adjustRightInd w:val="0"/>
        <w:snapToGrid w:val="0"/>
        <w:ind w:firstLine="480"/>
        <w:jc w:val="left"/>
        <w:rPr>
          <w:rFonts w:cs="Times New Roman"/>
          <w:szCs w:val="24"/>
        </w:rPr>
      </w:pPr>
      <w:bookmarkStart w:id="565" w:name="_Toc415996168"/>
      <w:bookmarkStart w:id="566" w:name="_Toc415996532"/>
      <w:r>
        <w:fldChar w:fldCharType="begin"/>
      </w:r>
      <w:r>
        <w:rPr>
          <w:rFonts w:cs="Times New Roman"/>
          <w:szCs w:val="24"/>
        </w:rPr>
        <w:instrText xml:space="preserve"> = 1 \* GB2 </w:instrText>
      </w:r>
      <w:r>
        <w:fldChar w:fldCharType="separate"/>
      </w:r>
      <w:r>
        <w:rPr>
          <w:rFonts w:hint="eastAsia" w:cs="Times New Roman" w:hAnsiTheme="minorEastAsia"/>
          <w:szCs w:val="24"/>
        </w:rPr>
        <w:t>⑴</w:t>
      </w:r>
      <w:r>
        <w:fldChar w:fldCharType="end"/>
      </w:r>
      <w:r>
        <w:rPr>
          <w:rFonts w:hint="eastAsia" w:cs="Times New Roman" w:hAnsiTheme="minorEastAsia"/>
          <w:szCs w:val="24"/>
        </w:rPr>
        <w:t>物质风险识别</w:t>
      </w:r>
      <w:bookmarkEnd w:id="565"/>
      <w:bookmarkEnd w:id="566"/>
    </w:p>
    <w:p>
      <w:pPr>
        <w:adjustRightInd w:val="0"/>
        <w:snapToGrid w:val="0"/>
        <w:ind w:firstLine="480"/>
        <w:rPr>
          <w:rFonts w:cs="Times New Roman"/>
          <w:szCs w:val="24"/>
        </w:rPr>
      </w:pPr>
      <w:r>
        <w:rPr>
          <w:rFonts w:hint="eastAsia" w:cs="Times New Roman" w:hAnsiTheme="minorEastAsia"/>
          <w:szCs w:val="24"/>
        </w:rPr>
        <w:t>对项目所涉及的原料、辅料、燃料、中间产品、副产品、最终产品、污染物等。按</w:t>
      </w:r>
      <w:r>
        <w:rPr>
          <w:rFonts w:hint="eastAsia" w:cs="Times New Roman" w:hAnsiTheme="minorEastAsia"/>
          <w:kern w:val="0"/>
          <w:szCs w:val="24"/>
        </w:rPr>
        <w:t>《建设项目风险评价技术</w:t>
      </w:r>
      <w:r>
        <w:rPr>
          <w:rFonts w:hint="eastAsia" w:cs="Times New Roman" w:hAnsiTheme="minorEastAsia"/>
          <w:szCs w:val="24"/>
        </w:rPr>
        <w:t>导则》</w:t>
      </w:r>
      <w:r>
        <w:rPr>
          <w:rFonts w:cs="Times New Roman"/>
          <w:szCs w:val="24"/>
        </w:rPr>
        <w:t>(HJ169-2018)</w:t>
      </w:r>
      <w:r>
        <w:rPr>
          <w:rFonts w:hint="eastAsia" w:cs="Times New Roman" w:hAnsiTheme="minorEastAsia"/>
          <w:szCs w:val="24"/>
        </w:rPr>
        <w:t>附录</w:t>
      </w:r>
      <w:r>
        <w:rPr>
          <w:rFonts w:cs="Times New Roman"/>
          <w:szCs w:val="24"/>
        </w:rPr>
        <w:t>B</w:t>
      </w:r>
      <w:r>
        <w:rPr>
          <w:rFonts w:hint="eastAsia" w:cs="Times New Roman" w:hAnsiTheme="minorEastAsia"/>
          <w:szCs w:val="24"/>
        </w:rPr>
        <w:t>识别出的危险物质，以表的方式给出其理化性质、急性毒性和化学性质，明确危险物质的分布。项目危险物质特性及分布如表</w:t>
      </w:r>
      <w:r>
        <w:rPr>
          <w:rFonts w:cs="Times New Roman"/>
          <w:szCs w:val="24"/>
        </w:rPr>
        <w:t>8.1</w:t>
      </w:r>
      <w:r>
        <w:rPr>
          <w:rFonts w:hint="eastAsia" w:cs="Times New Roman"/>
          <w:szCs w:val="24"/>
        </w:rPr>
        <w:t>—</w:t>
      </w:r>
      <w:r>
        <w:rPr>
          <w:rFonts w:cs="Times New Roman"/>
          <w:szCs w:val="24"/>
        </w:rPr>
        <w:t>1</w:t>
      </w:r>
      <w:r>
        <w:rPr>
          <w:rFonts w:hint="eastAsia" w:cs="Times New Roman" w:hAnsiTheme="minorEastAsia"/>
          <w:szCs w:val="24"/>
        </w:rPr>
        <w:t>所示。</w:t>
      </w:r>
    </w:p>
    <w:p>
      <w:pPr>
        <w:pStyle w:val="739"/>
        <w:ind w:firstLine="480"/>
        <w:outlineLvl w:val="0"/>
      </w:pPr>
      <w:r>
        <w:fldChar w:fldCharType="begin"/>
      </w:r>
      <w:r>
        <w:instrText xml:space="preserve"> = 1 \* GB2 </w:instrText>
      </w:r>
      <w:r>
        <w:fldChar w:fldCharType="separate"/>
      </w:r>
      <w:bookmarkStart w:id="567" w:name="_Toc13760282"/>
      <w:bookmarkStart w:id="568" w:name="_Toc13582251"/>
      <w:r>
        <w:rPr>
          <w:rFonts w:hint="eastAsia" w:hAnsiTheme="minorEastAsia"/>
        </w:rPr>
        <w:t>⑴</w:t>
      </w:r>
      <w:r>
        <w:fldChar w:fldCharType="end"/>
      </w:r>
      <w:r>
        <w:rPr>
          <w:rFonts w:hint="eastAsia" w:hAnsiTheme="minorEastAsia"/>
        </w:rPr>
        <w:t>物质风险识别</w:t>
      </w:r>
      <w:bookmarkEnd w:id="567"/>
      <w:bookmarkEnd w:id="568"/>
    </w:p>
    <w:p>
      <w:pPr>
        <w:adjustRightInd w:val="0"/>
        <w:snapToGrid w:val="0"/>
        <w:ind w:firstLine="480"/>
        <w:rPr>
          <w:rFonts w:cs="Times New Roman"/>
          <w:szCs w:val="24"/>
        </w:rPr>
      </w:pPr>
      <w:r>
        <w:rPr>
          <w:rFonts w:hint="eastAsia" w:cs="Times New Roman" w:hAnsiTheme="minorEastAsia"/>
          <w:szCs w:val="24"/>
        </w:rPr>
        <w:t>对项目所涉及的原料、辅料、燃料、中间产品、副产品、最终产品、污染物等。按</w:t>
      </w:r>
      <w:r>
        <w:rPr>
          <w:rFonts w:hint="eastAsia" w:cs="Times New Roman" w:hAnsiTheme="minorEastAsia"/>
          <w:kern w:val="0"/>
          <w:szCs w:val="24"/>
        </w:rPr>
        <w:t>《建设项目风险评价技术</w:t>
      </w:r>
      <w:r>
        <w:rPr>
          <w:rFonts w:hint="eastAsia" w:cs="Times New Roman" w:hAnsiTheme="minorEastAsia"/>
          <w:szCs w:val="24"/>
        </w:rPr>
        <w:t>导则》</w:t>
      </w:r>
      <w:r>
        <w:rPr>
          <w:rFonts w:cs="Times New Roman"/>
          <w:szCs w:val="24"/>
        </w:rPr>
        <w:t>(HJ169-2018)</w:t>
      </w:r>
      <w:r>
        <w:rPr>
          <w:rFonts w:hint="eastAsia" w:cs="Times New Roman" w:hAnsiTheme="minorEastAsia"/>
          <w:szCs w:val="24"/>
        </w:rPr>
        <w:t>附录</w:t>
      </w:r>
      <w:r>
        <w:rPr>
          <w:rFonts w:cs="Times New Roman"/>
          <w:szCs w:val="24"/>
        </w:rPr>
        <w:t>B</w:t>
      </w:r>
      <w:r>
        <w:rPr>
          <w:rFonts w:hint="eastAsia" w:cs="Times New Roman" w:hAnsiTheme="minorEastAsia"/>
          <w:szCs w:val="24"/>
        </w:rPr>
        <w:t>识别出的危险物质，以表的方式给出其理化性质、急性毒性和化学性质，明确危险物质的分布。项目危险物质特性及分布如表</w:t>
      </w:r>
      <w:r>
        <w:rPr>
          <w:rFonts w:cs="Times New Roman"/>
          <w:szCs w:val="24"/>
        </w:rPr>
        <w:t>8.1</w:t>
      </w:r>
      <w:r>
        <w:rPr>
          <w:rFonts w:hint="eastAsia" w:cs="Times New Roman"/>
          <w:szCs w:val="24"/>
        </w:rPr>
        <w:t>—</w:t>
      </w:r>
      <w:r>
        <w:rPr>
          <w:rFonts w:cs="Times New Roman"/>
          <w:szCs w:val="24"/>
        </w:rPr>
        <w:t>1</w:t>
      </w:r>
      <w:r>
        <w:rPr>
          <w:rFonts w:hint="eastAsia" w:cs="Times New Roman" w:hAnsiTheme="minorEastAsia"/>
          <w:szCs w:val="24"/>
        </w:rPr>
        <w:t>所示。</w:t>
      </w:r>
    </w:p>
    <w:p>
      <w:pPr>
        <w:pStyle w:val="739"/>
        <w:ind w:firstLine="480"/>
        <w:outlineLvl w:val="0"/>
      </w:pPr>
      <w:r>
        <w:fldChar w:fldCharType="begin"/>
      </w:r>
      <w:r>
        <w:instrText xml:space="preserve"> = 2 \* GB2 </w:instrText>
      </w:r>
      <w:r>
        <w:fldChar w:fldCharType="separate"/>
      </w:r>
      <w:bookmarkStart w:id="569" w:name="_Toc13760283"/>
      <w:bookmarkStart w:id="570" w:name="_Toc13582252"/>
      <w:r>
        <w:rPr>
          <w:rFonts w:hint="eastAsia" w:hAnsiTheme="minorEastAsia"/>
        </w:rPr>
        <w:t>⑵</w:t>
      </w:r>
      <w:r>
        <w:fldChar w:fldCharType="end"/>
      </w:r>
      <w:r>
        <w:rPr>
          <w:rFonts w:hint="eastAsia" w:hAnsiTheme="minorEastAsia"/>
        </w:rPr>
        <w:t>生产过程涉及到物质</w:t>
      </w:r>
      <w:bookmarkEnd w:id="569"/>
      <w:bookmarkEnd w:id="570"/>
    </w:p>
    <w:p>
      <w:pPr>
        <w:adjustRightInd w:val="0"/>
        <w:snapToGrid w:val="0"/>
        <w:ind w:firstLine="480"/>
        <w:textAlignment w:val="baseline"/>
        <w:outlineLvl w:val="0"/>
        <w:rPr>
          <w:rFonts w:cs="Times New Roman"/>
          <w:kern w:val="0"/>
          <w:szCs w:val="20"/>
        </w:rPr>
      </w:pPr>
      <w:r>
        <w:rPr>
          <w:rFonts w:cs="Times New Roman"/>
          <w:kern w:val="0"/>
          <w:szCs w:val="20"/>
        </w:rPr>
        <w:fldChar w:fldCharType="begin"/>
      </w:r>
      <w:r>
        <w:rPr>
          <w:rFonts w:cs="Times New Roman"/>
          <w:kern w:val="0"/>
          <w:szCs w:val="20"/>
        </w:rPr>
        <w:instrText xml:space="preserve"> = 1 \* GB3 </w:instrText>
      </w:r>
      <w:r>
        <w:rPr>
          <w:rFonts w:cs="Times New Roman"/>
          <w:kern w:val="0"/>
          <w:szCs w:val="20"/>
        </w:rPr>
        <w:fldChar w:fldCharType="separate"/>
      </w:r>
      <w:r>
        <w:rPr>
          <w:rFonts w:hint="eastAsia" w:cs="Times New Roman" w:hAnsiTheme="minorEastAsia"/>
          <w:kern w:val="0"/>
          <w:szCs w:val="20"/>
        </w:rPr>
        <w:t>①</w:t>
      </w:r>
      <w:r>
        <w:rPr>
          <w:rFonts w:cs="Times New Roman"/>
          <w:kern w:val="0"/>
          <w:szCs w:val="20"/>
        </w:rPr>
        <w:fldChar w:fldCharType="end"/>
      </w:r>
      <w:r>
        <w:rPr>
          <w:rFonts w:hint="eastAsia" w:cs="Times New Roman" w:hAnsiTheme="minorEastAsia"/>
          <w:kern w:val="0"/>
          <w:szCs w:val="20"/>
        </w:rPr>
        <w:t>危险工艺识别</w:t>
      </w:r>
    </w:p>
    <w:p>
      <w:pPr>
        <w:adjustRightInd w:val="0"/>
        <w:snapToGrid w:val="0"/>
        <w:ind w:firstLine="480"/>
        <w:textAlignment w:val="baseline"/>
        <w:rPr>
          <w:rFonts w:cs="Times New Roman"/>
          <w:kern w:val="0"/>
          <w:szCs w:val="20"/>
        </w:rPr>
      </w:pPr>
      <w:r>
        <w:rPr>
          <w:rFonts w:hint="eastAsia" w:cs="Times New Roman" w:hAnsiTheme="minorEastAsia"/>
          <w:kern w:val="0"/>
          <w:szCs w:val="20"/>
        </w:rPr>
        <w:t>本项目生产主要涉及的反应主要为物化、焚烧、固化等过程，没有《重点监管的危险化工工艺目录</w:t>
      </w:r>
      <w:r>
        <w:rPr>
          <w:rFonts w:cs="Times New Roman"/>
          <w:kern w:val="0"/>
          <w:szCs w:val="20"/>
        </w:rPr>
        <w:t>(2013</w:t>
      </w:r>
      <w:r>
        <w:rPr>
          <w:rFonts w:hint="eastAsia" w:cs="Times New Roman" w:hAnsiTheme="minorEastAsia"/>
          <w:kern w:val="0"/>
          <w:szCs w:val="20"/>
        </w:rPr>
        <w:t>版</w:t>
      </w:r>
      <w:r>
        <w:rPr>
          <w:rFonts w:cs="Times New Roman"/>
          <w:kern w:val="0"/>
          <w:szCs w:val="20"/>
        </w:rPr>
        <w:t>)</w:t>
      </w:r>
      <w:r>
        <w:rPr>
          <w:rFonts w:hint="eastAsia" w:cs="Times New Roman" w:hAnsiTheme="minorEastAsia"/>
          <w:kern w:val="0"/>
          <w:szCs w:val="20"/>
        </w:rPr>
        <w:t>》所列危险化工工艺。</w:t>
      </w:r>
    </w:p>
    <w:p>
      <w:pPr>
        <w:adjustRightInd w:val="0"/>
        <w:snapToGrid w:val="0"/>
        <w:ind w:firstLine="480"/>
        <w:textAlignment w:val="baseline"/>
        <w:outlineLvl w:val="0"/>
        <w:rPr>
          <w:rFonts w:cs="Times New Roman"/>
          <w:kern w:val="0"/>
          <w:szCs w:val="20"/>
        </w:rPr>
      </w:pPr>
      <w:r>
        <w:rPr>
          <w:rFonts w:cs="Times New Roman"/>
          <w:kern w:val="0"/>
          <w:szCs w:val="20"/>
        </w:rPr>
        <w:fldChar w:fldCharType="begin"/>
      </w:r>
      <w:r>
        <w:rPr>
          <w:rFonts w:cs="Times New Roman"/>
          <w:kern w:val="0"/>
          <w:szCs w:val="20"/>
        </w:rPr>
        <w:instrText xml:space="preserve"> = 2 \* GB3 </w:instrText>
      </w:r>
      <w:r>
        <w:rPr>
          <w:rFonts w:cs="Times New Roman"/>
          <w:kern w:val="0"/>
          <w:szCs w:val="20"/>
        </w:rPr>
        <w:fldChar w:fldCharType="separate"/>
      </w:r>
      <w:r>
        <w:rPr>
          <w:rFonts w:hint="eastAsia" w:cs="Times New Roman" w:hAnsiTheme="minorEastAsia"/>
          <w:kern w:val="0"/>
          <w:szCs w:val="20"/>
        </w:rPr>
        <w:t>②</w:t>
      </w:r>
      <w:r>
        <w:rPr>
          <w:rFonts w:cs="Times New Roman"/>
          <w:kern w:val="0"/>
          <w:szCs w:val="20"/>
        </w:rPr>
        <w:fldChar w:fldCharType="end"/>
      </w:r>
      <w:r>
        <w:rPr>
          <w:rFonts w:hint="eastAsia" w:cs="Times New Roman" w:hAnsiTheme="minorEastAsia"/>
          <w:kern w:val="0"/>
          <w:szCs w:val="20"/>
        </w:rPr>
        <w:t>工艺系统危险性</w:t>
      </w:r>
    </w:p>
    <w:p>
      <w:pPr>
        <w:adjustRightInd w:val="0"/>
        <w:snapToGrid w:val="0"/>
        <w:ind w:firstLine="480"/>
        <w:textAlignment w:val="baseline"/>
        <w:rPr>
          <w:rFonts w:cs="Times New Roman"/>
          <w:kern w:val="0"/>
          <w:szCs w:val="20"/>
        </w:rPr>
      </w:pPr>
      <w:r>
        <w:rPr>
          <w:rFonts w:hint="eastAsia" w:cs="Times New Roman" w:hAnsiTheme="minorEastAsia"/>
          <w:kern w:val="0"/>
          <w:szCs w:val="20"/>
        </w:rPr>
        <w:t>车间生产过程中使用的废乳化液、焚烧废液、柴油等属于易燃、有毒物质，若在生产过程中泄露，可能引发中毒事故，遇明火引发燃烧事故。</w:t>
      </w:r>
    </w:p>
    <w:p>
      <w:pPr>
        <w:adjustRightInd w:val="0"/>
        <w:snapToGrid w:val="0"/>
        <w:ind w:firstLine="480"/>
        <w:textAlignment w:val="baseline"/>
        <w:outlineLvl w:val="0"/>
        <w:rPr>
          <w:rFonts w:cs="Times New Roman"/>
          <w:kern w:val="0"/>
          <w:szCs w:val="20"/>
        </w:rPr>
      </w:pPr>
      <w:r>
        <w:rPr>
          <w:rFonts w:cs="Times New Roman"/>
          <w:kern w:val="0"/>
          <w:szCs w:val="20"/>
        </w:rPr>
        <w:fldChar w:fldCharType="begin"/>
      </w:r>
      <w:r>
        <w:rPr>
          <w:rFonts w:cs="Times New Roman"/>
          <w:kern w:val="0"/>
          <w:szCs w:val="20"/>
        </w:rPr>
        <w:instrText xml:space="preserve"> = 3 \* GB3 </w:instrText>
      </w:r>
      <w:r>
        <w:rPr>
          <w:rFonts w:cs="Times New Roman"/>
          <w:kern w:val="0"/>
          <w:szCs w:val="20"/>
        </w:rPr>
        <w:fldChar w:fldCharType="separate"/>
      </w:r>
      <w:r>
        <w:rPr>
          <w:rFonts w:hint="eastAsia" w:cs="Times New Roman" w:hAnsiTheme="minorEastAsia"/>
          <w:kern w:val="0"/>
          <w:szCs w:val="20"/>
        </w:rPr>
        <w:t>③</w:t>
      </w:r>
      <w:r>
        <w:rPr>
          <w:rFonts w:cs="Times New Roman"/>
          <w:kern w:val="0"/>
          <w:szCs w:val="20"/>
        </w:rPr>
        <w:fldChar w:fldCharType="end"/>
      </w:r>
      <w:r>
        <w:rPr>
          <w:rFonts w:hint="eastAsia" w:cs="Times New Roman" w:hAnsiTheme="minorEastAsia"/>
          <w:kern w:val="0"/>
          <w:szCs w:val="20"/>
        </w:rPr>
        <w:t>设备管道危险性</w:t>
      </w:r>
    </w:p>
    <w:p>
      <w:pPr>
        <w:adjustRightInd w:val="0"/>
        <w:snapToGrid w:val="0"/>
        <w:ind w:firstLine="480"/>
        <w:textAlignment w:val="baseline"/>
        <w:rPr>
          <w:rFonts w:cs="Times New Roman"/>
          <w:kern w:val="0"/>
          <w:szCs w:val="20"/>
        </w:rPr>
      </w:pPr>
      <w:r>
        <w:rPr>
          <w:rFonts w:cs="Times New Roman"/>
          <w:kern w:val="0"/>
          <w:szCs w:val="20"/>
        </w:rPr>
        <w:fldChar w:fldCharType="begin"/>
      </w:r>
      <w:r>
        <w:rPr>
          <w:rFonts w:cs="Times New Roman"/>
          <w:kern w:val="0"/>
          <w:szCs w:val="20"/>
        </w:rPr>
        <w:instrText xml:space="preserve"> = 1 \* roman </w:instrText>
      </w:r>
      <w:r>
        <w:rPr>
          <w:rFonts w:cs="Times New Roman"/>
          <w:kern w:val="0"/>
          <w:szCs w:val="20"/>
        </w:rPr>
        <w:fldChar w:fldCharType="separate"/>
      </w:r>
      <w:r>
        <w:rPr>
          <w:rFonts w:cs="Times New Roman"/>
          <w:kern w:val="0"/>
          <w:szCs w:val="20"/>
        </w:rPr>
        <w:t>i</w:t>
      </w:r>
      <w:r>
        <w:rPr>
          <w:rFonts w:cs="Times New Roman"/>
          <w:kern w:val="0"/>
          <w:szCs w:val="20"/>
        </w:rPr>
        <w:fldChar w:fldCharType="end"/>
      </w:r>
      <w:r>
        <w:rPr>
          <w:rFonts w:cs="Times New Roman"/>
          <w:kern w:val="0"/>
          <w:szCs w:val="20"/>
        </w:rPr>
        <w:t>.</w:t>
      </w:r>
      <w:r>
        <w:rPr>
          <w:rFonts w:hint="eastAsia" w:cs="Times New Roman" w:hAnsiTheme="minorEastAsia"/>
          <w:kern w:val="0"/>
          <w:szCs w:val="20"/>
        </w:rPr>
        <w:t>电气设备不符合防火防爆要求易发生火灾、爆炸事故。</w:t>
      </w:r>
    </w:p>
    <w:p>
      <w:pPr>
        <w:adjustRightInd w:val="0"/>
        <w:snapToGrid w:val="0"/>
        <w:ind w:firstLine="480"/>
        <w:textAlignment w:val="baseline"/>
        <w:rPr>
          <w:rFonts w:cs="Times New Roman"/>
          <w:kern w:val="0"/>
          <w:szCs w:val="20"/>
        </w:rPr>
      </w:pPr>
      <w:r>
        <w:rPr>
          <w:rFonts w:cs="Times New Roman"/>
          <w:kern w:val="0"/>
          <w:szCs w:val="20"/>
        </w:rPr>
        <w:fldChar w:fldCharType="begin"/>
      </w:r>
      <w:r>
        <w:rPr>
          <w:rFonts w:cs="Times New Roman"/>
          <w:kern w:val="0"/>
          <w:szCs w:val="20"/>
        </w:rPr>
        <w:instrText xml:space="preserve"> = 2 \* roman </w:instrText>
      </w:r>
      <w:r>
        <w:rPr>
          <w:rFonts w:cs="Times New Roman"/>
          <w:kern w:val="0"/>
          <w:szCs w:val="20"/>
        </w:rPr>
        <w:fldChar w:fldCharType="separate"/>
      </w:r>
      <w:r>
        <w:rPr>
          <w:rFonts w:cs="Times New Roman"/>
          <w:kern w:val="0"/>
          <w:szCs w:val="20"/>
        </w:rPr>
        <w:t>ii</w:t>
      </w:r>
      <w:r>
        <w:rPr>
          <w:rFonts w:cs="Times New Roman"/>
          <w:kern w:val="0"/>
          <w:szCs w:val="20"/>
        </w:rPr>
        <w:fldChar w:fldCharType="end"/>
      </w:r>
      <w:r>
        <w:rPr>
          <w:rFonts w:cs="Times New Roman"/>
          <w:kern w:val="0"/>
          <w:szCs w:val="20"/>
        </w:rPr>
        <w:t>.</w:t>
      </w:r>
      <w:r>
        <w:rPr>
          <w:rFonts w:hint="eastAsia" w:cs="Times New Roman" w:hAnsiTheme="minorEastAsia"/>
          <w:kern w:val="0"/>
          <w:szCs w:val="20"/>
        </w:rPr>
        <w:t>设备、管道系统因制造技术不过关，设备存在质量隐患，在正常生产过程中将会发生泄漏，造成火灾爆炸事故的发生。</w:t>
      </w:r>
    </w:p>
    <w:p>
      <w:pPr>
        <w:tabs>
          <w:tab w:val="center" w:pos="4826"/>
          <w:tab w:val="left" w:pos="7230"/>
        </w:tabs>
        <w:topLinePunct/>
        <w:adjustRightInd w:val="0"/>
        <w:snapToGrid w:val="0"/>
        <w:ind w:firstLine="480"/>
        <w:rPr>
          <w:rFonts w:cs="Times New Roman"/>
          <w:szCs w:val="24"/>
        </w:rPr>
      </w:pPr>
      <w:r>
        <w:rPr>
          <w:rFonts w:cs="Times New Roman"/>
          <w:szCs w:val="24"/>
        </w:rPr>
        <w:fldChar w:fldCharType="begin"/>
      </w:r>
      <w:r>
        <w:rPr>
          <w:rFonts w:cs="Times New Roman"/>
          <w:szCs w:val="24"/>
        </w:rPr>
        <w:instrText xml:space="preserve"> = 3 \* roman </w:instrText>
      </w:r>
      <w:r>
        <w:rPr>
          <w:rFonts w:cs="Times New Roman"/>
          <w:szCs w:val="24"/>
        </w:rPr>
        <w:fldChar w:fldCharType="separate"/>
      </w:r>
      <w:r>
        <w:rPr>
          <w:rFonts w:cs="Times New Roman"/>
          <w:szCs w:val="24"/>
        </w:rPr>
        <w:t>iii</w:t>
      </w:r>
      <w:r>
        <w:rPr>
          <w:rFonts w:cs="Times New Roman"/>
          <w:szCs w:val="24"/>
        </w:rPr>
        <w:fldChar w:fldCharType="end"/>
      </w:r>
      <w:r>
        <w:rPr>
          <w:rFonts w:cs="Times New Roman"/>
          <w:szCs w:val="24"/>
        </w:rPr>
        <w:t>.</w:t>
      </w:r>
      <w:r>
        <w:rPr>
          <w:rFonts w:hint="eastAsia" w:cs="Times New Roman" w:hAnsiTheme="minorEastAsia"/>
          <w:szCs w:val="24"/>
        </w:rPr>
        <w:t>项目焚烧反应在焚烧炉内进行，当反应温度过高或者是反应器质量不过关，造成阀门、反应炉主体破裂，会造成物质泄漏，甚至是反应器爆炸事故。</w:t>
      </w:r>
    </w:p>
    <w:p>
      <w:pPr>
        <w:adjustRightInd w:val="0"/>
        <w:snapToGrid w:val="0"/>
        <w:ind w:firstLine="480"/>
        <w:rPr>
          <w:rFonts w:cs="Times New Roman"/>
          <w:szCs w:val="24"/>
        </w:rPr>
      </w:pPr>
      <w:r>
        <w:rPr>
          <w:rFonts w:cs="Times New Roman"/>
          <w:szCs w:val="24"/>
        </w:rPr>
        <w:fldChar w:fldCharType="begin"/>
      </w:r>
      <w:r>
        <w:rPr>
          <w:rFonts w:cs="Times New Roman"/>
          <w:szCs w:val="24"/>
        </w:rPr>
        <w:instrText xml:space="preserve"> = 3 \* GB2 </w:instrText>
      </w:r>
      <w:r>
        <w:rPr>
          <w:rFonts w:cs="Times New Roman"/>
          <w:szCs w:val="24"/>
        </w:rPr>
        <w:fldChar w:fldCharType="separate"/>
      </w:r>
      <w:r>
        <w:rPr>
          <w:rFonts w:hint="eastAsia" w:cs="Times New Roman" w:hAnsiTheme="minorEastAsia"/>
          <w:szCs w:val="24"/>
        </w:rPr>
        <w:t>⑶</w:t>
      </w:r>
      <w:r>
        <w:rPr>
          <w:rFonts w:cs="Times New Roman"/>
          <w:szCs w:val="24"/>
        </w:rPr>
        <w:fldChar w:fldCharType="end"/>
      </w:r>
      <w:r>
        <w:rPr>
          <w:rFonts w:hint="eastAsia" w:cs="Times New Roman" w:hAnsiTheme="minorEastAsia"/>
          <w:szCs w:val="24"/>
        </w:rPr>
        <w:t>储运系统危险性分析</w:t>
      </w:r>
    </w:p>
    <w:p>
      <w:pPr>
        <w:widowControl/>
        <w:adjustRightInd w:val="0"/>
        <w:snapToGrid w:val="0"/>
        <w:ind w:firstLine="480"/>
        <w:jc w:val="left"/>
        <w:rPr>
          <w:rFonts w:cs="Times New Roman"/>
          <w:kern w:val="0"/>
          <w:szCs w:val="24"/>
        </w:rPr>
      </w:pPr>
      <w:r>
        <w:rPr>
          <w:rFonts w:hint="eastAsia" w:cs="Times New Roman" w:hAnsiTheme="minorEastAsia"/>
          <w:kern w:val="0"/>
          <w:szCs w:val="24"/>
        </w:rPr>
        <w:t>根据储罐储存的物质的危害性分析，筛选储存物质的罐区、装卸区装车以及运输过程为主要的危险单元，具体主要风险特征如下表</w:t>
      </w:r>
      <w:r>
        <w:rPr>
          <w:rFonts w:cs="Times New Roman"/>
          <w:kern w:val="0"/>
          <w:szCs w:val="24"/>
        </w:rPr>
        <w:t>8.4</w:t>
      </w:r>
      <w:r>
        <w:rPr>
          <w:rFonts w:hint="eastAsia" w:cs="Times New Roman"/>
          <w:kern w:val="0"/>
          <w:szCs w:val="24"/>
        </w:rPr>
        <w:t>—</w:t>
      </w:r>
      <w:r>
        <w:rPr>
          <w:rFonts w:cs="Times New Roman"/>
          <w:kern w:val="0"/>
          <w:szCs w:val="24"/>
        </w:rPr>
        <w:t>1</w:t>
      </w:r>
      <w:r>
        <w:rPr>
          <w:rFonts w:hint="eastAsia" w:cs="Times New Roman" w:hAnsiTheme="minorEastAsia"/>
          <w:kern w:val="0"/>
          <w:szCs w:val="24"/>
        </w:rPr>
        <w:t>所示：</w:t>
      </w:r>
    </w:p>
    <w:p>
      <w:pPr>
        <w:widowControl/>
        <w:adjustRightInd w:val="0"/>
        <w:snapToGrid w:val="0"/>
        <w:spacing w:line="500" w:lineRule="exact"/>
        <w:ind w:firstLine="480"/>
        <w:rPr>
          <w:rFonts w:cs="Times New Roman"/>
          <w:szCs w:val="24"/>
        </w:rPr>
      </w:pPr>
      <w:r>
        <w:rPr>
          <w:rFonts w:hint="eastAsia" w:cs="Times New Roman" w:hAnsiTheme="minorEastAsia"/>
          <w:szCs w:val="24"/>
        </w:rPr>
        <w:t>表</w:t>
      </w:r>
      <w:r>
        <w:rPr>
          <w:rFonts w:cs="Times New Roman"/>
          <w:szCs w:val="24"/>
        </w:rPr>
        <w:t>8.4</w:t>
      </w:r>
      <w:r>
        <w:rPr>
          <w:rFonts w:hint="eastAsia" w:cs="Times New Roman"/>
          <w:kern w:val="0"/>
          <w:szCs w:val="24"/>
        </w:rPr>
        <w:t>—</w:t>
      </w:r>
      <w:r>
        <w:rPr>
          <w:rFonts w:cs="Times New Roman"/>
          <w:szCs w:val="24"/>
        </w:rPr>
        <w:t xml:space="preserve">1    </w:t>
      </w:r>
      <w:r>
        <w:rPr>
          <w:rFonts w:hint="eastAsia" w:cs="Times New Roman" w:hAnsiTheme="minorEastAsia"/>
          <w:szCs w:val="24"/>
        </w:rPr>
        <w:t>储运过程主要风险特征一览表</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552"/>
        <w:gridCol w:w="1281"/>
        <w:gridCol w:w="3416"/>
        <w:gridCol w:w="3792"/>
        <w:gridCol w:w="81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552" w:type="dxa"/>
            <w:vMerge w:val="restart"/>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序号</w:t>
            </w:r>
          </w:p>
        </w:tc>
        <w:tc>
          <w:tcPr>
            <w:tcW w:w="1281" w:type="dxa"/>
            <w:vMerge w:val="restart"/>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设备名称</w:t>
            </w:r>
          </w:p>
        </w:tc>
        <w:tc>
          <w:tcPr>
            <w:tcW w:w="3416" w:type="dxa"/>
            <w:vMerge w:val="restart"/>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重要部位和薄弱环节</w:t>
            </w:r>
          </w:p>
        </w:tc>
        <w:tc>
          <w:tcPr>
            <w:tcW w:w="4605" w:type="dxa"/>
            <w:gridSpan w:val="2"/>
            <w:tcBorders>
              <w:top w:val="single" w:color="auto" w:sz="12"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风险因素分析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552" w:type="dxa"/>
            <w:vMerge w:val="continue"/>
            <w:tcBorders>
              <w:top w:val="single" w:color="auto" w:sz="12" w:space="0"/>
              <w:left w:val="nil"/>
              <w:bottom w:val="single" w:color="auto" w:sz="12" w:space="0"/>
              <w:right w:val="dotted" w:color="auto" w:sz="4" w:space="0"/>
            </w:tcBorders>
            <w:vAlign w:val="center"/>
          </w:tcPr>
          <w:p>
            <w:pPr>
              <w:widowControl/>
              <w:spacing w:line="240" w:lineRule="atLeast"/>
              <w:ind w:firstLine="0" w:firstLineChars="0"/>
              <w:jc w:val="left"/>
              <w:rPr>
                <w:rFonts w:eastAsiaTheme="minorEastAsia"/>
                <w:kern w:val="0"/>
                <w:sz w:val="21"/>
              </w:rPr>
            </w:pPr>
          </w:p>
        </w:tc>
        <w:tc>
          <w:tcPr>
            <w:tcW w:w="1281"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eastAsiaTheme="minorEastAsia"/>
                <w:kern w:val="0"/>
                <w:sz w:val="21"/>
              </w:rPr>
            </w:pPr>
          </w:p>
        </w:tc>
        <w:tc>
          <w:tcPr>
            <w:tcW w:w="3416" w:type="dxa"/>
            <w:vMerge w:val="continue"/>
            <w:tcBorders>
              <w:top w:val="single" w:color="auto" w:sz="12"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eastAsiaTheme="minorEastAsia"/>
                <w:kern w:val="0"/>
                <w:sz w:val="21"/>
              </w:rPr>
            </w:pPr>
          </w:p>
        </w:tc>
        <w:tc>
          <w:tcPr>
            <w:tcW w:w="3792"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可能发生事故</w:t>
            </w:r>
          </w:p>
        </w:tc>
        <w:tc>
          <w:tcPr>
            <w:tcW w:w="813" w:type="dxa"/>
            <w:tcBorders>
              <w:top w:val="dotted" w:color="auto" w:sz="4"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潜在危害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18" w:hRule="atLeast"/>
          <w:jc w:val="center"/>
        </w:trPr>
        <w:tc>
          <w:tcPr>
            <w:tcW w:w="552" w:type="dxa"/>
            <w:tcBorders>
              <w:top w:val="single" w:color="auto" w:sz="12"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w:t>
            </w:r>
          </w:p>
        </w:tc>
        <w:tc>
          <w:tcPr>
            <w:tcW w:w="1281" w:type="dxa"/>
            <w:tcBorders>
              <w:top w:val="single" w:color="auto" w:sz="12"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储罐区</w:t>
            </w:r>
          </w:p>
        </w:tc>
        <w:tc>
          <w:tcPr>
            <w:tcW w:w="3416" w:type="dxa"/>
            <w:tcBorders>
              <w:top w:val="single" w:color="auto" w:sz="12"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①</w:t>
            </w:r>
            <w:r>
              <w:rPr>
                <w:rFonts w:hint="eastAsia"/>
                <w:kern w:val="0"/>
                <w:sz w:val="21"/>
              </w:rPr>
              <w:t>储罐和连接的管线及阀门</w:t>
            </w:r>
          </w:p>
          <w:p>
            <w:pPr>
              <w:widowControl/>
              <w:adjustRightInd w:val="0"/>
              <w:snapToGrid w:val="0"/>
              <w:spacing w:line="240" w:lineRule="atLeast"/>
              <w:ind w:firstLine="0" w:firstLineChars="0"/>
              <w:jc w:val="left"/>
              <w:rPr>
                <w:kern w:val="0"/>
                <w:sz w:val="21"/>
              </w:rPr>
            </w:pPr>
            <w:r>
              <w:rPr>
                <w:rFonts w:hint="eastAsia" w:ascii="宋体" w:hAnsi="宋体" w:cs="宋体"/>
                <w:kern w:val="0"/>
                <w:sz w:val="21"/>
              </w:rPr>
              <w:t>②</w:t>
            </w:r>
            <w:r>
              <w:rPr>
                <w:rFonts w:hint="eastAsia"/>
                <w:kern w:val="0"/>
                <w:sz w:val="21"/>
              </w:rPr>
              <w:t>储罐管件和开口部位</w:t>
            </w:r>
          </w:p>
          <w:p>
            <w:pPr>
              <w:widowControl/>
              <w:adjustRightInd w:val="0"/>
              <w:snapToGrid w:val="0"/>
              <w:spacing w:line="240" w:lineRule="atLeast"/>
              <w:ind w:firstLine="0" w:firstLineChars="0"/>
              <w:jc w:val="left"/>
              <w:rPr>
                <w:kern w:val="0"/>
                <w:sz w:val="21"/>
              </w:rPr>
            </w:pPr>
            <w:r>
              <w:rPr>
                <w:rFonts w:hint="eastAsia" w:ascii="宋体" w:hAnsi="宋体" w:cs="宋体"/>
                <w:kern w:val="0"/>
                <w:sz w:val="21"/>
              </w:rPr>
              <w:t>③</w:t>
            </w:r>
            <w:r>
              <w:rPr>
                <w:rFonts w:hint="eastAsia"/>
                <w:kern w:val="0"/>
                <w:sz w:val="21"/>
              </w:rPr>
              <w:t>储罐安全阀等阀门</w:t>
            </w:r>
          </w:p>
          <w:p>
            <w:pPr>
              <w:widowControl/>
              <w:adjustRightInd w:val="0"/>
              <w:snapToGrid w:val="0"/>
              <w:spacing w:line="240" w:lineRule="atLeast"/>
              <w:ind w:firstLine="0" w:firstLineChars="0"/>
              <w:jc w:val="left"/>
              <w:rPr>
                <w:kern w:val="0"/>
                <w:sz w:val="21"/>
              </w:rPr>
            </w:pPr>
            <w:r>
              <w:rPr>
                <w:rFonts w:hint="eastAsia" w:ascii="宋体" w:hAnsi="宋体" w:cs="宋体"/>
                <w:kern w:val="0"/>
                <w:sz w:val="21"/>
              </w:rPr>
              <w:t>④</w:t>
            </w:r>
            <w:r>
              <w:rPr>
                <w:rFonts w:hint="eastAsia"/>
                <w:kern w:val="0"/>
                <w:sz w:val="21"/>
              </w:rPr>
              <w:t>储罐接地线、避雷针等</w:t>
            </w:r>
          </w:p>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⑤</w:t>
            </w:r>
            <w:r>
              <w:rPr>
                <w:rFonts w:hint="eastAsia"/>
                <w:kern w:val="0"/>
                <w:sz w:val="21"/>
              </w:rPr>
              <w:t>储罐罐体裂纹</w:t>
            </w:r>
          </w:p>
        </w:tc>
        <w:tc>
          <w:tcPr>
            <w:tcW w:w="3792" w:type="dxa"/>
            <w:tcBorders>
              <w:top w:val="single" w:color="auto" w:sz="12"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①</w:t>
            </w:r>
            <w:r>
              <w:rPr>
                <w:rFonts w:hint="eastAsia"/>
                <w:kern w:val="0"/>
                <w:sz w:val="21"/>
              </w:rPr>
              <w:t>壳件出口部位断裂</w:t>
            </w:r>
          </w:p>
          <w:p>
            <w:pPr>
              <w:widowControl/>
              <w:adjustRightInd w:val="0"/>
              <w:snapToGrid w:val="0"/>
              <w:spacing w:line="240" w:lineRule="atLeast"/>
              <w:ind w:firstLine="0" w:firstLineChars="0"/>
              <w:jc w:val="left"/>
              <w:rPr>
                <w:kern w:val="0"/>
                <w:sz w:val="21"/>
              </w:rPr>
            </w:pPr>
            <w:r>
              <w:rPr>
                <w:rFonts w:hint="eastAsia" w:ascii="宋体" w:hAnsi="宋体" w:cs="宋体"/>
                <w:kern w:val="0"/>
                <w:sz w:val="21"/>
              </w:rPr>
              <w:t>②</w:t>
            </w:r>
            <w:r>
              <w:rPr>
                <w:rFonts w:hint="eastAsia"/>
                <w:kern w:val="0"/>
                <w:sz w:val="21"/>
              </w:rPr>
              <w:t>阀破损</w:t>
            </w:r>
          </w:p>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③</w:t>
            </w:r>
            <w:r>
              <w:rPr>
                <w:rFonts w:hint="eastAsia"/>
                <w:kern w:val="0"/>
                <w:sz w:val="21"/>
              </w:rPr>
              <w:t>接地不良，静电火花</w:t>
            </w:r>
          </w:p>
        </w:tc>
        <w:tc>
          <w:tcPr>
            <w:tcW w:w="813" w:type="dxa"/>
            <w:tcBorders>
              <w:top w:val="single" w:color="auto" w:sz="12"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泄漏</w:t>
            </w:r>
          </w:p>
          <w:p>
            <w:pPr>
              <w:widowControl/>
              <w:adjustRightInd w:val="0"/>
              <w:snapToGrid w:val="0"/>
              <w:spacing w:line="240" w:lineRule="atLeast"/>
              <w:ind w:firstLine="0" w:firstLineChars="0"/>
              <w:jc w:val="center"/>
              <w:rPr>
                <w:kern w:val="0"/>
                <w:sz w:val="21"/>
              </w:rPr>
            </w:pPr>
            <w:r>
              <w:rPr>
                <w:rFonts w:hint="eastAsia"/>
                <w:kern w:val="0"/>
                <w:sz w:val="21"/>
              </w:rPr>
              <w:t>火灾</w:t>
            </w:r>
          </w:p>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爆炸</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7" w:hRule="atLeast"/>
          <w:jc w:val="center"/>
        </w:trPr>
        <w:tc>
          <w:tcPr>
            <w:tcW w:w="552"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2</w:t>
            </w:r>
          </w:p>
        </w:tc>
        <w:tc>
          <w:tcPr>
            <w:tcW w:w="12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装卸区</w:t>
            </w:r>
          </w:p>
        </w:tc>
        <w:tc>
          <w:tcPr>
            <w:tcW w:w="3416"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①</w:t>
            </w:r>
            <w:r>
              <w:rPr>
                <w:rFonts w:hint="eastAsia"/>
                <w:kern w:val="0"/>
                <w:sz w:val="21"/>
              </w:rPr>
              <w:t>装卸泵</w:t>
            </w:r>
          </w:p>
          <w:p>
            <w:pPr>
              <w:widowControl/>
              <w:adjustRightInd w:val="0"/>
              <w:snapToGrid w:val="0"/>
              <w:spacing w:line="240" w:lineRule="atLeast"/>
              <w:ind w:firstLine="0" w:firstLineChars="0"/>
              <w:jc w:val="left"/>
              <w:rPr>
                <w:kern w:val="0"/>
                <w:sz w:val="21"/>
              </w:rPr>
            </w:pPr>
            <w:r>
              <w:rPr>
                <w:rFonts w:hint="eastAsia" w:ascii="宋体" w:hAnsi="宋体" w:cs="宋体"/>
                <w:kern w:val="0"/>
                <w:sz w:val="21"/>
              </w:rPr>
              <w:t>②</w:t>
            </w:r>
            <w:r>
              <w:rPr>
                <w:rFonts w:hint="eastAsia"/>
                <w:kern w:val="0"/>
                <w:sz w:val="21"/>
              </w:rPr>
              <w:t>罐车罐和连接的软管及阀门</w:t>
            </w:r>
          </w:p>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③</w:t>
            </w:r>
            <w:r>
              <w:rPr>
                <w:rFonts w:hint="eastAsia"/>
                <w:kern w:val="0"/>
                <w:sz w:val="21"/>
              </w:rPr>
              <w:t>罐车罐管件和开口部位</w:t>
            </w:r>
          </w:p>
        </w:tc>
        <w:tc>
          <w:tcPr>
            <w:tcW w:w="379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①</w:t>
            </w:r>
            <w:r>
              <w:rPr>
                <w:rFonts w:hint="eastAsia"/>
                <w:kern w:val="0"/>
                <w:sz w:val="21"/>
              </w:rPr>
              <w:t>装卸泵密封损坏，造成泄漏；</w:t>
            </w:r>
          </w:p>
          <w:p>
            <w:pPr>
              <w:widowControl/>
              <w:adjustRightInd w:val="0"/>
              <w:snapToGrid w:val="0"/>
              <w:spacing w:line="240" w:lineRule="atLeast"/>
              <w:ind w:firstLine="0" w:firstLineChars="0"/>
              <w:jc w:val="left"/>
              <w:rPr>
                <w:kern w:val="0"/>
                <w:sz w:val="21"/>
              </w:rPr>
            </w:pPr>
            <w:r>
              <w:rPr>
                <w:rFonts w:hint="eastAsia" w:ascii="宋体" w:hAnsi="宋体" w:cs="宋体"/>
                <w:kern w:val="0"/>
                <w:sz w:val="21"/>
              </w:rPr>
              <w:t>②</w:t>
            </w:r>
            <w:r>
              <w:rPr>
                <w:rFonts w:hint="eastAsia"/>
                <w:kern w:val="0"/>
                <w:sz w:val="21"/>
              </w:rPr>
              <w:t>连接软管破裂，造成物料泄漏</w:t>
            </w:r>
          </w:p>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③</w:t>
            </w:r>
            <w:r>
              <w:rPr>
                <w:rFonts w:hint="eastAsia"/>
                <w:kern w:val="0"/>
                <w:sz w:val="21"/>
              </w:rPr>
              <w:t>接地不良，静电火花</w:t>
            </w:r>
          </w:p>
        </w:tc>
        <w:tc>
          <w:tcPr>
            <w:tcW w:w="813" w:type="dxa"/>
            <w:tcBorders>
              <w:top w:val="dotted" w:color="auto" w:sz="4"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泄漏</w:t>
            </w:r>
          </w:p>
          <w:p>
            <w:pPr>
              <w:widowControl/>
              <w:adjustRightInd w:val="0"/>
              <w:snapToGrid w:val="0"/>
              <w:spacing w:line="240" w:lineRule="atLeast"/>
              <w:ind w:firstLine="0" w:firstLineChars="0"/>
              <w:jc w:val="center"/>
              <w:rPr>
                <w:kern w:val="0"/>
                <w:sz w:val="21"/>
              </w:rPr>
            </w:pPr>
            <w:r>
              <w:rPr>
                <w:rFonts w:hint="eastAsia"/>
                <w:kern w:val="0"/>
                <w:sz w:val="21"/>
              </w:rPr>
              <w:t>火灾</w:t>
            </w:r>
          </w:p>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爆炸</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7" w:hRule="atLeast"/>
          <w:jc w:val="center"/>
        </w:trPr>
        <w:tc>
          <w:tcPr>
            <w:tcW w:w="552" w:type="dxa"/>
            <w:tcBorders>
              <w:top w:val="dotted" w:color="auto" w:sz="4"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3</w:t>
            </w:r>
          </w:p>
        </w:tc>
        <w:tc>
          <w:tcPr>
            <w:tcW w:w="1281"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运输过程</w:t>
            </w:r>
          </w:p>
        </w:tc>
        <w:tc>
          <w:tcPr>
            <w:tcW w:w="3416"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①</w:t>
            </w:r>
            <w:r>
              <w:rPr>
                <w:rFonts w:hint="eastAsia"/>
                <w:kern w:val="0"/>
                <w:sz w:val="21"/>
              </w:rPr>
              <w:t>装卸泵</w:t>
            </w:r>
          </w:p>
          <w:p>
            <w:pPr>
              <w:widowControl/>
              <w:adjustRightInd w:val="0"/>
              <w:snapToGrid w:val="0"/>
              <w:spacing w:line="240" w:lineRule="atLeast"/>
              <w:ind w:firstLine="0" w:firstLineChars="0"/>
              <w:jc w:val="left"/>
              <w:rPr>
                <w:kern w:val="0"/>
                <w:sz w:val="21"/>
              </w:rPr>
            </w:pPr>
            <w:r>
              <w:rPr>
                <w:rFonts w:hint="eastAsia" w:ascii="宋体" w:hAnsi="宋体" w:cs="宋体"/>
                <w:kern w:val="0"/>
                <w:sz w:val="21"/>
              </w:rPr>
              <w:t>②</w:t>
            </w:r>
            <w:r>
              <w:rPr>
                <w:rFonts w:hint="eastAsia"/>
                <w:kern w:val="0"/>
                <w:sz w:val="21"/>
              </w:rPr>
              <w:t>罐车罐和连接的软管及阀门</w:t>
            </w:r>
          </w:p>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③</w:t>
            </w:r>
            <w:r>
              <w:rPr>
                <w:rFonts w:hint="eastAsia"/>
                <w:kern w:val="0"/>
                <w:sz w:val="21"/>
              </w:rPr>
              <w:t>罐车罐管件和开口部位</w:t>
            </w:r>
          </w:p>
        </w:tc>
        <w:tc>
          <w:tcPr>
            <w:tcW w:w="3792"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①</w:t>
            </w:r>
            <w:r>
              <w:rPr>
                <w:rFonts w:hint="eastAsia"/>
                <w:kern w:val="0"/>
                <w:sz w:val="21"/>
              </w:rPr>
              <w:t>发生交通事故</w:t>
            </w:r>
          </w:p>
          <w:p>
            <w:pPr>
              <w:widowControl/>
              <w:adjustRightInd w:val="0"/>
              <w:snapToGrid w:val="0"/>
              <w:spacing w:line="240" w:lineRule="atLeast"/>
              <w:ind w:firstLine="0" w:firstLineChars="0"/>
              <w:jc w:val="left"/>
              <w:rPr>
                <w:kern w:val="0"/>
                <w:sz w:val="21"/>
              </w:rPr>
            </w:pPr>
            <w:r>
              <w:rPr>
                <w:rFonts w:hint="eastAsia" w:ascii="宋体" w:hAnsi="宋体" w:cs="宋体"/>
                <w:kern w:val="0"/>
                <w:sz w:val="21"/>
              </w:rPr>
              <w:t>②</w:t>
            </w:r>
            <w:r>
              <w:rPr>
                <w:rFonts w:hint="eastAsia"/>
                <w:kern w:val="0"/>
                <w:sz w:val="21"/>
              </w:rPr>
              <w:t>连接软管破裂，造成物料泄漏</w:t>
            </w:r>
          </w:p>
          <w:p>
            <w:pPr>
              <w:widowControl/>
              <w:adjustRightInd w:val="0"/>
              <w:snapToGrid w:val="0"/>
              <w:spacing w:line="240" w:lineRule="atLeast"/>
              <w:ind w:firstLine="0" w:firstLineChars="0"/>
              <w:jc w:val="left"/>
              <w:rPr>
                <w:rFonts w:eastAsiaTheme="minorEastAsia"/>
                <w:kern w:val="0"/>
                <w:sz w:val="21"/>
              </w:rPr>
            </w:pPr>
            <w:r>
              <w:rPr>
                <w:rFonts w:hint="eastAsia" w:ascii="宋体" w:hAnsi="宋体" w:cs="宋体"/>
                <w:kern w:val="0"/>
                <w:sz w:val="21"/>
              </w:rPr>
              <w:t>③</w:t>
            </w:r>
            <w:r>
              <w:rPr>
                <w:rFonts w:hint="eastAsia"/>
                <w:kern w:val="0"/>
                <w:sz w:val="21"/>
              </w:rPr>
              <w:t>接地不良，静电火花</w:t>
            </w:r>
          </w:p>
        </w:tc>
        <w:tc>
          <w:tcPr>
            <w:tcW w:w="813" w:type="dxa"/>
            <w:tcBorders>
              <w:top w:val="dotted" w:color="auto" w:sz="4"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泄漏</w:t>
            </w:r>
          </w:p>
          <w:p>
            <w:pPr>
              <w:widowControl/>
              <w:adjustRightInd w:val="0"/>
              <w:snapToGrid w:val="0"/>
              <w:spacing w:line="240" w:lineRule="atLeast"/>
              <w:ind w:firstLine="0" w:firstLineChars="0"/>
              <w:jc w:val="center"/>
              <w:rPr>
                <w:kern w:val="0"/>
                <w:sz w:val="21"/>
              </w:rPr>
            </w:pPr>
            <w:r>
              <w:rPr>
                <w:rFonts w:hint="eastAsia"/>
                <w:kern w:val="0"/>
                <w:sz w:val="21"/>
              </w:rPr>
              <w:t>火灾</w:t>
            </w:r>
          </w:p>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爆炸</w:t>
            </w:r>
          </w:p>
        </w:tc>
      </w:tr>
    </w:tbl>
    <w:p>
      <w:pPr>
        <w:adjustRightInd w:val="0"/>
        <w:snapToGrid w:val="0"/>
        <w:ind w:firstLine="480"/>
        <w:rPr>
          <w:rFonts w:cs="Times New Roman"/>
          <w:szCs w:val="24"/>
        </w:rPr>
      </w:pPr>
    </w:p>
    <w:p>
      <w:pPr>
        <w:pStyle w:val="5"/>
      </w:pPr>
      <w:bookmarkStart w:id="571" w:name="_Toc13760284"/>
      <w:bookmarkStart w:id="572" w:name="_Toc9403164"/>
      <w:r>
        <w:t>8.4.2</w:t>
      </w:r>
      <w:r>
        <w:rPr>
          <w:rFonts w:hint="eastAsia"/>
        </w:rPr>
        <w:t>生产过程潜在危险性识别结果</w:t>
      </w:r>
      <w:bookmarkEnd w:id="571"/>
      <w:bookmarkEnd w:id="572"/>
    </w:p>
    <w:p>
      <w:pPr>
        <w:widowControl/>
        <w:adjustRightInd w:val="0"/>
        <w:snapToGrid w:val="0"/>
        <w:ind w:firstLine="480"/>
        <w:jc w:val="left"/>
        <w:rPr>
          <w:rFonts w:cs="Times New Roman"/>
          <w:kern w:val="0"/>
          <w:szCs w:val="24"/>
        </w:rPr>
      </w:pPr>
      <w:r>
        <w:rPr>
          <w:rFonts w:hint="eastAsia" w:cs="Times New Roman"/>
          <w:kern w:val="0"/>
          <w:szCs w:val="24"/>
        </w:rPr>
        <w:t>项目涉及危险物质主要为废酸、废碱、</w:t>
      </w:r>
      <w:r>
        <w:rPr>
          <w:rFonts w:hint="eastAsia" w:cs="Times New Roman" w:hAnsiTheme="minorEastAsia"/>
          <w:kern w:val="0"/>
          <w:szCs w:val="20"/>
        </w:rPr>
        <w:t>废乳化液、焚烧废液</w:t>
      </w:r>
      <w:r>
        <w:rPr>
          <w:rFonts w:hint="eastAsia" w:cs="Times New Roman"/>
          <w:szCs w:val="24"/>
        </w:rPr>
        <w:t>等</w:t>
      </w:r>
      <w:r>
        <w:rPr>
          <w:rFonts w:hint="eastAsia" w:cs="Times New Roman"/>
          <w:kern w:val="0"/>
          <w:szCs w:val="24"/>
        </w:rPr>
        <w:t>。但是考虑到废酸、废碱量较大</w:t>
      </w:r>
      <w:r>
        <w:rPr>
          <w:rFonts w:cs="Times New Roman"/>
          <w:kern w:val="0"/>
          <w:szCs w:val="24"/>
        </w:rPr>
        <w:t>(Q</w:t>
      </w:r>
      <w:r>
        <w:rPr>
          <w:rFonts w:hint="eastAsia" w:cs="Times New Roman"/>
          <w:kern w:val="0"/>
          <w:szCs w:val="24"/>
        </w:rPr>
        <w:t>值6.4</w:t>
      </w:r>
      <w:r>
        <w:rPr>
          <w:rFonts w:cs="Times New Roman"/>
          <w:kern w:val="0"/>
          <w:szCs w:val="24"/>
        </w:rPr>
        <w:t>)</w:t>
      </w:r>
      <w:r>
        <w:rPr>
          <w:rFonts w:hint="eastAsia" w:cs="Times New Roman"/>
          <w:kern w:val="0"/>
          <w:szCs w:val="24"/>
        </w:rPr>
        <w:t>，易挥发、有毒性；</w:t>
      </w:r>
      <w:r>
        <w:rPr>
          <w:rFonts w:hint="eastAsia" w:cs="Times New Roman" w:hAnsiTheme="minorEastAsia"/>
          <w:kern w:val="0"/>
          <w:szCs w:val="20"/>
        </w:rPr>
        <w:t>废乳化液、焚烧废液</w:t>
      </w:r>
      <w:r>
        <w:rPr>
          <w:rFonts w:cs="Times New Roman"/>
          <w:kern w:val="0"/>
          <w:szCs w:val="24"/>
        </w:rPr>
        <w:t>(Q</w:t>
      </w:r>
      <w:r>
        <w:rPr>
          <w:rFonts w:hint="eastAsia" w:cs="Times New Roman"/>
          <w:kern w:val="0"/>
          <w:szCs w:val="24"/>
        </w:rPr>
        <w:t>值0.16和0.96</w:t>
      </w:r>
      <w:r>
        <w:rPr>
          <w:rFonts w:cs="Times New Roman"/>
          <w:kern w:val="0"/>
          <w:szCs w:val="24"/>
        </w:rPr>
        <w:t>)</w:t>
      </w:r>
      <w:r>
        <w:rPr>
          <w:rFonts w:hint="eastAsia" w:cs="Times New Roman"/>
          <w:kern w:val="0"/>
          <w:szCs w:val="24"/>
        </w:rPr>
        <w:t>、易挥发、易燃烧；柴油（</w:t>
      </w:r>
      <w:r>
        <w:rPr>
          <w:rFonts w:cs="Times New Roman"/>
          <w:kern w:val="0"/>
          <w:szCs w:val="24"/>
        </w:rPr>
        <w:t>Q</w:t>
      </w:r>
      <w:r>
        <w:rPr>
          <w:rFonts w:hint="eastAsia" w:cs="Times New Roman"/>
          <w:kern w:val="0"/>
          <w:szCs w:val="24"/>
        </w:rPr>
        <w:t>值0.006）易燃等特点，且项目运营后罐区采取安全防范措施后，不会存在明火或温度较高的热源等问题，因此项目重点对废酸、废碱、</w:t>
      </w:r>
      <w:r>
        <w:rPr>
          <w:rFonts w:hint="eastAsia" w:cs="Times New Roman" w:hAnsiTheme="minorEastAsia"/>
          <w:kern w:val="0"/>
          <w:szCs w:val="20"/>
        </w:rPr>
        <w:t>废乳化液、焚烧废液、</w:t>
      </w:r>
      <w:r>
        <w:rPr>
          <w:rFonts w:hint="eastAsia" w:cs="Times New Roman"/>
          <w:kern w:val="0"/>
          <w:szCs w:val="24"/>
        </w:rPr>
        <w:t>柴油</w:t>
      </w:r>
      <w:r>
        <w:rPr>
          <w:rFonts w:hint="eastAsia" w:cs="Times New Roman"/>
          <w:szCs w:val="24"/>
        </w:rPr>
        <w:t>的泄漏</w:t>
      </w:r>
      <w:r>
        <w:rPr>
          <w:rFonts w:hint="eastAsia" w:cs="Times New Roman"/>
          <w:kern w:val="0"/>
          <w:szCs w:val="24"/>
        </w:rPr>
        <w:t>进行分析。</w:t>
      </w:r>
    </w:p>
    <w:p>
      <w:pPr>
        <w:pStyle w:val="739"/>
        <w:ind w:firstLine="480"/>
        <w:rPr>
          <w:kern w:val="0"/>
        </w:rPr>
      </w:pPr>
      <w:r>
        <w:rPr>
          <w:rFonts w:hint="eastAsia"/>
          <w:kern w:val="0"/>
        </w:rPr>
        <w:t>项目风险识别结果见下表，危险单元分布见表</w:t>
      </w:r>
      <w:r>
        <w:rPr>
          <w:kern w:val="0"/>
        </w:rPr>
        <w:t>8.4</w:t>
      </w:r>
      <w:r>
        <w:rPr>
          <w:rFonts w:hint="eastAsia"/>
          <w:kern w:val="0"/>
        </w:rPr>
        <w:t>—</w:t>
      </w:r>
      <w:r>
        <w:rPr>
          <w:kern w:val="0"/>
        </w:rPr>
        <w:t>2</w:t>
      </w:r>
      <w:r>
        <w:rPr>
          <w:rFonts w:hint="eastAsia"/>
          <w:kern w:val="0"/>
        </w:rPr>
        <w:t>和图</w:t>
      </w:r>
      <w:r>
        <w:rPr>
          <w:kern w:val="0"/>
        </w:rPr>
        <w:t>8.4</w:t>
      </w:r>
      <w:r>
        <w:rPr>
          <w:rFonts w:hint="eastAsia"/>
          <w:kern w:val="0"/>
        </w:rPr>
        <w:t>—</w:t>
      </w:r>
      <w:r>
        <w:rPr>
          <w:kern w:val="0"/>
        </w:rPr>
        <w:t>1</w:t>
      </w:r>
      <w:r>
        <w:rPr>
          <w:rFonts w:hint="eastAsia"/>
          <w:kern w:val="0"/>
        </w:rPr>
        <w:t>。</w:t>
      </w:r>
    </w:p>
    <w:p>
      <w:pPr>
        <w:pStyle w:val="739"/>
        <w:ind w:firstLine="480"/>
        <w:rPr>
          <w:kern w:val="0"/>
        </w:rPr>
      </w:pPr>
      <w:r>
        <w:rPr>
          <w:rFonts w:hint="eastAsia" w:hAnsiTheme="minorEastAsia"/>
          <w:kern w:val="0"/>
        </w:rPr>
        <w:t>表</w:t>
      </w:r>
      <w:r>
        <w:rPr>
          <w:kern w:val="0"/>
        </w:rPr>
        <w:t>8.4</w:t>
      </w:r>
      <w:r>
        <w:rPr>
          <w:rFonts w:hint="eastAsia"/>
          <w:kern w:val="0"/>
        </w:rPr>
        <w:t>—</w:t>
      </w:r>
      <w:r>
        <w:rPr>
          <w:kern w:val="0"/>
        </w:rPr>
        <w:t xml:space="preserve">2      </w:t>
      </w:r>
      <w:r>
        <w:rPr>
          <w:rFonts w:hint="eastAsia" w:hAnsiTheme="minorEastAsia"/>
          <w:kern w:val="0"/>
        </w:rPr>
        <w:t>建设项目环境风险识别表</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19"/>
        <w:gridCol w:w="988"/>
        <w:gridCol w:w="1470"/>
        <w:gridCol w:w="1636"/>
        <w:gridCol w:w="1474"/>
        <w:gridCol w:w="1147"/>
        <w:gridCol w:w="252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8" w:hRule="atLeast"/>
          <w:jc w:val="center"/>
        </w:trPr>
        <w:tc>
          <w:tcPr>
            <w:tcW w:w="619" w:type="dxa"/>
            <w:tcBorders>
              <w:top w:val="single" w:color="auto" w:sz="12" w:space="0"/>
              <w:left w:val="nil"/>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序号</w:t>
            </w:r>
          </w:p>
        </w:tc>
        <w:tc>
          <w:tcPr>
            <w:tcW w:w="988" w:type="dxa"/>
            <w:tcBorders>
              <w:top w:val="single" w:color="auto" w:sz="12" w:space="0"/>
              <w:left w:val="dotted" w:color="auto" w:sz="4" w:space="0"/>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危险</w:t>
            </w:r>
          </w:p>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单元</w:t>
            </w:r>
          </w:p>
        </w:tc>
        <w:tc>
          <w:tcPr>
            <w:tcW w:w="1470" w:type="dxa"/>
            <w:tcBorders>
              <w:top w:val="single" w:color="auto" w:sz="12" w:space="0"/>
              <w:left w:val="dotted" w:color="auto" w:sz="4" w:space="0"/>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风险源</w:t>
            </w:r>
          </w:p>
        </w:tc>
        <w:tc>
          <w:tcPr>
            <w:tcW w:w="1636" w:type="dxa"/>
            <w:tcBorders>
              <w:top w:val="single" w:color="auto" w:sz="12" w:space="0"/>
              <w:left w:val="dotted" w:color="auto" w:sz="4" w:space="0"/>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存在危险</w:t>
            </w:r>
          </w:p>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物质</w:t>
            </w:r>
          </w:p>
        </w:tc>
        <w:tc>
          <w:tcPr>
            <w:tcW w:w="1474" w:type="dxa"/>
            <w:tcBorders>
              <w:top w:val="single" w:color="auto" w:sz="12" w:space="0"/>
              <w:left w:val="dotted" w:color="auto" w:sz="4" w:space="0"/>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环境风险</w:t>
            </w:r>
          </w:p>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类型</w:t>
            </w:r>
          </w:p>
        </w:tc>
        <w:tc>
          <w:tcPr>
            <w:tcW w:w="1147" w:type="dxa"/>
            <w:tcBorders>
              <w:top w:val="single" w:color="auto" w:sz="12" w:space="0"/>
              <w:left w:val="dotted" w:color="auto" w:sz="4" w:space="0"/>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环境影响途径</w:t>
            </w:r>
          </w:p>
        </w:tc>
        <w:tc>
          <w:tcPr>
            <w:tcW w:w="2520" w:type="dxa"/>
            <w:tcBorders>
              <w:top w:val="single" w:color="auto" w:sz="12" w:space="0"/>
              <w:left w:val="dotted" w:color="auto" w:sz="4" w:space="0"/>
              <w:bottom w:val="single" w:color="auto" w:sz="12" w:space="0"/>
              <w:right w:val="nil"/>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可能受影响的</w:t>
            </w:r>
          </w:p>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环境敏感目标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99" w:hRule="atLeast"/>
          <w:jc w:val="center"/>
        </w:trPr>
        <w:tc>
          <w:tcPr>
            <w:tcW w:w="619" w:type="dxa"/>
            <w:tcBorders>
              <w:top w:val="single" w:color="auto" w:sz="12" w:space="0"/>
              <w:left w:val="nil"/>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color w:val="000000"/>
                <w:kern w:val="0"/>
                <w:sz w:val="21"/>
              </w:rPr>
              <w:t>1</w:t>
            </w:r>
          </w:p>
        </w:tc>
        <w:tc>
          <w:tcPr>
            <w:tcW w:w="988" w:type="dxa"/>
            <w:tcBorders>
              <w:top w:val="single" w:color="auto" w:sz="12"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罐区</w:t>
            </w:r>
          </w:p>
        </w:tc>
        <w:tc>
          <w:tcPr>
            <w:tcW w:w="1470" w:type="dxa"/>
            <w:tcBorders>
              <w:top w:val="single" w:color="auto" w:sz="12"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sz w:val="21"/>
              </w:rPr>
            </w:pPr>
            <w:r>
              <w:rPr>
                <w:rFonts w:hint="eastAsia" w:eastAsiaTheme="minorEastAsia"/>
                <w:sz w:val="21"/>
              </w:rPr>
              <w:t>废酸罐</w:t>
            </w:r>
          </w:p>
        </w:tc>
        <w:tc>
          <w:tcPr>
            <w:tcW w:w="1636" w:type="dxa"/>
            <w:tcBorders>
              <w:top w:val="single" w:color="auto" w:sz="12" w:space="0"/>
              <w:left w:val="dotted" w:color="auto" w:sz="4" w:space="0"/>
              <w:bottom w:val="dotted" w:color="auto" w:sz="4" w:space="0"/>
              <w:right w:val="dotted" w:color="auto" w:sz="4" w:space="0"/>
            </w:tcBorders>
            <w:noWrap/>
            <w:vAlign w:val="center"/>
          </w:tcPr>
          <w:p>
            <w:pPr>
              <w:pStyle w:val="34"/>
              <w:topLinePunct/>
              <w:spacing w:after="0" w:line="240" w:lineRule="atLeast"/>
              <w:ind w:firstLine="0" w:firstLineChars="0"/>
              <w:jc w:val="center"/>
              <w:rPr>
                <w:sz w:val="21"/>
              </w:rPr>
            </w:pPr>
            <w:r>
              <w:rPr>
                <w:rFonts w:hint="eastAsia"/>
                <w:sz w:val="21"/>
              </w:rPr>
              <w:t>废酸</w:t>
            </w:r>
          </w:p>
        </w:tc>
        <w:tc>
          <w:tcPr>
            <w:tcW w:w="1474" w:type="dxa"/>
            <w:tcBorders>
              <w:top w:val="single" w:color="auto" w:sz="12" w:space="0"/>
              <w:left w:val="dotted" w:color="auto" w:sz="4" w:space="0"/>
              <w:bottom w:val="dotted" w:color="auto" w:sz="4" w:space="0"/>
              <w:right w:val="dotted" w:color="auto" w:sz="4" w:space="0"/>
            </w:tcBorders>
            <w:noWrap/>
            <w:vAlign w:val="center"/>
          </w:tcPr>
          <w:p>
            <w:pPr>
              <w:pStyle w:val="34"/>
              <w:topLinePunct/>
              <w:spacing w:after="0" w:line="240" w:lineRule="atLeast"/>
              <w:ind w:firstLine="0" w:firstLineChars="0"/>
              <w:jc w:val="center"/>
              <w:rPr>
                <w:sz w:val="21"/>
              </w:rPr>
            </w:pPr>
            <w:r>
              <w:rPr>
                <w:rFonts w:hint="eastAsia"/>
                <w:sz w:val="21"/>
              </w:rPr>
              <w:t>毒性</w:t>
            </w:r>
            <w:r>
              <w:rPr>
                <w:sz w:val="21"/>
              </w:rPr>
              <w:t>/</w:t>
            </w:r>
            <w:r>
              <w:rPr>
                <w:rFonts w:hint="eastAsia"/>
                <w:sz w:val="21"/>
              </w:rPr>
              <w:t>反应性</w:t>
            </w:r>
          </w:p>
        </w:tc>
        <w:tc>
          <w:tcPr>
            <w:tcW w:w="1147" w:type="dxa"/>
            <w:tcBorders>
              <w:top w:val="single" w:color="auto" w:sz="12"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大气</w:t>
            </w:r>
          </w:p>
        </w:tc>
        <w:tc>
          <w:tcPr>
            <w:tcW w:w="2520" w:type="dxa"/>
            <w:tcBorders>
              <w:top w:val="single" w:color="auto" w:sz="12" w:space="0"/>
              <w:left w:val="dotted" w:color="auto" w:sz="4" w:space="0"/>
              <w:bottom w:val="dotted" w:color="auto" w:sz="4" w:space="0"/>
              <w:right w:val="nil"/>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周围企业办公生活区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1" w:hRule="atLeast"/>
          <w:jc w:val="center"/>
        </w:trPr>
        <w:tc>
          <w:tcPr>
            <w:tcW w:w="619" w:type="dxa"/>
            <w:tcBorders>
              <w:top w:val="dotted" w:color="auto" w:sz="4" w:space="0"/>
              <w:left w:val="nil"/>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2</w:t>
            </w:r>
          </w:p>
        </w:tc>
        <w:tc>
          <w:tcPr>
            <w:tcW w:w="988" w:type="dxa"/>
            <w:tcBorders>
              <w:top w:val="dotted" w:color="auto" w:sz="4"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罐区</w:t>
            </w:r>
          </w:p>
        </w:tc>
        <w:tc>
          <w:tcPr>
            <w:tcW w:w="1470" w:type="dxa"/>
            <w:tcBorders>
              <w:top w:val="dotted" w:color="auto" w:sz="4"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sz w:val="21"/>
              </w:rPr>
            </w:pPr>
            <w:r>
              <w:rPr>
                <w:rFonts w:hint="eastAsia" w:eastAsiaTheme="minorEastAsia"/>
                <w:sz w:val="21"/>
              </w:rPr>
              <w:t>废碱罐</w:t>
            </w:r>
          </w:p>
        </w:tc>
        <w:tc>
          <w:tcPr>
            <w:tcW w:w="1636" w:type="dxa"/>
            <w:tcBorders>
              <w:top w:val="dotted" w:color="auto" w:sz="4" w:space="0"/>
              <w:left w:val="dotted" w:color="auto" w:sz="4" w:space="0"/>
              <w:bottom w:val="dotted" w:color="auto" w:sz="4" w:space="0"/>
              <w:right w:val="dotted" w:color="auto" w:sz="4" w:space="0"/>
            </w:tcBorders>
            <w:noWrap/>
            <w:vAlign w:val="center"/>
          </w:tcPr>
          <w:p>
            <w:pPr>
              <w:pStyle w:val="34"/>
              <w:topLinePunct/>
              <w:spacing w:after="0" w:line="240" w:lineRule="atLeast"/>
              <w:ind w:firstLine="0" w:firstLineChars="0"/>
              <w:jc w:val="center"/>
              <w:rPr>
                <w:sz w:val="21"/>
              </w:rPr>
            </w:pPr>
            <w:r>
              <w:rPr>
                <w:rFonts w:hint="eastAsia"/>
                <w:sz w:val="21"/>
              </w:rPr>
              <w:t>废碱</w:t>
            </w:r>
          </w:p>
        </w:tc>
        <w:tc>
          <w:tcPr>
            <w:tcW w:w="1474" w:type="dxa"/>
            <w:tcBorders>
              <w:top w:val="dotted" w:color="auto" w:sz="4" w:space="0"/>
              <w:left w:val="dotted" w:color="auto" w:sz="4" w:space="0"/>
              <w:bottom w:val="dotted" w:color="auto" w:sz="4" w:space="0"/>
              <w:right w:val="dotted" w:color="auto" w:sz="4" w:space="0"/>
            </w:tcBorders>
            <w:noWrap/>
            <w:vAlign w:val="center"/>
          </w:tcPr>
          <w:p>
            <w:pPr>
              <w:pStyle w:val="34"/>
              <w:topLinePunct/>
              <w:spacing w:after="0" w:line="240" w:lineRule="atLeast"/>
              <w:ind w:firstLine="0" w:firstLineChars="0"/>
              <w:jc w:val="center"/>
              <w:rPr>
                <w:sz w:val="21"/>
              </w:rPr>
            </w:pPr>
            <w:r>
              <w:rPr>
                <w:rFonts w:hint="eastAsia"/>
                <w:sz w:val="21"/>
              </w:rPr>
              <w:t>毒性</w:t>
            </w:r>
            <w:r>
              <w:rPr>
                <w:sz w:val="21"/>
              </w:rPr>
              <w:t>/</w:t>
            </w:r>
            <w:r>
              <w:rPr>
                <w:rFonts w:hint="eastAsia"/>
                <w:sz w:val="21"/>
              </w:rPr>
              <w:t>反应性</w:t>
            </w:r>
          </w:p>
        </w:tc>
        <w:tc>
          <w:tcPr>
            <w:tcW w:w="1147" w:type="dxa"/>
            <w:tcBorders>
              <w:top w:val="dotted" w:color="auto" w:sz="4"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大气</w:t>
            </w:r>
          </w:p>
        </w:tc>
        <w:tc>
          <w:tcPr>
            <w:tcW w:w="2520" w:type="dxa"/>
            <w:tcBorders>
              <w:top w:val="dotted" w:color="auto" w:sz="4" w:space="0"/>
              <w:left w:val="dotted" w:color="auto" w:sz="4" w:space="0"/>
              <w:bottom w:val="dotted" w:color="auto" w:sz="4" w:space="0"/>
              <w:right w:val="nil"/>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周围企业办公生活区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1" w:hRule="atLeast"/>
          <w:jc w:val="center"/>
        </w:trPr>
        <w:tc>
          <w:tcPr>
            <w:tcW w:w="619" w:type="dxa"/>
            <w:tcBorders>
              <w:top w:val="dotted" w:color="auto" w:sz="4" w:space="0"/>
              <w:left w:val="nil"/>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color w:val="000000"/>
                <w:kern w:val="0"/>
                <w:sz w:val="21"/>
              </w:rPr>
              <w:t>3</w:t>
            </w:r>
          </w:p>
        </w:tc>
        <w:tc>
          <w:tcPr>
            <w:tcW w:w="988" w:type="dxa"/>
            <w:tcBorders>
              <w:top w:val="dotted" w:color="auto" w:sz="4"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罐区</w:t>
            </w:r>
          </w:p>
        </w:tc>
        <w:tc>
          <w:tcPr>
            <w:tcW w:w="1470" w:type="dxa"/>
            <w:tcBorders>
              <w:top w:val="dotted" w:color="auto" w:sz="4"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sz w:val="21"/>
              </w:rPr>
            </w:pPr>
            <w:r>
              <w:rPr>
                <w:rFonts w:hint="eastAsia" w:eastAsiaTheme="minorEastAsia"/>
                <w:sz w:val="21"/>
              </w:rPr>
              <w:t>废乳化液罐</w:t>
            </w:r>
          </w:p>
        </w:tc>
        <w:tc>
          <w:tcPr>
            <w:tcW w:w="1636" w:type="dxa"/>
            <w:tcBorders>
              <w:top w:val="dotted" w:color="auto" w:sz="4" w:space="0"/>
              <w:left w:val="dotted" w:color="auto" w:sz="4" w:space="0"/>
              <w:bottom w:val="dotted" w:color="auto" w:sz="4" w:space="0"/>
              <w:right w:val="dotted" w:color="auto" w:sz="4" w:space="0"/>
            </w:tcBorders>
            <w:noWrap/>
            <w:vAlign w:val="center"/>
          </w:tcPr>
          <w:p>
            <w:pPr>
              <w:pStyle w:val="34"/>
              <w:topLinePunct/>
              <w:spacing w:after="0" w:line="240" w:lineRule="atLeast"/>
              <w:ind w:firstLine="0" w:firstLineChars="0"/>
              <w:jc w:val="center"/>
              <w:rPr>
                <w:sz w:val="21"/>
              </w:rPr>
            </w:pPr>
            <w:r>
              <w:rPr>
                <w:rFonts w:hint="eastAsia"/>
                <w:sz w:val="21"/>
              </w:rPr>
              <w:t>废乳化液</w:t>
            </w:r>
          </w:p>
        </w:tc>
        <w:tc>
          <w:tcPr>
            <w:tcW w:w="1474" w:type="dxa"/>
            <w:tcBorders>
              <w:top w:val="dotted" w:color="auto" w:sz="4" w:space="0"/>
              <w:left w:val="dotted" w:color="auto" w:sz="4" w:space="0"/>
              <w:bottom w:val="dotted" w:color="auto" w:sz="4" w:space="0"/>
              <w:right w:val="dotted" w:color="auto" w:sz="4" w:space="0"/>
            </w:tcBorders>
            <w:noWrap/>
            <w:vAlign w:val="center"/>
          </w:tcPr>
          <w:p>
            <w:pPr>
              <w:pStyle w:val="34"/>
              <w:topLinePunct/>
              <w:spacing w:after="0" w:line="240" w:lineRule="atLeast"/>
              <w:ind w:firstLine="0" w:firstLineChars="0"/>
              <w:jc w:val="center"/>
              <w:rPr>
                <w:sz w:val="21"/>
              </w:rPr>
            </w:pPr>
            <w:r>
              <w:rPr>
                <w:rFonts w:hint="eastAsia"/>
                <w:sz w:val="21"/>
              </w:rPr>
              <w:t>毒性</w:t>
            </w:r>
            <w:r>
              <w:rPr>
                <w:sz w:val="21"/>
              </w:rPr>
              <w:t>/</w:t>
            </w:r>
            <w:r>
              <w:rPr>
                <w:rFonts w:hint="eastAsia"/>
                <w:sz w:val="21"/>
              </w:rPr>
              <w:t>易燃性</w:t>
            </w:r>
          </w:p>
        </w:tc>
        <w:tc>
          <w:tcPr>
            <w:tcW w:w="1147" w:type="dxa"/>
            <w:tcBorders>
              <w:top w:val="dotted" w:color="auto" w:sz="4"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大气</w:t>
            </w:r>
          </w:p>
        </w:tc>
        <w:tc>
          <w:tcPr>
            <w:tcW w:w="2520" w:type="dxa"/>
            <w:tcBorders>
              <w:top w:val="dotted" w:color="auto" w:sz="4" w:space="0"/>
              <w:left w:val="dotted" w:color="auto" w:sz="4" w:space="0"/>
              <w:bottom w:val="dotted" w:color="auto" w:sz="4" w:space="0"/>
              <w:right w:val="nil"/>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周围企业办公生活区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1" w:hRule="atLeast"/>
          <w:jc w:val="center"/>
        </w:trPr>
        <w:tc>
          <w:tcPr>
            <w:tcW w:w="619" w:type="dxa"/>
            <w:tcBorders>
              <w:top w:val="dotted" w:color="auto" w:sz="4" w:space="0"/>
              <w:left w:val="nil"/>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color w:val="000000"/>
                <w:kern w:val="0"/>
                <w:sz w:val="21"/>
              </w:rPr>
            </w:pPr>
            <w:r>
              <w:rPr>
                <w:rFonts w:hint="eastAsia"/>
                <w:color w:val="000000"/>
                <w:kern w:val="0"/>
                <w:sz w:val="21"/>
              </w:rPr>
              <w:t>4</w:t>
            </w:r>
          </w:p>
        </w:tc>
        <w:tc>
          <w:tcPr>
            <w:tcW w:w="988" w:type="dxa"/>
            <w:tcBorders>
              <w:top w:val="dotted" w:color="auto" w:sz="4"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罐区</w:t>
            </w:r>
          </w:p>
        </w:tc>
        <w:tc>
          <w:tcPr>
            <w:tcW w:w="1470" w:type="dxa"/>
            <w:tcBorders>
              <w:top w:val="dotted" w:color="auto" w:sz="4"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sz w:val="21"/>
              </w:rPr>
            </w:pPr>
            <w:r>
              <w:rPr>
                <w:rFonts w:hint="eastAsia" w:eastAsiaTheme="minorEastAsia"/>
                <w:sz w:val="21"/>
              </w:rPr>
              <w:t>可燃废液罐</w:t>
            </w:r>
          </w:p>
        </w:tc>
        <w:tc>
          <w:tcPr>
            <w:tcW w:w="1636" w:type="dxa"/>
            <w:tcBorders>
              <w:top w:val="dotted" w:color="auto" w:sz="4" w:space="0"/>
              <w:left w:val="dotted" w:color="auto" w:sz="4" w:space="0"/>
              <w:bottom w:val="dotted" w:color="auto" w:sz="4" w:space="0"/>
              <w:right w:val="dotted" w:color="auto" w:sz="4" w:space="0"/>
            </w:tcBorders>
            <w:noWrap/>
            <w:vAlign w:val="center"/>
          </w:tcPr>
          <w:p>
            <w:pPr>
              <w:pStyle w:val="34"/>
              <w:topLinePunct/>
              <w:spacing w:after="0" w:line="240" w:lineRule="atLeast"/>
              <w:ind w:firstLine="0" w:firstLineChars="0"/>
              <w:jc w:val="center"/>
              <w:rPr>
                <w:sz w:val="21"/>
              </w:rPr>
            </w:pPr>
            <w:r>
              <w:rPr>
                <w:rFonts w:hint="eastAsia"/>
                <w:sz w:val="21"/>
              </w:rPr>
              <w:t>可燃废液</w:t>
            </w:r>
          </w:p>
        </w:tc>
        <w:tc>
          <w:tcPr>
            <w:tcW w:w="1474" w:type="dxa"/>
            <w:tcBorders>
              <w:top w:val="dotted" w:color="auto" w:sz="4" w:space="0"/>
              <w:left w:val="dotted" w:color="auto" w:sz="4" w:space="0"/>
              <w:bottom w:val="dotted" w:color="auto" w:sz="4" w:space="0"/>
              <w:right w:val="dotted" w:color="auto" w:sz="4" w:space="0"/>
            </w:tcBorders>
            <w:noWrap/>
            <w:vAlign w:val="center"/>
          </w:tcPr>
          <w:p>
            <w:pPr>
              <w:pStyle w:val="34"/>
              <w:topLinePunct/>
              <w:spacing w:after="0" w:line="240" w:lineRule="atLeast"/>
              <w:ind w:firstLine="0" w:firstLineChars="0"/>
              <w:jc w:val="center"/>
              <w:rPr>
                <w:sz w:val="21"/>
              </w:rPr>
            </w:pPr>
            <w:r>
              <w:rPr>
                <w:rFonts w:hint="eastAsia"/>
                <w:sz w:val="21"/>
              </w:rPr>
              <w:t>毒性</w:t>
            </w:r>
            <w:r>
              <w:rPr>
                <w:sz w:val="21"/>
              </w:rPr>
              <w:t>/</w:t>
            </w:r>
            <w:r>
              <w:rPr>
                <w:rFonts w:hint="eastAsia"/>
                <w:sz w:val="21"/>
              </w:rPr>
              <w:t>易燃性</w:t>
            </w:r>
          </w:p>
        </w:tc>
        <w:tc>
          <w:tcPr>
            <w:tcW w:w="1147" w:type="dxa"/>
            <w:tcBorders>
              <w:top w:val="dotted" w:color="auto" w:sz="4" w:space="0"/>
              <w:left w:val="dotted" w:color="auto" w:sz="4" w:space="0"/>
              <w:bottom w:val="dotted" w:color="auto" w:sz="4"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大气</w:t>
            </w:r>
          </w:p>
        </w:tc>
        <w:tc>
          <w:tcPr>
            <w:tcW w:w="2520" w:type="dxa"/>
            <w:tcBorders>
              <w:top w:val="dotted" w:color="auto" w:sz="4" w:space="0"/>
              <w:left w:val="dotted" w:color="auto" w:sz="4" w:space="0"/>
              <w:bottom w:val="dotted" w:color="auto" w:sz="4" w:space="0"/>
              <w:right w:val="nil"/>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周围企业办公生活区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4" w:hRule="atLeast"/>
          <w:jc w:val="center"/>
        </w:trPr>
        <w:tc>
          <w:tcPr>
            <w:tcW w:w="619" w:type="dxa"/>
            <w:tcBorders>
              <w:top w:val="dotted" w:color="auto" w:sz="4" w:space="0"/>
              <w:left w:val="nil"/>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eastAsiaTheme="minorEastAsia"/>
                <w:color w:val="000000"/>
                <w:kern w:val="0"/>
                <w:sz w:val="21"/>
              </w:rPr>
              <w:t>5</w:t>
            </w:r>
          </w:p>
        </w:tc>
        <w:tc>
          <w:tcPr>
            <w:tcW w:w="988" w:type="dxa"/>
            <w:tcBorders>
              <w:top w:val="dotted" w:color="auto" w:sz="4" w:space="0"/>
              <w:left w:val="dotted" w:color="auto" w:sz="4" w:space="0"/>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罐区</w:t>
            </w:r>
          </w:p>
        </w:tc>
        <w:tc>
          <w:tcPr>
            <w:tcW w:w="1470" w:type="dxa"/>
            <w:tcBorders>
              <w:top w:val="dotted" w:color="auto" w:sz="4" w:space="0"/>
              <w:left w:val="dotted" w:color="auto" w:sz="4" w:space="0"/>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sz w:val="21"/>
              </w:rPr>
            </w:pPr>
            <w:r>
              <w:rPr>
                <w:rFonts w:hint="eastAsia" w:eastAsiaTheme="minorEastAsia"/>
                <w:sz w:val="21"/>
              </w:rPr>
              <w:t>柴油罐</w:t>
            </w:r>
          </w:p>
        </w:tc>
        <w:tc>
          <w:tcPr>
            <w:tcW w:w="1636" w:type="dxa"/>
            <w:tcBorders>
              <w:top w:val="dotted" w:color="auto" w:sz="4" w:space="0"/>
              <w:left w:val="dotted" w:color="auto" w:sz="4" w:space="0"/>
              <w:bottom w:val="single" w:color="auto" w:sz="12" w:space="0"/>
              <w:right w:val="dotted" w:color="auto" w:sz="4" w:space="0"/>
            </w:tcBorders>
            <w:noWrap/>
            <w:vAlign w:val="center"/>
          </w:tcPr>
          <w:p>
            <w:pPr>
              <w:spacing w:line="240" w:lineRule="atLeast"/>
              <w:ind w:firstLine="0" w:firstLineChars="0"/>
              <w:jc w:val="center"/>
              <w:rPr>
                <w:sz w:val="21"/>
              </w:rPr>
            </w:pPr>
            <w:r>
              <w:rPr>
                <w:rFonts w:hint="eastAsia"/>
                <w:sz w:val="21"/>
              </w:rPr>
              <w:t>柴油</w:t>
            </w:r>
          </w:p>
        </w:tc>
        <w:tc>
          <w:tcPr>
            <w:tcW w:w="1474" w:type="dxa"/>
            <w:tcBorders>
              <w:top w:val="dotted" w:color="auto" w:sz="4" w:space="0"/>
              <w:left w:val="dotted" w:color="auto" w:sz="4" w:space="0"/>
              <w:bottom w:val="single" w:color="auto" w:sz="12" w:space="0"/>
              <w:right w:val="dotted" w:color="auto" w:sz="4" w:space="0"/>
            </w:tcBorders>
            <w:noWrap/>
            <w:vAlign w:val="center"/>
          </w:tcPr>
          <w:p>
            <w:pPr>
              <w:spacing w:line="240" w:lineRule="atLeast"/>
              <w:ind w:firstLine="0" w:firstLineChars="0"/>
              <w:jc w:val="center"/>
              <w:rPr>
                <w:sz w:val="21"/>
              </w:rPr>
            </w:pPr>
            <w:r>
              <w:rPr>
                <w:rFonts w:hint="eastAsia"/>
                <w:sz w:val="21"/>
              </w:rPr>
              <w:t>易燃</w:t>
            </w:r>
          </w:p>
        </w:tc>
        <w:tc>
          <w:tcPr>
            <w:tcW w:w="1147" w:type="dxa"/>
            <w:tcBorders>
              <w:top w:val="dotted" w:color="auto" w:sz="4" w:space="0"/>
              <w:left w:val="dotted" w:color="auto" w:sz="4" w:space="0"/>
              <w:bottom w:val="single" w:color="auto" w:sz="12" w:space="0"/>
              <w:right w:val="dotted" w:color="auto" w:sz="4" w:space="0"/>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大气</w:t>
            </w:r>
          </w:p>
        </w:tc>
        <w:tc>
          <w:tcPr>
            <w:tcW w:w="2520" w:type="dxa"/>
            <w:tcBorders>
              <w:top w:val="dotted" w:color="auto" w:sz="4" w:space="0"/>
              <w:left w:val="dotted" w:color="auto" w:sz="4" w:space="0"/>
              <w:bottom w:val="single" w:color="auto" w:sz="12" w:space="0"/>
              <w:right w:val="nil"/>
            </w:tcBorders>
            <w:noWrap/>
            <w:vAlign w:val="center"/>
          </w:tcPr>
          <w:p>
            <w:pPr>
              <w:widowControl/>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周围企业办公生活区</w:t>
            </w:r>
          </w:p>
        </w:tc>
      </w:tr>
    </w:tbl>
    <w:p>
      <w:pPr>
        <w:adjustRightInd w:val="0"/>
        <w:snapToGrid w:val="0"/>
        <w:ind w:firstLine="420"/>
        <w:jc w:val="center"/>
        <w:rPr>
          <w:rFonts w:asciiTheme="minorHAnsi" w:hAnsiTheme="minorHAnsi" w:eastAsiaTheme="minorEastAsia"/>
          <w:sz w:val="21"/>
        </w:rPr>
      </w:pPr>
    </w:p>
    <w:p>
      <w:pPr>
        <w:adjustRightInd w:val="0"/>
        <w:snapToGrid w:val="0"/>
        <w:ind w:firstLine="420"/>
        <w:jc w:val="center"/>
        <w:rPr>
          <w:rFonts w:asciiTheme="minorHAnsi" w:hAnsiTheme="minorHAnsi" w:eastAsiaTheme="minorEastAsia"/>
          <w:sz w:val="21"/>
        </w:rPr>
      </w:pPr>
    </w:p>
    <w:p>
      <w:pPr>
        <w:adjustRightInd w:val="0"/>
        <w:snapToGrid w:val="0"/>
        <w:ind w:firstLine="420"/>
        <w:jc w:val="left"/>
        <w:rPr>
          <w:rFonts w:asciiTheme="minorHAnsi" w:hAnsiTheme="minorHAnsi" w:eastAsiaTheme="minorEastAsia"/>
          <w:sz w:val="21"/>
        </w:rPr>
      </w:pPr>
    </w:p>
    <w:p>
      <w:pPr>
        <w:adjustRightInd w:val="0"/>
        <w:snapToGrid w:val="0"/>
        <w:ind w:firstLine="420"/>
        <w:jc w:val="left"/>
        <w:rPr>
          <w:rFonts w:asciiTheme="minorHAnsi" w:hAnsiTheme="minorHAnsi" w:eastAsiaTheme="minorEastAsia"/>
          <w:sz w:val="21"/>
        </w:rPr>
      </w:pPr>
    </w:p>
    <w:p>
      <w:pPr>
        <w:adjustRightInd w:val="0"/>
        <w:snapToGrid w:val="0"/>
        <w:ind w:firstLine="420"/>
        <w:jc w:val="left"/>
        <w:rPr>
          <w:rFonts w:asciiTheme="minorHAnsi" w:hAnsiTheme="minorHAnsi" w:eastAsiaTheme="minorEastAsia"/>
          <w:sz w:val="21"/>
        </w:rPr>
      </w:pPr>
    </w:p>
    <w:p>
      <w:pPr>
        <w:adjustRightInd w:val="0"/>
        <w:snapToGrid w:val="0"/>
        <w:ind w:firstLine="420"/>
        <w:jc w:val="left"/>
        <w:rPr>
          <w:rFonts w:asciiTheme="minorHAnsi" w:hAnsiTheme="minorHAnsi" w:eastAsiaTheme="minorEastAsia"/>
          <w:sz w:val="21"/>
        </w:rPr>
      </w:pPr>
      <w:r>
        <w:rPr>
          <w:rFonts w:hint="eastAsia" w:asciiTheme="minorHAnsi" w:hAnsiTheme="minorHAnsi" w:eastAsiaTheme="minorEastAsia"/>
          <w:sz w:val="21"/>
        </w:rPr>
        <w:drawing>
          <wp:inline distT="0" distB="0" distL="0" distR="0">
            <wp:extent cx="5759450" cy="5313045"/>
            <wp:effectExtent l="19050" t="0" r="0" b="0"/>
            <wp:docPr id="73" name="图片 72" descr="微信图片_2019062723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微信图片_20190627232655.jpg"/>
                    <pic:cNvPicPr>
                      <a:picLocks noChangeAspect="1"/>
                    </pic:cNvPicPr>
                  </pic:nvPicPr>
                  <pic:blipFill>
                    <a:blip r:embed="rId61" cstate="print"/>
                    <a:stretch>
                      <a:fillRect/>
                    </a:stretch>
                  </pic:blipFill>
                  <pic:spPr>
                    <a:xfrm>
                      <a:off x="0" y="0"/>
                      <a:ext cx="5759450" cy="5313045"/>
                    </a:xfrm>
                    <a:prstGeom prst="rect">
                      <a:avLst/>
                    </a:prstGeom>
                  </pic:spPr>
                </pic:pic>
              </a:graphicData>
            </a:graphic>
          </wp:inline>
        </w:drawing>
      </w:r>
      <w:r>
        <w:rPr>
          <w:rFonts w:hint="eastAsia" w:cs="Times New Roman"/>
          <w:szCs w:val="24"/>
        </w:rPr>
        <w:t>图</w:t>
      </w:r>
      <w:r>
        <w:rPr>
          <w:kern w:val="0"/>
        </w:rPr>
        <w:t>8.4</w:t>
      </w:r>
      <w:r>
        <w:rPr>
          <w:rFonts w:hint="eastAsia"/>
          <w:kern w:val="0"/>
        </w:rPr>
        <w:t>—</w:t>
      </w:r>
      <w:r>
        <w:rPr>
          <w:kern w:val="0"/>
        </w:rPr>
        <w:t>1</w:t>
      </w:r>
      <w:r>
        <w:rPr>
          <w:rFonts w:hint="eastAsia" w:cs="Times New Roman"/>
          <w:szCs w:val="24"/>
        </w:rPr>
        <w:t>危险单元分布图</w:t>
      </w:r>
    </w:p>
    <w:p>
      <w:pPr>
        <w:pStyle w:val="4"/>
        <w:rPr>
          <w:rFonts w:asciiTheme="majorHAnsi" w:hAnsiTheme="majorHAnsi" w:cstheme="majorBidi"/>
          <w:sz w:val="28"/>
        </w:rPr>
      </w:pPr>
      <w:bookmarkStart w:id="573" w:name="_Toc13760285"/>
      <w:bookmarkStart w:id="574" w:name="_Toc9403165"/>
      <w:r>
        <w:t>8.5</w:t>
      </w:r>
      <w:r>
        <w:rPr>
          <w:rFonts w:hint="eastAsia"/>
        </w:rPr>
        <w:t>风险事故情形分析</w:t>
      </w:r>
      <w:bookmarkEnd w:id="573"/>
      <w:bookmarkEnd w:id="574"/>
    </w:p>
    <w:p>
      <w:pPr>
        <w:pStyle w:val="5"/>
      </w:pPr>
      <w:bookmarkStart w:id="575" w:name="_Toc13760286"/>
      <w:bookmarkStart w:id="576" w:name="_Toc9403166"/>
      <w:r>
        <w:t>8.5.1</w:t>
      </w:r>
      <w:r>
        <w:rPr>
          <w:rFonts w:hint="eastAsia"/>
        </w:rPr>
        <w:t>风险事故情形设定原则</w:t>
      </w:r>
      <w:bookmarkEnd w:id="575"/>
      <w:bookmarkEnd w:id="576"/>
    </w:p>
    <w:p>
      <w:pPr>
        <w:widowControl/>
        <w:adjustRightInd w:val="0"/>
        <w:snapToGrid w:val="0"/>
        <w:ind w:firstLine="480"/>
        <w:rPr>
          <w:rFonts w:cs="Times New Roman"/>
          <w:kern w:val="0"/>
          <w:szCs w:val="24"/>
        </w:rPr>
      </w:pPr>
      <w:r>
        <w:rPr>
          <w:rFonts w:hint="eastAsia" w:cs="Times New Roman"/>
          <w:kern w:val="0"/>
          <w:szCs w:val="24"/>
        </w:rPr>
        <w:t>根据资料报道，在</w:t>
      </w:r>
      <w:r>
        <w:rPr>
          <w:rFonts w:cs="Times New Roman"/>
          <w:kern w:val="0"/>
          <w:szCs w:val="24"/>
        </w:rPr>
        <w:t>95</w:t>
      </w:r>
      <w:r>
        <w:rPr>
          <w:rFonts w:hint="eastAsia" w:cs="Times New Roman"/>
          <w:kern w:val="0"/>
          <w:szCs w:val="24"/>
        </w:rPr>
        <w:t>个国家登记的化学品事故中，发生突发性化学品事故的化学品物质形态比例及事故原因分析见表</w:t>
      </w:r>
      <w:r>
        <w:rPr>
          <w:rFonts w:cs="Times New Roman"/>
          <w:kern w:val="0"/>
          <w:szCs w:val="24"/>
        </w:rPr>
        <w:t>8.5</w:t>
      </w:r>
      <w:r>
        <w:rPr>
          <w:rFonts w:hint="eastAsia" w:cs="Times New Roman"/>
          <w:kern w:val="0"/>
          <w:szCs w:val="24"/>
        </w:rPr>
        <w:t>—</w:t>
      </w:r>
      <w:r>
        <w:rPr>
          <w:rFonts w:cs="Times New Roman"/>
          <w:kern w:val="0"/>
          <w:szCs w:val="24"/>
        </w:rPr>
        <w:t>1</w:t>
      </w:r>
      <w:r>
        <w:rPr>
          <w:rFonts w:hint="eastAsia" w:cs="Times New Roman"/>
          <w:kern w:val="0"/>
          <w:szCs w:val="24"/>
        </w:rPr>
        <w:t>所示。</w:t>
      </w:r>
    </w:p>
    <w:p>
      <w:pPr>
        <w:widowControl/>
        <w:adjustRightInd w:val="0"/>
        <w:snapToGrid w:val="0"/>
        <w:ind w:firstLine="480"/>
        <w:rPr>
          <w:rFonts w:cs="Times New Roman"/>
          <w:kern w:val="0"/>
          <w:szCs w:val="24"/>
        </w:rPr>
      </w:pPr>
      <w:r>
        <w:rPr>
          <w:rFonts w:hint="eastAsia" w:cs="Times New Roman" w:hAnsiTheme="minorEastAsia"/>
          <w:kern w:val="0"/>
          <w:szCs w:val="24"/>
        </w:rPr>
        <w:t>表</w:t>
      </w:r>
      <w:r>
        <w:rPr>
          <w:rFonts w:cs="Times New Roman"/>
          <w:kern w:val="0"/>
          <w:szCs w:val="24"/>
        </w:rPr>
        <w:t>8.5</w:t>
      </w:r>
      <w:r>
        <w:rPr>
          <w:rFonts w:hint="eastAsia" w:cs="Times New Roman"/>
          <w:kern w:val="0"/>
          <w:szCs w:val="24"/>
        </w:rPr>
        <w:t>—</w:t>
      </w:r>
      <w:r>
        <w:rPr>
          <w:rFonts w:cs="Times New Roman"/>
          <w:kern w:val="0"/>
          <w:szCs w:val="24"/>
        </w:rPr>
        <w:t xml:space="preserve">1     </w:t>
      </w:r>
      <w:r>
        <w:rPr>
          <w:rFonts w:hint="eastAsia" w:cs="Times New Roman" w:hAnsiTheme="minorEastAsia"/>
          <w:kern w:val="0"/>
          <w:szCs w:val="24"/>
        </w:rPr>
        <w:t>化学品事故分类情况</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974"/>
        <w:gridCol w:w="2688"/>
        <w:gridCol w:w="4192"/>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1" w:hRule="atLeast"/>
          <w:jc w:val="center"/>
        </w:trPr>
        <w:tc>
          <w:tcPr>
            <w:tcW w:w="2974"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类别</w:t>
            </w:r>
          </w:p>
        </w:tc>
        <w:tc>
          <w:tcPr>
            <w:tcW w:w="2688"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名称</w:t>
            </w:r>
          </w:p>
        </w:tc>
        <w:tc>
          <w:tcPr>
            <w:tcW w:w="4192"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百分数</w:t>
            </w:r>
            <w:r>
              <w:rPr>
                <w:kern w:val="0"/>
                <w:sz w:val="21"/>
                <w:lang w:val="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974" w:type="dxa"/>
            <w:vMerge w:val="restart"/>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化学品的物质形态</w:t>
            </w:r>
          </w:p>
        </w:tc>
        <w:tc>
          <w:tcPr>
            <w:tcW w:w="2688"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液体</w:t>
            </w:r>
          </w:p>
        </w:tc>
        <w:tc>
          <w:tcPr>
            <w:tcW w:w="4192" w:type="dxa"/>
            <w:tcBorders>
              <w:top w:val="single" w:color="auto" w:sz="12"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sz w:val="21"/>
              </w:rPr>
            </w:pPr>
            <w:r>
              <w:rPr>
                <w:sz w:val="21"/>
              </w:rPr>
              <w:t>45.4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974"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eastAsiaTheme="minorEastAsia"/>
                <w:kern w:val="0"/>
                <w:sz w:val="21"/>
                <w:lang w:val="zh-CN"/>
              </w:rPr>
            </w:pPr>
          </w:p>
        </w:tc>
        <w:tc>
          <w:tcPr>
            <w:tcW w:w="2688"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液化气</w:t>
            </w:r>
          </w:p>
        </w:tc>
        <w:tc>
          <w:tcPr>
            <w:tcW w:w="4192"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27.6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974"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eastAsiaTheme="minorEastAsia"/>
                <w:kern w:val="0"/>
                <w:sz w:val="21"/>
                <w:lang w:val="zh-CN"/>
              </w:rPr>
            </w:pPr>
          </w:p>
        </w:tc>
        <w:tc>
          <w:tcPr>
            <w:tcW w:w="2688"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气体</w:t>
            </w:r>
          </w:p>
        </w:tc>
        <w:tc>
          <w:tcPr>
            <w:tcW w:w="4192"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18.8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974"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eastAsiaTheme="minorEastAsia"/>
                <w:kern w:val="0"/>
                <w:sz w:val="21"/>
                <w:lang w:val="zh-CN"/>
              </w:rPr>
            </w:pPr>
          </w:p>
        </w:tc>
        <w:tc>
          <w:tcPr>
            <w:tcW w:w="2688"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固体</w:t>
            </w:r>
          </w:p>
        </w:tc>
        <w:tc>
          <w:tcPr>
            <w:tcW w:w="4192"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8.2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974" w:type="dxa"/>
            <w:vMerge w:val="restart"/>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事故来源</w:t>
            </w:r>
          </w:p>
        </w:tc>
        <w:tc>
          <w:tcPr>
            <w:tcW w:w="2688"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机械故障</w:t>
            </w:r>
          </w:p>
        </w:tc>
        <w:tc>
          <w:tcPr>
            <w:tcW w:w="4192"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34.2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974" w:type="dxa"/>
            <w:vMerge w:val="continue"/>
            <w:tcBorders>
              <w:top w:val="dotted" w:color="auto" w:sz="4" w:space="0"/>
              <w:left w:val="nil"/>
              <w:bottom w:val="single" w:color="auto" w:sz="12" w:space="0"/>
              <w:right w:val="dotted" w:color="auto" w:sz="4" w:space="0"/>
            </w:tcBorders>
            <w:vAlign w:val="center"/>
          </w:tcPr>
          <w:p>
            <w:pPr>
              <w:widowControl/>
              <w:spacing w:line="240" w:lineRule="atLeast"/>
              <w:ind w:firstLine="0" w:firstLineChars="0"/>
              <w:jc w:val="left"/>
              <w:rPr>
                <w:rFonts w:eastAsiaTheme="minorEastAsia"/>
                <w:kern w:val="0"/>
                <w:sz w:val="21"/>
                <w:lang w:val="zh-CN"/>
              </w:rPr>
            </w:pPr>
          </w:p>
        </w:tc>
        <w:tc>
          <w:tcPr>
            <w:tcW w:w="2688"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碰撞事故</w:t>
            </w:r>
          </w:p>
        </w:tc>
        <w:tc>
          <w:tcPr>
            <w:tcW w:w="4192"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26.8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974" w:type="dxa"/>
            <w:vMerge w:val="continue"/>
            <w:tcBorders>
              <w:top w:val="dotted" w:color="auto" w:sz="4" w:space="0"/>
              <w:left w:val="nil"/>
              <w:bottom w:val="single" w:color="auto" w:sz="12" w:space="0"/>
              <w:right w:val="dotted" w:color="auto" w:sz="4" w:space="0"/>
            </w:tcBorders>
            <w:vAlign w:val="center"/>
          </w:tcPr>
          <w:p>
            <w:pPr>
              <w:widowControl/>
              <w:spacing w:line="240" w:lineRule="atLeast"/>
              <w:ind w:firstLine="0" w:firstLineChars="0"/>
              <w:jc w:val="left"/>
              <w:rPr>
                <w:rFonts w:eastAsiaTheme="minorEastAsia"/>
                <w:kern w:val="0"/>
                <w:sz w:val="21"/>
                <w:lang w:val="zh-CN"/>
              </w:rPr>
            </w:pPr>
          </w:p>
        </w:tc>
        <w:tc>
          <w:tcPr>
            <w:tcW w:w="2688"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人为因素</w:t>
            </w:r>
          </w:p>
        </w:tc>
        <w:tc>
          <w:tcPr>
            <w:tcW w:w="4192"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22.8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2974" w:type="dxa"/>
            <w:vMerge w:val="continue"/>
            <w:tcBorders>
              <w:top w:val="dotted" w:color="auto" w:sz="4" w:space="0"/>
              <w:left w:val="nil"/>
              <w:bottom w:val="single" w:color="auto" w:sz="12" w:space="0"/>
              <w:right w:val="dotted" w:color="auto" w:sz="4" w:space="0"/>
            </w:tcBorders>
            <w:vAlign w:val="center"/>
          </w:tcPr>
          <w:p>
            <w:pPr>
              <w:widowControl/>
              <w:spacing w:line="240" w:lineRule="atLeast"/>
              <w:ind w:firstLine="0" w:firstLineChars="0"/>
              <w:jc w:val="left"/>
              <w:rPr>
                <w:rFonts w:eastAsiaTheme="minorEastAsia"/>
                <w:kern w:val="0"/>
                <w:sz w:val="21"/>
                <w:lang w:val="zh-CN"/>
              </w:rPr>
            </w:pPr>
          </w:p>
        </w:tc>
        <w:tc>
          <w:tcPr>
            <w:tcW w:w="2688"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外部因素</w:t>
            </w:r>
          </w:p>
        </w:tc>
        <w:tc>
          <w:tcPr>
            <w:tcW w:w="4192" w:type="dxa"/>
            <w:tcBorders>
              <w:top w:val="dotted" w:color="auto" w:sz="4"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kern w:val="0"/>
                <w:sz w:val="21"/>
              </w:rPr>
            </w:pPr>
            <w:r>
              <w:rPr>
                <w:kern w:val="0"/>
                <w:sz w:val="21"/>
              </w:rPr>
              <w:t>16.2</w:t>
            </w:r>
          </w:p>
        </w:tc>
      </w:tr>
    </w:tbl>
    <w:p>
      <w:pPr>
        <w:adjustRightInd w:val="0"/>
        <w:snapToGrid w:val="0"/>
        <w:ind w:firstLine="480"/>
        <w:rPr>
          <w:rFonts w:cs="Times New Roman"/>
          <w:kern w:val="0"/>
          <w:szCs w:val="24"/>
        </w:rPr>
      </w:pPr>
    </w:p>
    <w:p>
      <w:pPr>
        <w:adjustRightInd w:val="0"/>
        <w:snapToGrid w:val="0"/>
        <w:ind w:firstLine="480"/>
        <w:rPr>
          <w:rFonts w:cs="Times New Roman" w:eastAsiaTheme="minorEastAsia"/>
          <w:kern w:val="0"/>
          <w:szCs w:val="24"/>
        </w:rPr>
      </w:pPr>
      <w:r>
        <w:rPr>
          <w:rFonts w:hint="eastAsia" w:cs="Times New Roman"/>
          <w:kern w:val="0"/>
          <w:szCs w:val="24"/>
        </w:rPr>
        <w:t>从上表可看出，液体化学品最易发生事故，机械故障最容易导致事故发生。据美国</w:t>
      </w:r>
      <w:r>
        <w:rPr>
          <w:rFonts w:cs="Times New Roman"/>
          <w:kern w:val="0"/>
          <w:szCs w:val="24"/>
        </w:rPr>
        <w:t xml:space="preserve"> J&amp;H Marsh&amp;Mclennan</w:t>
      </w:r>
      <w:r>
        <w:rPr>
          <w:rFonts w:hint="eastAsia" w:cs="Times New Roman"/>
          <w:kern w:val="0"/>
          <w:szCs w:val="24"/>
        </w:rPr>
        <w:t>咨询公司《世界石油化工行业近</w:t>
      </w:r>
      <w:r>
        <w:rPr>
          <w:rFonts w:cs="Times New Roman"/>
          <w:kern w:val="0"/>
          <w:szCs w:val="24"/>
        </w:rPr>
        <w:t>30</w:t>
      </w:r>
      <w:r>
        <w:rPr>
          <w:rFonts w:hint="eastAsia" w:cs="Times New Roman"/>
          <w:kern w:val="0"/>
          <w:szCs w:val="24"/>
        </w:rPr>
        <w:t>年来发生的</w:t>
      </w:r>
      <w:r>
        <w:rPr>
          <w:rFonts w:cs="Times New Roman"/>
          <w:kern w:val="0"/>
          <w:szCs w:val="24"/>
        </w:rPr>
        <w:t>100</w:t>
      </w:r>
      <w:r>
        <w:rPr>
          <w:rFonts w:hint="eastAsia" w:cs="Times New Roman"/>
          <w:kern w:val="0"/>
          <w:szCs w:val="24"/>
        </w:rPr>
        <w:t>例重大财产损失事故》</w:t>
      </w:r>
      <w:r>
        <w:rPr>
          <w:rFonts w:cs="Times New Roman"/>
          <w:kern w:val="0"/>
          <w:szCs w:val="24"/>
        </w:rPr>
        <w:t>(</w:t>
      </w:r>
      <w:r>
        <w:rPr>
          <w:rFonts w:hint="eastAsia" w:cs="Times New Roman"/>
          <w:kern w:val="0"/>
          <w:szCs w:val="24"/>
        </w:rPr>
        <w:t>损失在</w:t>
      </w:r>
      <w:r>
        <w:rPr>
          <w:rFonts w:cs="Times New Roman"/>
          <w:kern w:val="0"/>
          <w:szCs w:val="24"/>
        </w:rPr>
        <w:t>1000</w:t>
      </w:r>
      <w:r>
        <w:rPr>
          <w:rFonts w:hint="eastAsia" w:cs="Times New Roman"/>
          <w:kern w:val="0"/>
          <w:szCs w:val="24"/>
        </w:rPr>
        <w:t>万美元的特大型火灾爆炸事故</w:t>
      </w:r>
      <w:r>
        <w:rPr>
          <w:rFonts w:cs="Times New Roman"/>
          <w:kern w:val="0"/>
          <w:szCs w:val="24"/>
        </w:rPr>
        <w:t>)</w:t>
      </w:r>
      <w:r>
        <w:rPr>
          <w:rFonts w:hint="eastAsia" w:cs="Times New Roman"/>
          <w:kern w:val="0"/>
          <w:szCs w:val="24"/>
        </w:rPr>
        <w:t>统计，其在各类装置中的分布情况见下表</w:t>
      </w:r>
      <w:r>
        <w:rPr>
          <w:rFonts w:cs="Times New Roman"/>
          <w:kern w:val="0"/>
          <w:szCs w:val="24"/>
        </w:rPr>
        <w:t>8.5</w:t>
      </w:r>
      <w:r>
        <w:rPr>
          <w:rFonts w:hint="eastAsia" w:cs="Times New Roman"/>
          <w:kern w:val="0"/>
          <w:szCs w:val="24"/>
        </w:rPr>
        <w:t>—</w:t>
      </w:r>
      <w:r>
        <w:rPr>
          <w:rFonts w:cs="Times New Roman"/>
          <w:kern w:val="0"/>
          <w:szCs w:val="24"/>
        </w:rPr>
        <w:t>2</w:t>
      </w:r>
      <w:r>
        <w:rPr>
          <w:rFonts w:hint="eastAsia" w:cs="Times New Roman"/>
          <w:kern w:val="0"/>
          <w:szCs w:val="24"/>
        </w:rPr>
        <w:t>所示。</w:t>
      </w:r>
    </w:p>
    <w:p>
      <w:pPr>
        <w:adjustRightInd w:val="0"/>
        <w:snapToGrid w:val="0"/>
        <w:ind w:firstLine="480"/>
        <w:rPr>
          <w:rFonts w:cs="Times New Roman" w:eastAsiaTheme="minorEastAsia"/>
          <w:kern w:val="0"/>
          <w:szCs w:val="24"/>
        </w:rPr>
      </w:pPr>
      <w:r>
        <w:rPr>
          <w:rFonts w:hint="eastAsia" w:cs="Times New Roman"/>
          <w:kern w:val="0"/>
          <w:szCs w:val="24"/>
        </w:rPr>
        <w:t>表</w:t>
      </w:r>
      <w:r>
        <w:rPr>
          <w:rFonts w:cs="Times New Roman"/>
          <w:kern w:val="0"/>
          <w:szCs w:val="24"/>
        </w:rPr>
        <w:t>8.5</w:t>
      </w:r>
      <w:r>
        <w:rPr>
          <w:rFonts w:hint="eastAsia" w:cs="Times New Roman"/>
          <w:kern w:val="0"/>
          <w:szCs w:val="24"/>
        </w:rPr>
        <w:t>—</w:t>
      </w:r>
      <w:r>
        <w:rPr>
          <w:rFonts w:cs="Times New Roman"/>
          <w:kern w:val="0"/>
          <w:szCs w:val="24"/>
        </w:rPr>
        <w:t xml:space="preserve">2        </w:t>
      </w:r>
      <w:r>
        <w:rPr>
          <w:rFonts w:hint="eastAsia" w:cs="Times New Roman"/>
          <w:kern w:val="0"/>
          <w:szCs w:val="24"/>
        </w:rPr>
        <w:t>易发生事故装置统计一览表</w:t>
      </w:r>
    </w:p>
    <w:tbl>
      <w:tblPr>
        <w:tblStyle w:val="88"/>
        <w:tblW w:w="9285"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26"/>
        <w:gridCol w:w="3259"/>
        <w:gridCol w:w="1419"/>
        <w:gridCol w:w="308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1" w:hRule="atLeast"/>
          <w:jc w:val="center"/>
        </w:trPr>
        <w:tc>
          <w:tcPr>
            <w:tcW w:w="1526"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装置名称</w:t>
            </w:r>
          </w:p>
        </w:tc>
        <w:tc>
          <w:tcPr>
            <w:tcW w:w="3259"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事故比例</w:t>
            </w:r>
            <w:r>
              <w:rPr>
                <w:kern w:val="0"/>
                <w:sz w:val="21"/>
                <w:lang w:val="zh-CN"/>
              </w:rPr>
              <w:t>(%)</w:t>
            </w:r>
          </w:p>
        </w:tc>
        <w:tc>
          <w:tcPr>
            <w:tcW w:w="1419"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装置名称</w:t>
            </w:r>
          </w:p>
        </w:tc>
        <w:tc>
          <w:tcPr>
            <w:tcW w:w="3081"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事故比例</w:t>
            </w:r>
            <w:r>
              <w:rPr>
                <w:kern w:val="0"/>
                <w:sz w:val="21"/>
                <w:lang w:val="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罐区</w:t>
            </w:r>
          </w:p>
        </w:tc>
        <w:tc>
          <w:tcPr>
            <w:tcW w:w="325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16.8</w:t>
            </w:r>
          </w:p>
        </w:tc>
        <w:tc>
          <w:tcPr>
            <w:tcW w:w="141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油船</w:t>
            </w:r>
          </w:p>
        </w:tc>
        <w:tc>
          <w:tcPr>
            <w:tcW w:w="3081" w:type="dxa"/>
            <w:tcBorders>
              <w:top w:val="single" w:color="auto" w:sz="12"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6.3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聚乙烯等塑料</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9.5</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焦化</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kern w:val="0"/>
                <w:sz w:val="21"/>
              </w:rPr>
            </w:pPr>
            <w:r>
              <w:rPr>
                <w:kern w:val="0"/>
                <w:sz w:val="21"/>
              </w:rPr>
              <w:t>4.2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乙烯加工</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8.7</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容积脱沥青</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3.16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天然气输送</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8.4</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蒸馏</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3.16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加氢</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7.3</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电厂</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1.1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催化气分</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7.3</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合成氨</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1.1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乙烯</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7.3</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橡胶</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1.1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烷基化</w:t>
            </w:r>
          </w:p>
        </w:tc>
        <w:tc>
          <w:tcPr>
            <w:tcW w:w="325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6.3</w:t>
            </w:r>
          </w:p>
        </w:tc>
        <w:tc>
          <w:tcPr>
            <w:tcW w:w="141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p>
        </w:tc>
        <w:tc>
          <w:tcPr>
            <w:tcW w:w="3081" w:type="dxa"/>
            <w:tcBorders>
              <w:top w:val="dotted" w:color="auto" w:sz="4" w:space="0"/>
              <w:left w:val="dotted" w:color="auto" w:sz="4" w:space="0"/>
              <w:bottom w:val="single" w:color="auto" w:sz="12" w:space="0"/>
              <w:right w:val="nil"/>
            </w:tcBorders>
          </w:tcPr>
          <w:p>
            <w:pPr>
              <w:adjustRightInd w:val="0"/>
              <w:snapToGrid w:val="0"/>
              <w:spacing w:line="240" w:lineRule="atLeast"/>
              <w:ind w:firstLine="0" w:firstLineChars="0"/>
              <w:jc w:val="center"/>
              <w:rPr>
                <w:rFonts w:eastAsiaTheme="minorEastAsia"/>
                <w:sz w:val="21"/>
              </w:rPr>
            </w:pPr>
          </w:p>
        </w:tc>
      </w:tr>
    </w:tbl>
    <w:p>
      <w:pPr>
        <w:widowControl/>
        <w:adjustRightInd w:val="0"/>
        <w:snapToGrid w:val="0"/>
        <w:ind w:firstLine="480"/>
        <w:rPr>
          <w:rFonts w:cs="Times New Roman"/>
          <w:kern w:val="0"/>
          <w:szCs w:val="24"/>
        </w:rPr>
      </w:pPr>
    </w:p>
    <w:p>
      <w:pPr>
        <w:widowControl/>
        <w:adjustRightInd w:val="0"/>
        <w:snapToGrid w:val="0"/>
        <w:ind w:firstLine="480"/>
        <w:rPr>
          <w:rFonts w:cs="Times New Roman" w:eastAsiaTheme="minorEastAsia"/>
          <w:kern w:val="0"/>
          <w:szCs w:val="24"/>
        </w:rPr>
      </w:pPr>
      <w:r>
        <w:rPr>
          <w:rFonts w:hint="eastAsia" w:cs="Times New Roman"/>
          <w:kern w:val="0"/>
          <w:szCs w:val="24"/>
        </w:rPr>
        <w:t>从各装置发生事故的分布情况来看，罐区事故率最高，达</w:t>
      </w:r>
      <w:r>
        <w:rPr>
          <w:rFonts w:cs="Times New Roman"/>
          <w:kern w:val="0"/>
          <w:szCs w:val="24"/>
        </w:rPr>
        <w:t>16.8%</w:t>
      </w:r>
      <w:r>
        <w:rPr>
          <w:rFonts w:hint="eastAsia" w:cs="Times New Roman"/>
          <w:kern w:val="0"/>
          <w:szCs w:val="24"/>
        </w:rPr>
        <w:t>。近几年国内化工行业</w:t>
      </w:r>
      <w:r>
        <w:rPr>
          <w:rFonts w:cs="Times New Roman"/>
          <w:kern w:val="0"/>
          <w:szCs w:val="24"/>
        </w:rPr>
        <w:t>116</w:t>
      </w:r>
      <w:r>
        <w:rPr>
          <w:rFonts w:hint="eastAsia" w:cs="Times New Roman"/>
          <w:kern w:val="0"/>
          <w:szCs w:val="24"/>
        </w:rPr>
        <w:t>次主要事故原因统计分析结果见下表</w:t>
      </w:r>
      <w:r>
        <w:rPr>
          <w:rFonts w:cs="Times New Roman"/>
          <w:kern w:val="0"/>
          <w:szCs w:val="24"/>
        </w:rPr>
        <w:t>8.5</w:t>
      </w:r>
      <w:r>
        <w:rPr>
          <w:rFonts w:hint="eastAsia" w:cs="Times New Roman"/>
          <w:kern w:val="0"/>
          <w:szCs w:val="24"/>
        </w:rPr>
        <w:t>—</w:t>
      </w:r>
      <w:r>
        <w:rPr>
          <w:rFonts w:cs="Times New Roman"/>
          <w:kern w:val="0"/>
          <w:szCs w:val="24"/>
        </w:rPr>
        <w:t>3</w:t>
      </w:r>
      <w:r>
        <w:rPr>
          <w:rFonts w:hint="eastAsia" w:cs="Times New Roman"/>
          <w:kern w:val="0"/>
          <w:szCs w:val="24"/>
        </w:rPr>
        <w:t>所示。</w:t>
      </w:r>
    </w:p>
    <w:p>
      <w:pPr>
        <w:widowControl/>
        <w:adjustRightInd w:val="0"/>
        <w:snapToGrid w:val="0"/>
        <w:spacing w:line="500" w:lineRule="exact"/>
        <w:ind w:firstLine="480"/>
        <w:jc w:val="center"/>
        <w:rPr>
          <w:rFonts w:cs="Times New Roman"/>
          <w:kern w:val="0"/>
          <w:szCs w:val="24"/>
        </w:rPr>
      </w:pPr>
      <w:r>
        <w:rPr>
          <w:rFonts w:hint="eastAsia" w:cs="Times New Roman"/>
          <w:kern w:val="0"/>
          <w:szCs w:val="24"/>
        </w:rPr>
        <w:t>表</w:t>
      </w:r>
      <w:r>
        <w:rPr>
          <w:rFonts w:cs="Times New Roman"/>
          <w:kern w:val="0"/>
          <w:szCs w:val="24"/>
        </w:rPr>
        <w:t>8.5</w:t>
      </w:r>
      <w:r>
        <w:rPr>
          <w:rFonts w:hint="eastAsia" w:cs="Times New Roman"/>
          <w:kern w:val="0"/>
          <w:szCs w:val="24"/>
        </w:rPr>
        <w:t>—</w:t>
      </w:r>
      <w:r>
        <w:rPr>
          <w:rFonts w:cs="Times New Roman"/>
          <w:kern w:val="0"/>
          <w:szCs w:val="24"/>
        </w:rPr>
        <w:t xml:space="preserve">3        </w:t>
      </w:r>
      <w:r>
        <w:rPr>
          <w:rFonts w:hint="eastAsia" w:cs="Times New Roman"/>
          <w:kern w:val="0"/>
          <w:szCs w:val="24"/>
        </w:rPr>
        <w:t>国内主要化工事故原因统计结果</w:t>
      </w:r>
      <w:r>
        <w:rPr>
          <w:rFonts w:cs="Times New Roman"/>
          <w:kern w:val="0"/>
          <w:szCs w:val="24"/>
        </w:rPr>
        <w:t>(</w:t>
      </w:r>
      <w:r>
        <w:rPr>
          <w:rFonts w:hint="eastAsia" w:cs="Times New Roman"/>
          <w:kern w:val="0"/>
          <w:szCs w:val="24"/>
        </w:rPr>
        <w:t>引自《全国化工事故案例集》</w:t>
      </w:r>
      <w:r>
        <w:rPr>
          <w:rFonts w:cs="Times New Roman"/>
          <w:kern w:val="0"/>
          <w:szCs w:val="24"/>
        </w:rPr>
        <w:t>)</w:t>
      </w:r>
    </w:p>
    <w:tbl>
      <w:tblPr>
        <w:tblStyle w:val="88"/>
        <w:tblW w:w="9285"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26"/>
        <w:gridCol w:w="3259"/>
        <w:gridCol w:w="1419"/>
        <w:gridCol w:w="308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1" w:hRule="atLeast"/>
          <w:jc w:val="center"/>
        </w:trPr>
        <w:tc>
          <w:tcPr>
            <w:tcW w:w="1526" w:type="dxa"/>
            <w:tcBorders>
              <w:top w:val="single" w:color="auto" w:sz="12"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序号</w:t>
            </w:r>
          </w:p>
        </w:tc>
        <w:tc>
          <w:tcPr>
            <w:tcW w:w="3259"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主要事故原因</w:t>
            </w:r>
          </w:p>
        </w:tc>
        <w:tc>
          <w:tcPr>
            <w:tcW w:w="1419"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出现次数</w:t>
            </w:r>
          </w:p>
        </w:tc>
        <w:tc>
          <w:tcPr>
            <w:tcW w:w="3081"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所占百分比</w:t>
            </w:r>
            <w:r>
              <w:rPr>
                <w:kern w:val="0"/>
                <w:sz w:val="21"/>
                <w:lang w:val="zh-CN"/>
              </w:rPr>
              <w:t>(%</w:t>
            </w:r>
            <w:r>
              <w:rPr>
                <w:rFonts w:hint="eastAsia"/>
                <w:kern w:val="0"/>
                <w:sz w:val="21"/>
                <w:lang w:val="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single" w:color="auto" w:sz="12"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w:t>
            </w:r>
          </w:p>
        </w:tc>
        <w:tc>
          <w:tcPr>
            <w:tcW w:w="325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违反操作规程</w:t>
            </w:r>
          </w:p>
        </w:tc>
        <w:tc>
          <w:tcPr>
            <w:tcW w:w="1419" w:type="dxa"/>
            <w:tcBorders>
              <w:top w:val="single" w:color="auto" w:sz="12"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60</w:t>
            </w:r>
          </w:p>
        </w:tc>
        <w:tc>
          <w:tcPr>
            <w:tcW w:w="3081" w:type="dxa"/>
            <w:tcBorders>
              <w:top w:val="single" w:color="auto" w:sz="12"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51.7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2</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不懂技术操作</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7</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kern w:val="0"/>
                <w:sz w:val="21"/>
              </w:rPr>
            </w:pPr>
            <w:r>
              <w:rPr>
                <w:kern w:val="0"/>
                <w:sz w:val="21"/>
              </w:rPr>
              <w:t>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3</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违反劳动纪律</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5</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4.3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4</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指挥失误</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2</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1.7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5</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缺乏现场检查</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2</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1.7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6</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个人防护用具缺陷</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1</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0.9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7</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设备缺陷</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25</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21.6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8</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个人防护用具缺乏</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9</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7.8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9</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设计缺陷</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2</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1.7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10</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原料质量控制不严</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0.9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11</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操作失灵</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0.9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12</w:t>
            </w:r>
          </w:p>
        </w:tc>
        <w:tc>
          <w:tcPr>
            <w:tcW w:w="325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没有安全规程</w:t>
            </w:r>
          </w:p>
        </w:tc>
        <w:tc>
          <w:tcPr>
            <w:tcW w:w="141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w:t>
            </w:r>
          </w:p>
        </w:tc>
        <w:tc>
          <w:tcPr>
            <w:tcW w:w="3081" w:type="dxa"/>
            <w:tcBorders>
              <w:top w:val="dotted" w:color="auto" w:sz="4" w:space="0"/>
              <w:left w:val="dotted" w:color="auto" w:sz="4" w:space="0"/>
              <w:bottom w:val="dotted" w:color="auto" w:sz="4" w:space="0"/>
              <w:right w:val="nil"/>
            </w:tcBorders>
          </w:tcPr>
          <w:p>
            <w:pPr>
              <w:adjustRightInd w:val="0"/>
              <w:snapToGrid w:val="0"/>
              <w:spacing w:line="240" w:lineRule="atLeast"/>
              <w:ind w:firstLine="0" w:firstLineChars="0"/>
              <w:jc w:val="center"/>
              <w:rPr>
                <w:rFonts w:eastAsiaTheme="minorEastAsia"/>
                <w:sz w:val="21"/>
              </w:rPr>
            </w:pPr>
            <w:r>
              <w:rPr>
                <w:sz w:val="21"/>
              </w:rPr>
              <w:t>0.9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526" w:type="dxa"/>
            <w:tcBorders>
              <w:top w:val="dotted" w:color="auto" w:sz="4" w:space="0"/>
              <w:left w:val="nil"/>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13</w:t>
            </w:r>
          </w:p>
        </w:tc>
        <w:tc>
          <w:tcPr>
            <w:tcW w:w="325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rFonts w:hint="eastAsia"/>
                <w:kern w:val="0"/>
                <w:sz w:val="21"/>
                <w:lang w:val="zh-CN"/>
              </w:rPr>
              <w:t>合计</w:t>
            </w:r>
          </w:p>
        </w:tc>
        <w:tc>
          <w:tcPr>
            <w:tcW w:w="1419" w:type="dxa"/>
            <w:tcBorders>
              <w:top w:val="dotted" w:color="auto" w:sz="4"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kern w:val="0"/>
                <w:sz w:val="21"/>
                <w:lang w:val="zh-CN"/>
              </w:rPr>
            </w:pPr>
            <w:r>
              <w:rPr>
                <w:kern w:val="0"/>
                <w:sz w:val="21"/>
                <w:lang w:val="zh-CN"/>
              </w:rPr>
              <w:t>116</w:t>
            </w:r>
          </w:p>
        </w:tc>
        <w:tc>
          <w:tcPr>
            <w:tcW w:w="3081" w:type="dxa"/>
            <w:tcBorders>
              <w:top w:val="dotted" w:color="auto" w:sz="4" w:space="0"/>
              <w:left w:val="dotted" w:color="auto" w:sz="4" w:space="0"/>
              <w:bottom w:val="single" w:color="auto" w:sz="12" w:space="0"/>
              <w:right w:val="nil"/>
            </w:tcBorders>
          </w:tcPr>
          <w:p>
            <w:pPr>
              <w:adjustRightInd w:val="0"/>
              <w:snapToGrid w:val="0"/>
              <w:spacing w:line="240" w:lineRule="atLeast"/>
              <w:ind w:firstLine="0" w:firstLineChars="0"/>
              <w:jc w:val="center"/>
              <w:rPr>
                <w:rFonts w:eastAsiaTheme="minorEastAsia"/>
                <w:sz w:val="21"/>
              </w:rPr>
            </w:pPr>
            <w:r>
              <w:rPr>
                <w:sz w:val="21"/>
              </w:rPr>
              <w:t>100</w:t>
            </w:r>
          </w:p>
        </w:tc>
      </w:tr>
    </w:tbl>
    <w:p>
      <w:pPr>
        <w:widowControl/>
        <w:adjustRightInd w:val="0"/>
        <w:snapToGrid w:val="0"/>
        <w:ind w:firstLine="480"/>
        <w:rPr>
          <w:rFonts w:cs="Times New Roman"/>
          <w:kern w:val="0"/>
          <w:szCs w:val="24"/>
        </w:rPr>
      </w:pPr>
    </w:p>
    <w:p>
      <w:pPr>
        <w:widowControl/>
        <w:adjustRightInd w:val="0"/>
        <w:snapToGrid w:val="0"/>
        <w:ind w:firstLine="480"/>
        <w:rPr>
          <w:rFonts w:cs="Times New Roman" w:eastAsiaTheme="minorEastAsia"/>
          <w:kern w:val="0"/>
          <w:szCs w:val="24"/>
        </w:rPr>
      </w:pPr>
      <w:r>
        <w:rPr>
          <w:rFonts w:hint="eastAsia" w:cs="Times New Roman"/>
          <w:kern w:val="0"/>
          <w:szCs w:val="24"/>
        </w:rPr>
        <w:t>由上表可知，由于违反操作规程、违反劳动纪律、不懂技术操作等人为因素发生的事故最多，占</w:t>
      </w:r>
      <w:r>
        <w:rPr>
          <w:rFonts w:cs="Times New Roman"/>
          <w:kern w:val="0"/>
          <w:szCs w:val="24"/>
        </w:rPr>
        <w:t>65%</w:t>
      </w:r>
      <w:r>
        <w:rPr>
          <w:rFonts w:hint="eastAsia" w:cs="Times New Roman"/>
          <w:kern w:val="0"/>
          <w:szCs w:val="24"/>
        </w:rPr>
        <w:t>以上，因设备缺陷、设计缺陷等引起事故次数约占</w:t>
      </w:r>
      <w:r>
        <w:rPr>
          <w:rFonts w:cs="Times New Roman"/>
          <w:kern w:val="0"/>
          <w:szCs w:val="24"/>
        </w:rPr>
        <w:t>23.3%</w:t>
      </w:r>
      <w:r>
        <w:rPr>
          <w:rFonts w:hint="eastAsia" w:cs="Times New Roman"/>
          <w:kern w:val="0"/>
          <w:szCs w:val="24"/>
        </w:rPr>
        <w:t>。</w:t>
      </w:r>
    </w:p>
    <w:p>
      <w:pPr>
        <w:adjustRightInd w:val="0"/>
        <w:snapToGrid w:val="0"/>
        <w:ind w:firstLine="480"/>
        <w:rPr>
          <w:rFonts w:cs="Times New Roman"/>
          <w:szCs w:val="24"/>
        </w:rPr>
      </w:pPr>
      <w:r>
        <w:rPr>
          <w:rFonts w:hint="eastAsia" w:cs="Times New Roman"/>
          <w:kern w:val="0"/>
          <w:szCs w:val="20"/>
        </w:rPr>
        <w:t>根据上述分析，化学事故类型中的液体化学品、罐区及工人违反操作规程、违反劳动纪律易发生事故，在本项目环境风险识别基础上，设定的风险事故情形有</w:t>
      </w:r>
      <w:r>
        <w:rPr>
          <w:rFonts w:hint="eastAsia" w:cs="Times New Roman"/>
          <w:szCs w:val="24"/>
        </w:rPr>
        <w:t>甲苯、乙硫醇及甲醇</w:t>
      </w:r>
      <w:r>
        <w:rPr>
          <w:rFonts w:hint="eastAsia" w:cs="Times New Roman"/>
          <w:kern w:val="0"/>
          <w:szCs w:val="20"/>
        </w:rPr>
        <w:t>储罐泄漏。</w:t>
      </w:r>
    </w:p>
    <w:p>
      <w:pPr>
        <w:pStyle w:val="5"/>
        <w:rPr>
          <w:rFonts w:asciiTheme="minorHAnsi" w:hAnsiTheme="minorHAnsi" w:cstheme="minorBidi"/>
          <w:sz w:val="24"/>
        </w:rPr>
      </w:pPr>
      <w:bookmarkStart w:id="577" w:name="_Toc9403167"/>
      <w:bookmarkStart w:id="578" w:name="_Toc13760287"/>
      <w:r>
        <w:t>8.5.2</w:t>
      </w:r>
      <w:r>
        <w:rPr>
          <w:rFonts w:hint="eastAsia"/>
        </w:rPr>
        <w:t>源项分析</w:t>
      </w:r>
      <w:bookmarkEnd w:id="577"/>
      <w:bookmarkEnd w:id="578"/>
    </w:p>
    <w:p>
      <w:pPr>
        <w:widowControl/>
        <w:adjustRightInd w:val="0"/>
        <w:snapToGrid w:val="0"/>
        <w:ind w:firstLine="480"/>
        <w:jc w:val="left"/>
        <w:rPr>
          <w:rFonts w:cs="Times New Roman"/>
          <w:kern w:val="0"/>
        </w:rPr>
      </w:pPr>
      <w:r>
        <w:rPr>
          <w:rFonts w:hint="eastAsia" w:cs="Times New Roman" w:hAnsiTheme="minorEastAsia"/>
          <w:kern w:val="0"/>
        </w:rPr>
        <w:t>危险化学品泄露事故按《建设项目环境风险评价技术导则》</w:t>
      </w:r>
      <w:r>
        <w:rPr>
          <w:rFonts w:cs="Times New Roman"/>
          <w:kern w:val="0"/>
        </w:rPr>
        <w:t>(HJ169-2018)</w:t>
      </w:r>
      <w:r>
        <w:rPr>
          <w:rFonts w:hint="eastAsia" w:cs="Times New Roman" w:hAnsiTheme="minorEastAsia"/>
          <w:kern w:val="0"/>
        </w:rPr>
        <w:t>中推荐的公式进行计算。</w:t>
      </w:r>
    </w:p>
    <w:p>
      <w:pPr>
        <w:widowControl/>
        <w:adjustRightInd w:val="0"/>
        <w:snapToGrid w:val="0"/>
        <w:ind w:firstLine="480"/>
        <w:jc w:val="left"/>
        <w:rPr>
          <w:rFonts w:cs="Times New Roman"/>
          <w:kern w:val="0"/>
        </w:rPr>
      </w:pPr>
      <w:r>
        <w:rPr>
          <w:rFonts w:hint="eastAsia" w:cs="Times New Roman" w:hAnsiTheme="minorEastAsia"/>
          <w:kern w:val="0"/>
        </w:rPr>
        <w:t>本项目</w:t>
      </w:r>
      <w:r>
        <w:rPr>
          <w:rFonts w:hint="eastAsia" w:cs="Times New Roman" w:hAnsiTheme="minorEastAsia"/>
          <w:szCs w:val="24"/>
        </w:rPr>
        <w:t>柴油</w:t>
      </w:r>
      <w:r>
        <w:rPr>
          <w:rFonts w:hint="eastAsia" w:cs="Times New Roman" w:hAnsiTheme="minorEastAsia"/>
          <w:kern w:val="0"/>
        </w:rPr>
        <w:t>储罐最大容积分别为</w:t>
      </w:r>
      <w:r>
        <w:rPr>
          <w:rFonts w:hint="eastAsia" w:cs="Times New Roman"/>
          <w:kern w:val="0"/>
        </w:rPr>
        <w:t>2</w:t>
      </w:r>
      <w:r>
        <w:rPr>
          <w:rFonts w:cs="Times New Roman"/>
          <w:kern w:val="0"/>
        </w:rPr>
        <w:t>0m</w:t>
      </w:r>
      <w:r>
        <w:rPr>
          <w:rFonts w:cs="Times New Roman"/>
          <w:kern w:val="0"/>
          <w:vertAlign w:val="superscript"/>
        </w:rPr>
        <w:t>3</w:t>
      </w:r>
      <w:r>
        <w:rPr>
          <w:rFonts w:hint="eastAsia" w:cs="Times New Roman" w:hAnsiTheme="minorEastAsia"/>
          <w:kern w:val="0"/>
        </w:rPr>
        <w:t>，罐底出口管线内径为</w:t>
      </w:r>
      <w:r>
        <w:rPr>
          <w:rFonts w:cs="Times New Roman"/>
          <w:kern w:val="0"/>
        </w:rPr>
        <w:t>100mm</w:t>
      </w:r>
      <w:r>
        <w:rPr>
          <w:rFonts w:hint="eastAsia" w:cs="Times New Roman" w:hAnsiTheme="minorEastAsia"/>
          <w:kern w:val="0"/>
        </w:rPr>
        <w:t>。储罐的典型泄漏事件为管道、阀门的接头破裂，本预测考虑储罐罐底出口接合管破裂，按照泄漏孔径为</w:t>
      </w:r>
      <w:r>
        <w:rPr>
          <w:rFonts w:cs="Times New Roman"/>
          <w:kern w:val="0"/>
        </w:rPr>
        <w:t>10mm</w:t>
      </w:r>
      <w:r>
        <w:rPr>
          <w:rFonts w:hint="eastAsia" w:cs="Times New Roman" w:hAnsiTheme="minorEastAsia"/>
          <w:kern w:val="0"/>
        </w:rPr>
        <w:t>计算泄漏速率。</w:t>
      </w:r>
    </w:p>
    <w:p>
      <w:pPr>
        <w:pStyle w:val="739"/>
        <w:ind w:firstLine="480"/>
        <w:outlineLvl w:val="0"/>
        <w:rPr>
          <w:kern w:val="0"/>
        </w:rPr>
      </w:pPr>
      <w:bookmarkStart w:id="579" w:name="_Toc516504752"/>
      <w:bookmarkStart w:id="580" w:name="_Toc518548545"/>
      <w:bookmarkStart w:id="581" w:name="_Toc520218218"/>
      <w:r>
        <w:fldChar w:fldCharType="begin"/>
      </w:r>
      <w:r>
        <w:rPr>
          <w:kern w:val="0"/>
        </w:rPr>
        <w:instrText xml:space="preserve"> = 1 \* GB2 </w:instrText>
      </w:r>
      <w:r>
        <w:fldChar w:fldCharType="separate"/>
      </w:r>
      <w:bookmarkStart w:id="582" w:name="_Toc13582260"/>
      <w:bookmarkStart w:id="583" w:name="_Toc13760288"/>
      <w:r>
        <w:rPr>
          <w:rFonts w:hint="eastAsia" w:hAnsiTheme="minorEastAsia"/>
          <w:kern w:val="0"/>
        </w:rPr>
        <w:t>⑴</w:t>
      </w:r>
      <w:r>
        <w:fldChar w:fldCharType="end"/>
      </w:r>
      <w:r>
        <w:rPr>
          <w:rFonts w:hint="eastAsia" w:hAnsiTheme="minorEastAsia"/>
          <w:kern w:val="0"/>
        </w:rPr>
        <w:t>液体泄漏速率</w:t>
      </w:r>
      <w:bookmarkEnd w:id="579"/>
      <w:bookmarkEnd w:id="580"/>
      <w:bookmarkEnd w:id="581"/>
      <w:bookmarkEnd w:id="582"/>
      <w:bookmarkEnd w:id="583"/>
    </w:p>
    <w:p>
      <w:pPr>
        <w:pStyle w:val="739"/>
        <w:ind w:firstLine="420"/>
        <w:rPr>
          <w:kern w:val="0"/>
        </w:rPr>
      </w:pPr>
      <w:r>
        <w:rPr>
          <w:rFonts w:asciiTheme="minorHAnsi" w:hAnsiTheme="minorHAnsi"/>
          <w:sz w:val="21"/>
        </w:rPr>
        <w:pict>
          <v:shape id="Picture 1108" o:spid="_x0000_s1153" o:spt="75" type="#_x0000_t75" style="position:absolute;left:0pt;margin-left:72pt;margin-top:53.95pt;height:38pt;width:147pt;z-index:251677696;mso-width-relative:page;mso-height-relative:page;" o:ole="t" filled="f" o:preferrelative="t" stroked="f" coordsize="21600,21600">
            <v:path/>
            <v:fill on="f" focussize="0,0"/>
            <v:stroke on="f" joinstyle="miter"/>
            <v:imagedata r:id="rId63" o:title=""/>
            <o:lock v:ext="edit" aspectratio="t"/>
          </v:shape>
          <o:OLEObject Type="Embed" ProgID="Equation.3" ShapeID="Picture 1108" DrawAspect="Content" ObjectID="_1468075740" r:id="rId62">
            <o:LockedField>false</o:LockedField>
          </o:OLEObject>
        </w:pict>
      </w:r>
      <w:r>
        <w:rPr>
          <w:rFonts w:hint="eastAsia"/>
          <w:kern w:val="0"/>
        </w:rPr>
        <w:t>事故状态下储罐中液体泄漏量的预测选用《建设项目环境风险评价技术导则》</w:t>
      </w:r>
      <w:r>
        <w:rPr>
          <w:kern w:val="0"/>
        </w:rPr>
        <w:t>(HJ169-2018)</w:t>
      </w:r>
      <w:r>
        <w:rPr>
          <w:rFonts w:hint="eastAsia"/>
          <w:kern w:val="0"/>
        </w:rPr>
        <w:t>附录</w:t>
      </w:r>
      <w:r>
        <w:rPr>
          <w:kern w:val="0"/>
        </w:rPr>
        <w:t>2</w:t>
      </w:r>
      <w:r>
        <w:rPr>
          <w:rFonts w:hint="eastAsia"/>
          <w:kern w:val="0"/>
        </w:rPr>
        <w:t>中推荐的液体泄漏速度</w:t>
      </w:r>
      <w:r>
        <w:rPr>
          <w:kern w:val="0"/>
        </w:rPr>
        <w:t>QL</w:t>
      </w:r>
      <w:r>
        <w:rPr>
          <w:rFonts w:hint="eastAsia"/>
          <w:kern w:val="0"/>
        </w:rPr>
        <w:t>用柏努利方程计算，计算公式如下：</w:t>
      </w:r>
    </w:p>
    <w:p>
      <w:pPr>
        <w:widowControl/>
        <w:adjustRightInd w:val="0"/>
        <w:snapToGrid w:val="0"/>
        <w:ind w:firstLine="480"/>
        <w:jc w:val="left"/>
        <w:rPr>
          <w:rFonts w:cs="Times New Roman"/>
          <w:kern w:val="0"/>
          <w:szCs w:val="24"/>
        </w:rPr>
      </w:pPr>
    </w:p>
    <w:p>
      <w:pPr>
        <w:widowControl/>
        <w:adjustRightInd w:val="0"/>
        <w:snapToGrid w:val="0"/>
        <w:ind w:firstLine="480"/>
        <w:jc w:val="left"/>
        <w:rPr>
          <w:rFonts w:cs="Times New Roman" w:hAnsiTheme="minorEastAsia"/>
          <w:kern w:val="0"/>
          <w:szCs w:val="24"/>
        </w:rPr>
      </w:pPr>
    </w:p>
    <w:p>
      <w:pPr>
        <w:widowControl/>
        <w:adjustRightInd w:val="0"/>
        <w:snapToGrid w:val="0"/>
        <w:ind w:firstLine="480"/>
        <w:jc w:val="left"/>
        <w:rPr>
          <w:rFonts w:cs="Times New Roman" w:hAnsiTheme="minorEastAsia"/>
          <w:kern w:val="0"/>
          <w:szCs w:val="24"/>
        </w:rPr>
      </w:pPr>
    </w:p>
    <w:p>
      <w:pPr>
        <w:widowControl/>
        <w:adjustRightInd w:val="0"/>
        <w:snapToGrid w:val="0"/>
        <w:ind w:firstLine="480"/>
        <w:jc w:val="left"/>
        <w:rPr>
          <w:rFonts w:cs="Times New Roman"/>
          <w:kern w:val="0"/>
          <w:szCs w:val="24"/>
        </w:rPr>
      </w:pPr>
      <w:r>
        <w:rPr>
          <w:rFonts w:hint="eastAsia" w:cs="Times New Roman" w:hAnsiTheme="minorEastAsia"/>
          <w:kern w:val="0"/>
          <w:szCs w:val="24"/>
        </w:rPr>
        <w:t>式中：</w:t>
      </w:r>
      <w:r>
        <w:rPr>
          <w:rFonts w:cs="Times New Roman"/>
          <w:kern w:val="0"/>
          <w:szCs w:val="24"/>
        </w:rPr>
        <w:t>Q——</w:t>
      </w:r>
      <w:r>
        <w:rPr>
          <w:rFonts w:hint="eastAsia" w:cs="Times New Roman" w:hAnsiTheme="minorEastAsia"/>
          <w:kern w:val="0"/>
          <w:szCs w:val="24"/>
        </w:rPr>
        <w:t>液体泄漏速度，</w:t>
      </w:r>
      <w:r>
        <w:rPr>
          <w:rFonts w:cs="Times New Roman"/>
          <w:kern w:val="0"/>
          <w:szCs w:val="24"/>
        </w:rPr>
        <w:t>kg/s</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Cd——</w:t>
      </w:r>
      <w:r>
        <w:rPr>
          <w:rFonts w:hint="eastAsia" w:cs="Times New Roman" w:hAnsiTheme="minorEastAsia"/>
          <w:kern w:val="0"/>
          <w:szCs w:val="24"/>
        </w:rPr>
        <w:t>液体泄漏系数，按</w:t>
      </w:r>
      <w:r>
        <w:rPr>
          <w:rFonts w:cs="Times New Roman"/>
          <w:kern w:val="0"/>
          <w:szCs w:val="24"/>
        </w:rPr>
        <w:t>0.62</w:t>
      </w:r>
      <w:r>
        <w:rPr>
          <w:rFonts w:hint="eastAsia" w:cs="Times New Roman" w:hAnsiTheme="minorEastAsia"/>
          <w:kern w:val="0"/>
          <w:szCs w:val="24"/>
        </w:rPr>
        <w:t>选取；</w:t>
      </w:r>
    </w:p>
    <w:p>
      <w:pPr>
        <w:widowControl/>
        <w:adjustRightInd w:val="0"/>
        <w:snapToGrid w:val="0"/>
        <w:ind w:firstLine="480"/>
        <w:jc w:val="left"/>
        <w:rPr>
          <w:rFonts w:cs="Times New Roman"/>
          <w:kern w:val="0"/>
          <w:szCs w:val="24"/>
        </w:rPr>
      </w:pPr>
      <w:r>
        <w:rPr>
          <w:rFonts w:cs="Times New Roman"/>
          <w:kern w:val="0"/>
          <w:szCs w:val="24"/>
        </w:rPr>
        <w:t>A——</w:t>
      </w:r>
      <w:r>
        <w:rPr>
          <w:rFonts w:hint="eastAsia" w:cs="Times New Roman" w:hAnsiTheme="minorEastAsia"/>
          <w:kern w:val="0"/>
          <w:szCs w:val="24"/>
        </w:rPr>
        <w:t>裂口面积，</w:t>
      </w:r>
      <w:r>
        <w:rPr>
          <w:rFonts w:cs="Times New Roman"/>
          <w:kern w:val="0"/>
          <w:szCs w:val="24"/>
        </w:rPr>
        <w:t>m</w:t>
      </w:r>
      <w:r>
        <w:rPr>
          <w:rFonts w:cs="Times New Roman"/>
          <w:kern w:val="0"/>
          <w:szCs w:val="24"/>
          <w:vertAlign w:val="superscript"/>
        </w:rPr>
        <w:t>2</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ρ——</w:t>
      </w:r>
      <w:r>
        <w:rPr>
          <w:rFonts w:hint="eastAsia" w:cs="Times New Roman" w:hAnsiTheme="minorEastAsia"/>
          <w:kern w:val="0"/>
          <w:szCs w:val="24"/>
        </w:rPr>
        <w:t>泄漏液体密度，</w:t>
      </w:r>
      <w:r>
        <w:rPr>
          <w:rFonts w:cs="Times New Roman"/>
          <w:kern w:val="0"/>
          <w:szCs w:val="24"/>
        </w:rPr>
        <w:t>kg/m</w:t>
      </w:r>
      <w:r>
        <w:rPr>
          <w:rFonts w:cs="Times New Roman"/>
          <w:kern w:val="0"/>
          <w:szCs w:val="24"/>
          <w:vertAlign w:val="superscript"/>
        </w:rPr>
        <w:t>3</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P——</w:t>
      </w:r>
      <w:r>
        <w:rPr>
          <w:rFonts w:hint="eastAsia" w:cs="Times New Roman" w:hAnsiTheme="minorEastAsia"/>
          <w:kern w:val="0"/>
          <w:szCs w:val="24"/>
        </w:rPr>
        <w:t>容器内介质压力，</w:t>
      </w:r>
      <w:r>
        <w:rPr>
          <w:rFonts w:cs="Times New Roman"/>
          <w:kern w:val="0"/>
          <w:szCs w:val="24"/>
        </w:rPr>
        <w:t>Pa</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P0——</w:t>
      </w:r>
      <w:r>
        <w:rPr>
          <w:rFonts w:hint="eastAsia" w:cs="Times New Roman" w:hAnsiTheme="minorEastAsia"/>
          <w:kern w:val="0"/>
          <w:szCs w:val="24"/>
        </w:rPr>
        <w:t>环境压力，</w:t>
      </w:r>
      <w:r>
        <w:rPr>
          <w:rFonts w:cs="Times New Roman"/>
          <w:kern w:val="0"/>
          <w:szCs w:val="24"/>
        </w:rPr>
        <w:t>Pa</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g——</w:t>
      </w:r>
      <w:r>
        <w:rPr>
          <w:rFonts w:hint="eastAsia" w:cs="Times New Roman" w:hAnsiTheme="minorEastAsia"/>
          <w:kern w:val="0"/>
          <w:szCs w:val="24"/>
        </w:rPr>
        <w:t>重力加速度</w:t>
      </w:r>
    </w:p>
    <w:p>
      <w:pPr>
        <w:widowControl/>
        <w:adjustRightInd w:val="0"/>
        <w:snapToGrid w:val="0"/>
        <w:ind w:firstLine="480"/>
        <w:jc w:val="left"/>
        <w:rPr>
          <w:rFonts w:cs="Times New Roman"/>
          <w:kern w:val="0"/>
          <w:szCs w:val="24"/>
        </w:rPr>
      </w:pPr>
      <w:r>
        <w:rPr>
          <w:rFonts w:cs="Times New Roman"/>
          <w:kern w:val="0"/>
          <w:szCs w:val="24"/>
        </w:rPr>
        <w:t>h——</w:t>
      </w:r>
      <w:r>
        <w:rPr>
          <w:rFonts w:hint="eastAsia" w:cs="Times New Roman" w:hAnsiTheme="minorEastAsia"/>
          <w:kern w:val="0"/>
          <w:szCs w:val="24"/>
        </w:rPr>
        <w:t>裂口之上液位高度，</w:t>
      </w:r>
      <w:r>
        <w:rPr>
          <w:rFonts w:cs="Times New Roman"/>
          <w:kern w:val="0"/>
          <w:szCs w:val="24"/>
        </w:rPr>
        <w:t>m</w:t>
      </w:r>
      <w:r>
        <w:rPr>
          <w:rFonts w:hint="eastAsia" w:cs="Times New Roman" w:hAnsiTheme="minorEastAsia"/>
          <w:kern w:val="0"/>
          <w:szCs w:val="24"/>
        </w:rPr>
        <w:t>。</w:t>
      </w:r>
    </w:p>
    <w:p>
      <w:pPr>
        <w:pStyle w:val="739"/>
        <w:ind w:firstLine="480"/>
        <w:outlineLvl w:val="0"/>
        <w:rPr>
          <w:kern w:val="0"/>
        </w:rPr>
      </w:pPr>
      <w:bookmarkStart w:id="584" w:name="_Toc516504753"/>
      <w:bookmarkStart w:id="585" w:name="_Toc518548546"/>
      <w:bookmarkStart w:id="586" w:name="_Toc520218219"/>
      <w:r>
        <w:fldChar w:fldCharType="begin"/>
      </w:r>
      <w:r>
        <w:rPr>
          <w:kern w:val="0"/>
        </w:rPr>
        <w:instrText xml:space="preserve"> = 2 \* GB2 </w:instrText>
      </w:r>
      <w:r>
        <w:fldChar w:fldCharType="separate"/>
      </w:r>
      <w:bookmarkStart w:id="587" w:name="_Toc13582261"/>
      <w:bookmarkStart w:id="588" w:name="_Toc13760289"/>
      <w:r>
        <w:rPr>
          <w:rFonts w:hint="eastAsia" w:hAnsiTheme="minorEastAsia"/>
          <w:kern w:val="0"/>
        </w:rPr>
        <w:t>⑵</w:t>
      </w:r>
      <w:r>
        <w:fldChar w:fldCharType="end"/>
      </w:r>
      <w:r>
        <w:rPr>
          <w:rFonts w:hint="eastAsia" w:hAnsiTheme="minorEastAsia"/>
          <w:kern w:val="0"/>
        </w:rPr>
        <w:t>液相泄漏液体蒸发量</w:t>
      </w:r>
      <w:bookmarkEnd w:id="584"/>
      <w:bookmarkEnd w:id="585"/>
      <w:bookmarkEnd w:id="586"/>
      <w:bookmarkEnd w:id="587"/>
      <w:bookmarkEnd w:id="588"/>
    </w:p>
    <w:p>
      <w:pPr>
        <w:widowControl/>
        <w:adjustRightInd w:val="0"/>
        <w:snapToGrid w:val="0"/>
        <w:ind w:firstLine="480"/>
        <w:jc w:val="left"/>
        <w:rPr>
          <w:rFonts w:cs="Times New Roman"/>
          <w:kern w:val="0"/>
          <w:szCs w:val="24"/>
        </w:rPr>
      </w:pPr>
      <w:r>
        <w:rPr>
          <w:rFonts w:hint="eastAsia" w:cs="Times New Roman" w:hAnsiTheme="minorEastAsia"/>
          <w:kern w:val="0"/>
          <w:szCs w:val="24"/>
        </w:rPr>
        <w:t>泄漏液体的蒸发分为闪蒸蒸发、热量蒸发和质量蒸发三种，其蒸发总量为这三种蒸发之和。《建设项目环境风险评价技术导则》</w:t>
      </w:r>
      <w:r>
        <w:rPr>
          <w:rFonts w:cs="Times New Roman"/>
          <w:kern w:val="0"/>
          <w:szCs w:val="24"/>
        </w:rPr>
        <w:t>(HJ169-2018)</w:t>
      </w:r>
      <w:r>
        <w:rPr>
          <w:rFonts w:hint="eastAsia" w:cs="Times New Roman" w:hAnsiTheme="minorEastAsia"/>
          <w:kern w:val="0"/>
          <w:szCs w:val="24"/>
        </w:rPr>
        <w:t>推荐的蒸发速度计算公式如下：</w:t>
      </w:r>
    </w:p>
    <w:p>
      <w:pPr>
        <w:pStyle w:val="739"/>
        <w:ind w:firstLine="480"/>
        <w:outlineLvl w:val="0"/>
        <w:rPr>
          <w:kern w:val="0"/>
        </w:rPr>
      </w:pPr>
      <w:bookmarkStart w:id="589" w:name="_Toc13760290"/>
      <w:bookmarkStart w:id="590" w:name="_Toc13582262"/>
      <w:r>
        <w:rPr>
          <w:rFonts w:hint="eastAsia"/>
          <w:kern w:val="0"/>
        </w:rPr>
        <w:t>①闪蒸量的估算</w:t>
      </w:r>
      <w:bookmarkEnd w:id="589"/>
      <w:bookmarkEnd w:id="590"/>
    </w:p>
    <w:p>
      <w:pPr>
        <w:widowControl/>
        <w:adjustRightInd w:val="0"/>
        <w:snapToGrid w:val="0"/>
        <w:ind w:firstLine="480"/>
        <w:jc w:val="left"/>
        <w:rPr>
          <w:rFonts w:cs="Times New Roman"/>
          <w:kern w:val="0"/>
          <w:szCs w:val="24"/>
        </w:rPr>
      </w:pPr>
      <w:r>
        <w:rPr>
          <w:rFonts w:hint="eastAsia" w:cs="Times New Roman" w:hAnsiTheme="minorEastAsia"/>
          <w:kern w:val="0"/>
          <w:szCs w:val="24"/>
        </w:rPr>
        <w:t>过热液体闪蒸量可按下式估算</w:t>
      </w:r>
    </w:p>
    <w:p>
      <w:pPr>
        <w:widowControl/>
        <w:adjustRightInd w:val="0"/>
        <w:snapToGrid w:val="0"/>
        <w:ind w:firstLine="480"/>
        <w:jc w:val="left"/>
        <w:outlineLvl w:val="0"/>
        <w:rPr>
          <w:rFonts w:cs="Times New Roman"/>
          <w:kern w:val="0"/>
          <w:szCs w:val="24"/>
        </w:rPr>
      </w:pPr>
      <w:bookmarkStart w:id="591" w:name="_Toc276383661"/>
      <w:r>
        <w:rPr>
          <w:rFonts w:cs="Times New Roman"/>
          <w:kern w:val="0"/>
          <w:szCs w:val="24"/>
        </w:rPr>
        <w:tab/>
      </w:r>
      <w:r>
        <w:rPr>
          <w:rFonts w:cs="Times New Roman"/>
          <w:kern w:val="0"/>
          <w:szCs w:val="24"/>
        </w:rPr>
        <w:tab/>
      </w:r>
      <w:r>
        <w:rPr>
          <w:rFonts w:cs="Times New Roman"/>
          <w:kern w:val="0"/>
          <w:szCs w:val="24"/>
        </w:rPr>
        <w:t>Q1=F·W</w:t>
      </w:r>
      <w:r>
        <w:rPr>
          <w:rFonts w:cs="Times New Roman"/>
          <w:kern w:val="0"/>
          <w:szCs w:val="24"/>
          <w:vertAlign w:val="subscript"/>
        </w:rPr>
        <w:t>T</w:t>
      </w:r>
      <w:r>
        <w:rPr>
          <w:rFonts w:cs="Times New Roman"/>
          <w:kern w:val="0"/>
          <w:szCs w:val="24"/>
        </w:rPr>
        <w:t>/t</w:t>
      </w:r>
      <w:r>
        <w:rPr>
          <w:rFonts w:cs="Times New Roman"/>
          <w:kern w:val="0"/>
          <w:szCs w:val="24"/>
          <w:vertAlign w:val="subscript"/>
        </w:rPr>
        <w:t>1</w:t>
      </w:r>
      <w:bookmarkEnd w:id="591"/>
    </w:p>
    <w:p>
      <w:pPr>
        <w:pStyle w:val="739"/>
        <w:ind w:firstLine="480"/>
        <w:rPr>
          <w:kern w:val="0"/>
        </w:rPr>
      </w:pPr>
      <w:r>
        <w:rPr>
          <w:rFonts w:hint="eastAsia" w:hAnsiTheme="minorEastAsia"/>
          <w:kern w:val="0"/>
        </w:rPr>
        <w:t>式中：</w:t>
      </w:r>
      <w:r>
        <w:rPr>
          <w:kern w:val="0"/>
        </w:rPr>
        <w:t>Q</w:t>
      </w:r>
      <w:r>
        <w:rPr>
          <w:kern w:val="0"/>
          <w:vertAlign w:val="subscript"/>
        </w:rPr>
        <w:t>1</w:t>
      </w:r>
      <w:r>
        <w:rPr>
          <w:kern w:val="0"/>
        </w:rPr>
        <w:t>——</w:t>
      </w:r>
      <w:r>
        <w:rPr>
          <w:rFonts w:hint="eastAsia" w:hAnsiTheme="minorEastAsia"/>
          <w:kern w:val="0"/>
        </w:rPr>
        <w:t>闪蒸量，</w:t>
      </w:r>
      <w:r>
        <w:rPr>
          <w:kern w:val="0"/>
        </w:rPr>
        <w:t>kg/s</w:t>
      </w:r>
      <w:r>
        <w:rPr>
          <w:rFonts w:hint="eastAsia" w:hAnsiTheme="minorEastAsia"/>
          <w:kern w:val="0"/>
        </w:rPr>
        <w:t>；</w:t>
      </w:r>
    </w:p>
    <w:p>
      <w:pPr>
        <w:pStyle w:val="739"/>
        <w:ind w:firstLine="480"/>
        <w:rPr>
          <w:kern w:val="0"/>
        </w:rPr>
      </w:pPr>
      <w:bookmarkStart w:id="592" w:name="_Toc5286430"/>
      <w:bookmarkStart w:id="593" w:name="_Toc9403168"/>
      <w:r>
        <w:rPr>
          <w:kern w:val="0"/>
        </w:rPr>
        <w:t>W</w:t>
      </w:r>
      <w:r>
        <w:rPr>
          <w:kern w:val="0"/>
          <w:vertAlign w:val="subscript"/>
        </w:rPr>
        <w:t>T</w:t>
      </w:r>
      <w:r>
        <w:rPr>
          <w:kern w:val="0"/>
        </w:rPr>
        <w:t>——</w:t>
      </w:r>
      <w:r>
        <w:rPr>
          <w:rFonts w:hint="eastAsia" w:hAnsiTheme="minorEastAsia"/>
          <w:kern w:val="0"/>
        </w:rPr>
        <w:t>液体泄漏总量，</w:t>
      </w:r>
      <w:r>
        <w:rPr>
          <w:kern w:val="0"/>
        </w:rPr>
        <w:t>kg</w:t>
      </w:r>
      <w:r>
        <w:rPr>
          <w:rFonts w:hint="eastAsia" w:hAnsiTheme="minorEastAsia"/>
          <w:kern w:val="0"/>
        </w:rPr>
        <w:t>；</w:t>
      </w:r>
      <w:bookmarkEnd w:id="592"/>
      <w:bookmarkEnd w:id="593"/>
    </w:p>
    <w:p>
      <w:pPr>
        <w:pStyle w:val="739"/>
        <w:ind w:firstLine="480"/>
        <w:rPr>
          <w:kern w:val="0"/>
        </w:rPr>
      </w:pPr>
      <w:r>
        <w:rPr>
          <w:kern w:val="0"/>
        </w:rPr>
        <w:t>t</w:t>
      </w:r>
      <w:r>
        <w:rPr>
          <w:kern w:val="0"/>
          <w:vertAlign w:val="subscript"/>
        </w:rPr>
        <w:t>1</w:t>
      </w:r>
      <w:r>
        <w:rPr>
          <w:kern w:val="0"/>
        </w:rPr>
        <w:t>——</w:t>
      </w:r>
      <w:r>
        <w:rPr>
          <w:rFonts w:hint="eastAsia" w:hAnsiTheme="minorEastAsia"/>
          <w:kern w:val="0"/>
        </w:rPr>
        <w:t>闪蒸蒸发时间，</w:t>
      </w:r>
      <w:r>
        <w:rPr>
          <w:kern w:val="0"/>
        </w:rPr>
        <w:t>s</w:t>
      </w:r>
      <w:r>
        <w:rPr>
          <w:rFonts w:hint="eastAsia" w:hAnsiTheme="minorEastAsia"/>
          <w:kern w:val="0"/>
        </w:rPr>
        <w:t>；</w:t>
      </w:r>
    </w:p>
    <w:p>
      <w:pPr>
        <w:pStyle w:val="739"/>
        <w:ind w:firstLine="480"/>
        <w:rPr>
          <w:kern w:val="0"/>
        </w:rPr>
      </w:pPr>
      <w:r>
        <w:rPr>
          <w:kern w:val="0"/>
        </w:rPr>
        <w:t>F——</w:t>
      </w:r>
      <w:r>
        <w:rPr>
          <w:rFonts w:hint="eastAsia" w:hAnsiTheme="minorEastAsia"/>
          <w:kern w:val="0"/>
        </w:rPr>
        <w:t>蒸发的液体占液体总量的比例；按下式计算</w:t>
      </w:r>
    </w:p>
    <w:p>
      <w:pPr>
        <w:pStyle w:val="739"/>
        <w:ind w:firstLine="420"/>
        <w:rPr>
          <w:kern w:val="0"/>
        </w:rPr>
      </w:pPr>
      <w:r>
        <w:rPr>
          <w:rFonts w:asciiTheme="minorHAnsi" w:hAnsiTheme="minorHAnsi"/>
          <w:sz w:val="21"/>
        </w:rPr>
        <w:pict>
          <v:shape id="Picture 1107" o:spid="_x0000_s1155" o:spt="75" type="#_x0000_t75" style="position:absolute;left:0pt;margin-left:110.25pt;margin-top:6.3pt;height:31pt;width:74pt;z-index:251679744;mso-width-relative:page;mso-height-relative:page;" o:ole="t" filled="f" o:preferrelative="t" stroked="f" coordsize="21600,21600">
            <v:path/>
            <v:fill on="f" focussize="0,0"/>
            <v:stroke on="f" joinstyle="miter"/>
            <v:imagedata r:id="rId65" o:title=""/>
            <o:lock v:ext="edit" aspectratio="t"/>
          </v:shape>
          <o:OLEObject Type="Embed" ProgID="Equation.3" ShapeID="Picture 1107" DrawAspect="Content" ObjectID="_1468075741" r:id="rId64">
            <o:LockedField>false</o:LockedField>
          </o:OLEObject>
        </w:pict>
      </w:r>
    </w:p>
    <w:p>
      <w:pPr>
        <w:pStyle w:val="739"/>
        <w:ind w:firstLine="480"/>
        <w:rPr>
          <w:kern w:val="0"/>
        </w:rPr>
      </w:pPr>
    </w:p>
    <w:p>
      <w:pPr>
        <w:pStyle w:val="739"/>
        <w:ind w:firstLine="480"/>
        <w:rPr>
          <w:kern w:val="0"/>
        </w:rPr>
      </w:pPr>
      <w:r>
        <w:rPr>
          <w:rFonts w:hint="eastAsia" w:hAnsiTheme="minorEastAsia"/>
          <w:kern w:val="0"/>
        </w:rPr>
        <w:t>式中：</w:t>
      </w:r>
      <w:r>
        <w:rPr>
          <w:kern w:val="0"/>
        </w:rPr>
        <w:t>C</w:t>
      </w:r>
      <w:r>
        <w:rPr>
          <w:kern w:val="0"/>
          <w:vertAlign w:val="subscript"/>
        </w:rPr>
        <w:t>p</w:t>
      </w:r>
      <w:r>
        <w:rPr>
          <w:kern w:val="0"/>
        </w:rPr>
        <w:t>——</w:t>
      </w:r>
      <w:r>
        <w:rPr>
          <w:rFonts w:hint="eastAsia" w:hAnsiTheme="minorEastAsia"/>
          <w:kern w:val="0"/>
        </w:rPr>
        <w:t>液体的定压比热，</w:t>
      </w:r>
      <w:r>
        <w:rPr>
          <w:kern w:val="0"/>
        </w:rPr>
        <w:t>J/(kg·K)</w:t>
      </w:r>
      <w:r>
        <w:rPr>
          <w:rFonts w:hint="eastAsia" w:hAnsiTheme="minorEastAsia"/>
          <w:kern w:val="0"/>
        </w:rPr>
        <w:t>；</w:t>
      </w:r>
    </w:p>
    <w:p>
      <w:pPr>
        <w:pStyle w:val="739"/>
        <w:ind w:firstLine="480"/>
        <w:rPr>
          <w:kern w:val="0"/>
        </w:rPr>
      </w:pPr>
      <w:r>
        <w:rPr>
          <w:kern w:val="0"/>
        </w:rPr>
        <w:t xml:space="preserve">   T</w:t>
      </w:r>
      <w:r>
        <w:rPr>
          <w:kern w:val="0"/>
          <w:vertAlign w:val="subscript"/>
        </w:rPr>
        <w:t>L</w:t>
      </w:r>
      <w:r>
        <w:rPr>
          <w:kern w:val="0"/>
        </w:rPr>
        <w:t>——</w:t>
      </w:r>
      <w:r>
        <w:rPr>
          <w:rFonts w:hint="eastAsia" w:hAnsiTheme="minorEastAsia"/>
          <w:kern w:val="0"/>
        </w:rPr>
        <w:t>泄漏前液体的温度，</w:t>
      </w:r>
      <w:r>
        <w:rPr>
          <w:kern w:val="0"/>
        </w:rPr>
        <w:t>K</w:t>
      </w:r>
      <w:r>
        <w:rPr>
          <w:rFonts w:hint="eastAsia" w:hAnsiTheme="minorEastAsia"/>
          <w:kern w:val="0"/>
        </w:rPr>
        <w:t>；</w:t>
      </w:r>
    </w:p>
    <w:p>
      <w:pPr>
        <w:pStyle w:val="739"/>
        <w:ind w:firstLine="480"/>
        <w:rPr>
          <w:kern w:val="0"/>
        </w:rPr>
      </w:pPr>
      <w:r>
        <w:rPr>
          <w:kern w:val="0"/>
        </w:rPr>
        <w:t xml:space="preserve">   T</w:t>
      </w:r>
      <w:r>
        <w:rPr>
          <w:kern w:val="0"/>
          <w:vertAlign w:val="subscript"/>
        </w:rPr>
        <w:t>b</w:t>
      </w:r>
      <w:r>
        <w:rPr>
          <w:kern w:val="0"/>
        </w:rPr>
        <w:t>——</w:t>
      </w:r>
      <w:r>
        <w:rPr>
          <w:rFonts w:hint="eastAsia" w:hAnsiTheme="minorEastAsia"/>
          <w:kern w:val="0"/>
        </w:rPr>
        <w:t>液体在常压下的沸点，</w:t>
      </w:r>
      <w:r>
        <w:rPr>
          <w:kern w:val="0"/>
        </w:rPr>
        <w:t>K</w:t>
      </w:r>
      <w:r>
        <w:rPr>
          <w:rFonts w:hint="eastAsia" w:hAnsiTheme="minorEastAsia"/>
          <w:kern w:val="0"/>
        </w:rPr>
        <w:t>；</w:t>
      </w:r>
    </w:p>
    <w:p>
      <w:pPr>
        <w:pStyle w:val="739"/>
        <w:ind w:firstLine="480"/>
        <w:rPr>
          <w:kern w:val="0"/>
        </w:rPr>
      </w:pPr>
      <w:r>
        <w:rPr>
          <w:kern w:val="0"/>
        </w:rPr>
        <w:t xml:space="preserve">   H ——</w:t>
      </w:r>
      <w:r>
        <w:rPr>
          <w:rFonts w:hint="eastAsia" w:hAnsiTheme="minorEastAsia"/>
          <w:kern w:val="0"/>
        </w:rPr>
        <w:t>液体的气化热，</w:t>
      </w:r>
      <w:r>
        <w:rPr>
          <w:kern w:val="0"/>
        </w:rPr>
        <w:t>J/kg</w:t>
      </w:r>
      <w:r>
        <w:rPr>
          <w:rFonts w:hint="eastAsia" w:hAnsiTheme="minorEastAsia"/>
          <w:kern w:val="0"/>
        </w:rPr>
        <w:t>。</w:t>
      </w:r>
    </w:p>
    <w:p>
      <w:pPr>
        <w:pStyle w:val="739"/>
        <w:ind w:firstLine="480"/>
        <w:outlineLvl w:val="0"/>
        <w:rPr>
          <w:kern w:val="0"/>
        </w:rPr>
      </w:pPr>
      <w:bookmarkStart w:id="594" w:name="_Toc13760291"/>
      <w:bookmarkStart w:id="595" w:name="_Toc13582263"/>
      <w:r>
        <w:rPr>
          <w:rFonts w:hint="eastAsia"/>
          <w:kern w:val="0"/>
        </w:rPr>
        <w:t>②热量蒸发估算</w:t>
      </w:r>
      <w:bookmarkEnd w:id="594"/>
      <w:bookmarkEnd w:id="595"/>
    </w:p>
    <w:p>
      <w:pPr>
        <w:pStyle w:val="739"/>
        <w:ind w:firstLine="420"/>
        <w:rPr>
          <w:kern w:val="0"/>
        </w:rPr>
      </w:pPr>
      <w:r>
        <w:rPr>
          <w:rFonts w:asciiTheme="minorHAnsi" w:hAnsiTheme="minorHAnsi"/>
          <w:sz w:val="21"/>
        </w:rPr>
        <w:pict>
          <v:shape id="Picture 1109" o:spid="_x0000_s1156" o:spt="75" type="#_x0000_t75" style="position:absolute;left:0pt;margin-left:110.25pt;margin-top:44.55pt;height:33pt;width:94pt;z-index:251680768;mso-width-relative:page;mso-height-relative:page;" o:ole="t" filled="f" o:preferrelative="t" stroked="f" coordsize="21600,21600">
            <v:path/>
            <v:fill on="f" focussize="0,0"/>
            <v:stroke on="f" joinstyle="miter"/>
            <v:imagedata r:id="rId67" o:title=""/>
            <o:lock v:ext="edit" aspectratio="t"/>
          </v:shape>
          <o:OLEObject Type="Embed" ProgID="Equation.3" ShapeID="Picture 1109" DrawAspect="Content" ObjectID="_1468075742" r:id="rId66">
            <o:LockedField>false</o:LockedField>
          </o:OLEObject>
        </w:pict>
      </w:r>
      <w:r>
        <w:rPr>
          <w:rFonts w:hint="eastAsia" w:hAnsiTheme="minorEastAsia"/>
          <w:kern w:val="0"/>
        </w:rPr>
        <w:t>当液体闪蒸不完全，有一部分液体在地面形成液池，并吸收地面热量而气化称为热量蒸发。热量蒸发的蒸发速度</w:t>
      </w:r>
      <w:r>
        <w:rPr>
          <w:kern w:val="0"/>
        </w:rPr>
        <w:t>Q</w:t>
      </w:r>
      <w:r>
        <w:rPr>
          <w:kern w:val="0"/>
          <w:vertAlign w:val="subscript"/>
        </w:rPr>
        <w:t>2</w:t>
      </w:r>
      <w:r>
        <w:rPr>
          <w:rFonts w:hint="eastAsia" w:hAnsiTheme="minorEastAsia"/>
          <w:kern w:val="0"/>
        </w:rPr>
        <w:t>按下式计算：</w:t>
      </w:r>
    </w:p>
    <w:p>
      <w:pPr>
        <w:pStyle w:val="739"/>
        <w:ind w:firstLine="480"/>
        <w:rPr>
          <w:kern w:val="0"/>
        </w:rPr>
      </w:pPr>
    </w:p>
    <w:p>
      <w:pPr>
        <w:pStyle w:val="739"/>
        <w:ind w:firstLine="480"/>
        <w:rPr>
          <w:kern w:val="0"/>
        </w:rPr>
      </w:pPr>
    </w:p>
    <w:p>
      <w:pPr>
        <w:pStyle w:val="739"/>
        <w:ind w:firstLine="480"/>
        <w:rPr>
          <w:kern w:val="0"/>
        </w:rPr>
      </w:pPr>
      <w:r>
        <w:rPr>
          <w:rFonts w:hint="eastAsia" w:hAnsiTheme="minorEastAsia"/>
          <w:kern w:val="0"/>
        </w:rPr>
        <w:t>式中：</w:t>
      </w:r>
      <w:r>
        <w:rPr>
          <w:kern w:val="0"/>
        </w:rPr>
        <w:t>Q</w:t>
      </w:r>
      <w:r>
        <w:rPr>
          <w:kern w:val="0"/>
          <w:vertAlign w:val="subscript"/>
        </w:rPr>
        <w:t>2</w:t>
      </w:r>
      <w:r>
        <w:rPr>
          <w:kern w:val="0"/>
        </w:rPr>
        <w:t>——</w:t>
      </w:r>
      <w:r>
        <w:rPr>
          <w:rFonts w:hint="eastAsia" w:hAnsiTheme="minorEastAsia"/>
          <w:kern w:val="0"/>
        </w:rPr>
        <w:t>热量蒸发速度，</w:t>
      </w:r>
      <w:r>
        <w:rPr>
          <w:kern w:val="0"/>
        </w:rPr>
        <w:t>kg/s</w:t>
      </w:r>
      <w:r>
        <w:rPr>
          <w:rFonts w:hint="eastAsia" w:hAnsiTheme="minorEastAsia"/>
          <w:kern w:val="0"/>
        </w:rPr>
        <w:t>；</w:t>
      </w:r>
    </w:p>
    <w:p>
      <w:pPr>
        <w:pStyle w:val="739"/>
        <w:ind w:firstLine="480"/>
        <w:rPr>
          <w:kern w:val="0"/>
        </w:rPr>
      </w:pPr>
      <w:r>
        <w:rPr>
          <w:kern w:val="0"/>
        </w:rPr>
        <w:t xml:space="preserve">    T</w:t>
      </w:r>
      <w:r>
        <w:rPr>
          <w:kern w:val="0"/>
          <w:vertAlign w:val="subscript"/>
        </w:rPr>
        <w:t>0</w:t>
      </w:r>
      <w:r>
        <w:rPr>
          <w:kern w:val="0"/>
        </w:rPr>
        <w:t>——</w:t>
      </w:r>
      <w:r>
        <w:rPr>
          <w:rFonts w:hint="eastAsia" w:hAnsiTheme="minorEastAsia"/>
          <w:kern w:val="0"/>
        </w:rPr>
        <w:t>环境温度，</w:t>
      </w:r>
      <w:r>
        <w:rPr>
          <w:kern w:val="0"/>
        </w:rPr>
        <w:t>k</w:t>
      </w:r>
      <w:r>
        <w:rPr>
          <w:rFonts w:hint="eastAsia" w:hAnsiTheme="minorEastAsia"/>
          <w:kern w:val="0"/>
        </w:rPr>
        <w:t>；</w:t>
      </w:r>
    </w:p>
    <w:p>
      <w:pPr>
        <w:pStyle w:val="739"/>
        <w:ind w:firstLine="480"/>
        <w:rPr>
          <w:kern w:val="0"/>
        </w:rPr>
      </w:pPr>
      <w:r>
        <w:rPr>
          <w:kern w:val="0"/>
        </w:rPr>
        <w:t xml:space="preserve">    T</w:t>
      </w:r>
      <w:r>
        <w:rPr>
          <w:kern w:val="0"/>
          <w:vertAlign w:val="subscript"/>
        </w:rPr>
        <w:t>b</w:t>
      </w:r>
      <w:r>
        <w:rPr>
          <w:kern w:val="0"/>
        </w:rPr>
        <w:t>——</w:t>
      </w:r>
      <w:r>
        <w:rPr>
          <w:rFonts w:hint="eastAsia" w:hAnsiTheme="minorEastAsia"/>
          <w:kern w:val="0"/>
        </w:rPr>
        <w:t>沸点温度；</w:t>
      </w:r>
      <w:r>
        <w:rPr>
          <w:kern w:val="0"/>
        </w:rPr>
        <w:t>k</w:t>
      </w:r>
      <w:r>
        <w:rPr>
          <w:rFonts w:hint="eastAsia" w:hAnsiTheme="minorEastAsia"/>
          <w:kern w:val="0"/>
        </w:rPr>
        <w:t>；</w:t>
      </w:r>
    </w:p>
    <w:p>
      <w:pPr>
        <w:widowControl/>
        <w:adjustRightInd w:val="0"/>
        <w:snapToGrid w:val="0"/>
        <w:ind w:firstLine="480"/>
        <w:jc w:val="left"/>
        <w:rPr>
          <w:rFonts w:cs="Times New Roman"/>
          <w:kern w:val="0"/>
          <w:szCs w:val="24"/>
        </w:rPr>
      </w:pPr>
      <w:r>
        <w:rPr>
          <w:rFonts w:cs="Times New Roman"/>
          <w:kern w:val="0"/>
          <w:szCs w:val="24"/>
        </w:rPr>
        <w:t xml:space="preserve">    S——</w:t>
      </w:r>
      <w:r>
        <w:rPr>
          <w:rFonts w:hint="eastAsia" w:cs="Times New Roman" w:hAnsiTheme="minorEastAsia"/>
          <w:kern w:val="0"/>
          <w:szCs w:val="24"/>
        </w:rPr>
        <w:t>液池面积，</w:t>
      </w:r>
      <w:r>
        <w:rPr>
          <w:rFonts w:cs="Times New Roman"/>
          <w:kern w:val="0"/>
          <w:szCs w:val="24"/>
        </w:rPr>
        <w:t>m</w:t>
      </w:r>
      <w:r>
        <w:rPr>
          <w:rFonts w:cs="Times New Roman"/>
          <w:kern w:val="0"/>
          <w:szCs w:val="24"/>
          <w:vertAlign w:val="superscript"/>
        </w:rPr>
        <w:t>2</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H——</w:t>
      </w:r>
      <w:r>
        <w:rPr>
          <w:rFonts w:hint="eastAsia" w:cs="Times New Roman" w:hAnsiTheme="minorEastAsia"/>
          <w:kern w:val="0"/>
          <w:szCs w:val="24"/>
        </w:rPr>
        <w:t>液体气化热，</w:t>
      </w:r>
      <w:r>
        <w:rPr>
          <w:rFonts w:cs="Times New Roman"/>
          <w:kern w:val="0"/>
          <w:szCs w:val="24"/>
        </w:rPr>
        <w:t>J/kg</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λ——</w:t>
      </w:r>
      <w:r>
        <w:rPr>
          <w:rFonts w:hint="eastAsia" w:cs="Times New Roman" w:hAnsiTheme="minorEastAsia"/>
          <w:kern w:val="0"/>
          <w:szCs w:val="24"/>
        </w:rPr>
        <w:t>表面热导系数，</w:t>
      </w:r>
      <w:r>
        <w:rPr>
          <w:rFonts w:cs="Times New Roman"/>
          <w:kern w:val="0"/>
          <w:szCs w:val="24"/>
        </w:rPr>
        <w:t>W/m·k</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α——</w:t>
      </w:r>
      <w:r>
        <w:rPr>
          <w:rFonts w:hint="eastAsia" w:cs="Times New Roman" w:hAnsiTheme="minorEastAsia"/>
          <w:kern w:val="0"/>
          <w:szCs w:val="24"/>
        </w:rPr>
        <w:t>表面热扩散系数，</w:t>
      </w:r>
      <w:r>
        <w:rPr>
          <w:rFonts w:cs="Times New Roman"/>
          <w:kern w:val="0"/>
          <w:szCs w:val="24"/>
        </w:rPr>
        <w:t>m</w:t>
      </w:r>
      <w:r>
        <w:rPr>
          <w:rFonts w:cs="Times New Roman"/>
          <w:kern w:val="0"/>
          <w:szCs w:val="24"/>
          <w:vertAlign w:val="superscript"/>
        </w:rPr>
        <w:t>2</w:t>
      </w:r>
      <w:r>
        <w:rPr>
          <w:rFonts w:cs="Times New Roman"/>
          <w:kern w:val="0"/>
          <w:szCs w:val="24"/>
        </w:rPr>
        <w:t>/s</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t——</w:t>
      </w:r>
      <w:r>
        <w:rPr>
          <w:rFonts w:hint="eastAsia" w:cs="Times New Roman" w:hAnsiTheme="minorEastAsia"/>
          <w:kern w:val="0"/>
          <w:szCs w:val="24"/>
        </w:rPr>
        <w:t>蒸发时间，</w:t>
      </w:r>
      <w:r>
        <w:rPr>
          <w:rFonts w:cs="Times New Roman"/>
          <w:kern w:val="0"/>
          <w:szCs w:val="24"/>
        </w:rPr>
        <w:t>s</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hint="eastAsia" w:cs="Times New Roman" w:hAnsiTheme="minorEastAsia"/>
          <w:color w:val="000000"/>
          <w:kern w:val="0"/>
          <w:szCs w:val="24"/>
        </w:rPr>
        <w:t>表</w:t>
      </w:r>
      <w:r>
        <w:rPr>
          <w:rFonts w:cs="Times New Roman"/>
          <w:kern w:val="0"/>
          <w:szCs w:val="24"/>
        </w:rPr>
        <w:t>8.5</w:t>
      </w:r>
      <w:r>
        <w:rPr>
          <w:rFonts w:hint="eastAsia" w:cs="Times New Roman"/>
          <w:kern w:val="0"/>
          <w:szCs w:val="24"/>
        </w:rPr>
        <w:t>—</w:t>
      </w:r>
      <w:r>
        <w:rPr>
          <w:rFonts w:cs="Times New Roman"/>
          <w:kern w:val="0"/>
          <w:szCs w:val="24"/>
        </w:rPr>
        <w:t xml:space="preserve">4       </w:t>
      </w:r>
      <w:r>
        <w:rPr>
          <w:rFonts w:hint="eastAsia" w:cs="Times New Roman" w:hAnsiTheme="minorEastAsia"/>
          <w:kern w:val="0"/>
          <w:szCs w:val="24"/>
        </w:rPr>
        <w:t>某些地面的热传递性质</w:t>
      </w:r>
    </w:p>
    <w:tbl>
      <w:tblPr>
        <w:tblStyle w:val="88"/>
        <w:tblW w:w="9854"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924"/>
        <w:gridCol w:w="3465"/>
        <w:gridCol w:w="346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24" w:type="dxa"/>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地面情况</w:t>
            </w:r>
          </w:p>
        </w:tc>
        <w:tc>
          <w:tcPr>
            <w:tcW w:w="3465"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Λ(w/m·k)</w:t>
            </w:r>
          </w:p>
        </w:tc>
        <w:tc>
          <w:tcPr>
            <w:tcW w:w="3465" w:type="dxa"/>
            <w:tcBorders>
              <w:top w:val="single" w:color="auto" w:sz="12"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a(m</w:t>
            </w:r>
            <w:r>
              <w:rPr>
                <w:kern w:val="0"/>
                <w:sz w:val="21"/>
                <w:vertAlign w:val="superscript"/>
              </w:rPr>
              <w:t>2</w:t>
            </w:r>
            <w:r>
              <w:rPr>
                <w:kern w:val="0"/>
                <w:sz w:val="21"/>
              </w:rPr>
              <w:t>/s)</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24" w:type="dxa"/>
            <w:tcBorders>
              <w:top w:val="single" w:color="auto" w:sz="12"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水泥</w:t>
            </w:r>
          </w:p>
        </w:tc>
        <w:tc>
          <w:tcPr>
            <w:tcW w:w="3465" w:type="dxa"/>
            <w:tcBorders>
              <w:top w:val="single" w:color="auto" w:sz="12"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1.1</w:t>
            </w:r>
          </w:p>
        </w:tc>
        <w:tc>
          <w:tcPr>
            <w:tcW w:w="3465" w:type="dxa"/>
            <w:tcBorders>
              <w:top w:val="single" w:color="auto" w:sz="12"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1.29×10</w:t>
            </w:r>
            <w:r>
              <w:rPr>
                <w:kern w:val="0"/>
                <w:sz w:val="21"/>
                <w:vertAlign w:val="superscript"/>
              </w:rPr>
              <w:t>-7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24"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土地</w:t>
            </w:r>
            <w:r>
              <w:rPr>
                <w:kern w:val="0"/>
                <w:sz w:val="21"/>
              </w:rPr>
              <w:t>(</w:t>
            </w:r>
            <w:r>
              <w:rPr>
                <w:rFonts w:hint="eastAsia"/>
                <w:kern w:val="0"/>
                <w:sz w:val="21"/>
              </w:rPr>
              <w:t>含水</w:t>
            </w:r>
            <w:r>
              <w:rPr>
                <w:kern w:val="0"/>
                <w:sz w:val="21"/>
              </w:rPr>
              <w:t>8%)</w:t>
            </w:r>
          </w:p>
        </w:tc>
        <w:tc>
          <w:tcPr>
            <w:tcW w:w="3465"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0.9</w:t>
            </w:r>
          </w:p>
        </w:tc>
        <w:tc>
          <w:tcPr>
            <w:tcW w:w="3465" w:type="dxa"/>
            <w:tcBorders>
              <w:top w:val="dotted" w:color="auto" w:sz="4"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4.3×10</w:t>
            </w:r>
            <w:r>
              <w:rPr>
                <w:kern w:val="0"/>
                <w:sz w:val="21"/>
                <w:vertAlign w:val="superscript"/>
              </w:rPr>
              <w:t>-7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24"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干阔土地</w:t>
            </w:r>
          </w:p>
        </w:tc>
        <w:tc>
          <w:tcPr>
            <w:tcW w:w="3465"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0.3</w:t>
            </w:r>
          </w:p>
        </w:tc>
        <w:tc>
          <w:tcPr>
            <w:tcW w:w="3465" w:type="dxa"/>
            <w:tcBorders>
              <w:top w:val="dotted" w:color="auto" w:sz="4"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2.3×10</w:t>
            </w:r>
            <w:r>
              <w:rPr>
                <w:kern w:val="0"/>
                <w:sz w:val="21"/>
                <w:vertAlign w:val="superscript"/>
              </w:rPr>
              <w:t>-7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24"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湿地</w:t>
            </w:r>
          </w:p>
        </w:tc>
        <w:tc>
          <w:tcPr>
            <w:tcW w:w="3465"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0.6</w:t>
            </w:r>
          </w:p>
        </w:tc>
        <w:tc>
          <w:tcPr>
            <w:tcW w:w="3465" w:type="dxa"/>
            <w:tcBorders>
              <w:top w:val="dotted" w:color="auto" w:sz="4"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3.3×10</w:t>
            </w:r>
            <w:r>
              <w:rPr>
                <w:kern w:val="0"/>
                <w:sz w:val="21"/>
                <w:vertAlign w:val="superscript"/>
              </w:rPr>
              <w:t>-7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24" w:type="dxa"/>
            <w:tcBorders>
              <w:top w:val="dotted" w:color="auto" w:sz="4"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砂砾地</w:t>
            </w:r>
          </w:p>
        </w:tc>
        <w:tc>
          <w:tcPr>
            <w:tcW w:w="3465"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2.5</w:t>
            </w:r>
          </w:p>
        </w:tc>
        <w:tc>
          <w:tcPr>
            <w:tcW w:w="3465" w:type="dxa"/>
            <w:tcBorders>
              <w:top w:val="dotted" w:color="auto" w:sz="4"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11.0×10</w:t>
            </w:r>
            <w:r>
              <w:rPr>
                <w:kern w:val="0"/>
                <w:sz w:val="21"/>
                <w:vertAlign w:val="superscript"/>
              </w:rPr>
              <w:t>-7</w:t>
            </w:r>
          </w:p>
        </w:tc>
      </w:tr>
    </w:tbl>
    <w:p>
      <w:pPr>
        <w:widowControl/>
        <w:adjustRightInd w:val="0"/>
        <w:snapToGrid w:val="0"/>
        <w:ind w:firstLine="480"/>
        <w:jc w:val="left"/>
        <w:rPr>
          <w:rFonts w:hAnsi="宋体" w:cs="Times New Roman"/>
          <w:kern w:val="0"/>
          <w:szCs w:val="24"/>
        </w:rPr>
      </w:pPr>
    </w:p>
    <w:p>
      <w:pPr>
        <w:widowControl/>
        <w:adjustRightInd w:val="0"/>
        <w:snapToGrid w:val="0"/>
        <w:ind w:firstLine="480"/>
        <w:jc w:val="left"/>
        <w:rPr>
          <w:rFonts w:cs="Times New Roman" w:eastAsiaTheme="minorEastAsia"/>
          <w:kern w:val="0"/>
          <w:szCs w:val="24"/>
        </w:rPr>
      </w:pPr>
      <w:r>
        <w:rPr>
          <w:rFonts w:hint="eastAsia" w:hAnsi="宋体" w:cs="Times New Roman"/>
          <w:kern w:val="0"/>
          <w:szCs w:val="24"/>
        </w:rPr>
        <w:t>③</w:t>
      </w:r>
      <w:r>
        <w:rPr>
          <w:rFonts w:hint="eastAsia" w:cs="Times New Roman"/>
          <w:kern w:val="0"/>
          <w:szCs w:val="24"/>
        </w:rPr>
        <w:t>质量蒸发估算</w:t>
      </w:r>
    </w:p>
    <w:p>
      <w:pPr>
        <w:widowControl/>
        <w:adjustRightInd w:val="0"/>
        <w:snapToGrid w:val="0"/>
        <w:ind w:firstLine="480"/>
        <w:jc w:val="left"/>
        <w:rPr>
          <w:rFonts w:cs="Times New Roman"/>
          <w:kern w:val="0"/>
          <w:szCs w:val="24"/>
        </w:rPr>
      </w:pPr>
      <w:r>
        <w:rPr>
          <w:rFonts w:hint="eastAsia" w:cs="Times New Roman"/>
          <w:kern w:val="0"/>
          <w:szCs w:val="24"/>
        </w:rPr>
        <w:t>当热量蒸发结束，转由液池表面气流运动使液体蒸发，称之为质量蒸发。质量蒸发速度</w:t>
      </w:r>
      <w:r>
        <w:rPr>
          <w:rFonts w:cs="Times New Roman"/>
          <w:kern w:val="0"/>
          <w:szCs w:val="24"/>
        </w:rPr>
        <w:t>Q</w:t>
      </w:r>
      <w:r>
        <w:rPr>
          <w:rFonts w:cs="Times New Roman"/>
          <w:kern w:val="0"/>
          <w:szCs w:val="24"/>
          <w:vertAlign w:val="subscript"/>
        </w:rPr>
        <w:t>3</w:t>
      </w:r>
      <w:r>
        <w:rPr>
          <w:rFonts w:hint="eastAsia" w:cs="Times New Roman"/>
          <w:kern w:val="0"/>
          <w:szCs w:val="24"/>
        </w:rPr>
        <w:t>按下式计算：</w:t>
      </w:r>
    </w:p>
    <w:p>
      <w:pPr>
        <w:widowControl/>
        <w:adjustRightInd w:val="0"/>
        <w:snapToGrid w:val="0"/>
        <w:ind w:firstLine="420"/>
        <w:jc w:val="center"/>
        <w:rPr>
          <w:rFonts w:cs="Times New Roman"/>
          <w:kern w:val="0"/>
          <w:szCs w:val="24"/>
        </w:rPr>
      </w:pPr>
      <w:r>
        <w:rPr>
          <w:rFonts w:asciiTheme="minorHAnsi" w:hAnsiTheme="minorHAnsi"/>
          <w:sz w:val="21"/>
        </w:rPr>
        <w:pict>
          <v:shape id="Picture 1106" o:spid="_x0000_s1154" o:spt="75" type="#_x0000_t75" style="position:absolute;left:0pt;margin-left:48.25pt;margin-top:3.25pt;height:19pt;width:240pt;z-index:251678720;mso-width-relative:page;mso-height-relative:page;" o:ole="t" filled="f" o:preferrelative="t" stroked="f" coordsize="21600,21600">
            <v:path/>
            <v:fill on="f" focussize="0,0"/>
            <v:stroke on="f" joinstyle="miter"/>
            <v:imagedata r:id="rId69" o:title=""/>
            <o:lock v:ext="edit" aspectratio="t"/>
          </v:shape>
          <o:OLEObject Type="Embed" ProgID="Equation.3" ShapeID="Picture 1106" DrawAspect="Content" ObjectID="_1468075743" r:id="rId68">
            <o:LockedField>false</o:LockedField>
          </o:OLEObject>
        </w:pict>
      </w:r>
    </w:p>
    <w:p>
      <w:pPr>
        <w:widowControl/>
        <w:adjustRightInd w:val="0"/>
        <w:snapToGrid w:val="0"/>
        <w:ind w:firstLine="480"/>
        <w:jc w:val="left"/>
        <w:rPr>
          <w:rFonts w:cs="Times New Roman"/>
          <w:kern w:val="0"/>
          <w:szCs w:val="24"/>
        </w:rPr>
      </w:pPr>
      <w:r>
        <w:rPr>
          <w:rFonts w:hint="eastAsia" w:cs="Times New Roman"/>
          <w:kern w:val="0"/>
          <w:szCs w:val="24"/>
        </w:rPr>
        <w:t>式中：</w:t>
      </w:r>
    </w:p>
    <w:p>
      <w:pPr>
        <w:widowControl/>
        <w:adjustRightInd w:val="0"/>
        <w:snapToGrid w:val="0"/>
        <w:ind w:firstLine="480"/>
        <w:jc w:val="left"/>
        <w:rPr>
          <w:rFonts w:cs="Times New Roman"/>
          <w:kern w:val="0"/>
          <w:szCs w:val="24"/>
        </w:rPr>
      </w:pPr>
      <w:r>
        <w:rPr>
          <w:rFonts w:cs="Times New Roman"/>
          <w:kern w:val="0"/>
          <w:szCs w:val="24"/>
        </w:rPr>
        <w:t xml:space="preserve">    Q</w:t>
      </w:r>
      <w:r>
        <w:rPr>
          <w:rFonts w:cs="Times New Roman"/>
          <w:kern w:val="0"/>
          <w:szCs w:val="24"/>
          <w:vertAlign w:val="subscript"/>
        </w:rPr>
        <w:t>3</w:t>
      </w:r>
      <w:r>
        <w:rPr>
          <w:rFonts w:cs="Times New Roman"/>
          <w:kern w:val="0"/>
          <w:szCs w:val="24"/>
        </w:rPr>
        <w:t>——</w:t>
      </w:r>
      <w:r>
        <w:rPr>
          <w:rFonts w:hint="eastAsia" w:cs="Times New Roman"/>
          <w:kern w:val="0"/>
          <w:szCs w:val="24"/>
        </w:rPr>
        <w:t>质量蒸发速度，</w:t>
      </w:r>
      <w:r>
        <w:rPr>
          <w:rFonts w:cs="Times New Roman"/>
          <w:kern w:val="0"/>
          <w:szCs w:val="24"/>
        </w:rPr>
        <w:t>kg/s</w:t>
      </w:r>
      <w:r>
        <w:rPr>
          <w:rFonts w:hint="eastAsia" w:cs="Times New Roman"/>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a</w:t>
      </w:r>
      <w:r>
        <w:rPr>
          <w:rFonts w:hint="eastAsia" w:cs="Times New Roman"/>
          <w:kern w:val="0"/>
          <w:szCs w:val="24"/>
        </w:rPr>
        <w:t>，</w:t>
      </w:r>
      <w:r>
        <w:rPr>
          <w:rFonts w:cs="Times New Roman"/>
          <w:kern w:val="0"/>
          <w:szCs w:val="24"/>
        </w:rPr>
        <w:t>n——</w:t>
      </w:r>
      <w:r>
        <w:rPr>
          <w:rFonts w:hint="eastAsia" w:cs="Times New Roman"/>
          <w:kern w:val="0"/>
          <w:szCs w:val="24"/>
        </w:rPr>
        <w:t>大气稳定度系数；</w:t>
      </w:r>
    </w:p>
    <w:p>
      <w:pPr>
        <w:widowControl/>
        <w:adjustRightInd w:val="0"/>
        <w:snapToGrid w:val="0"/>
        <w:ind w:firstLine="480"/>
        <w:jc w:val="left"/>
        <w:rPr>
          <w:rFonts w:cs="Times New Roman"/>
          <w:kern w:val="0"/>
          <w:szCs w:val="24"/>
        </w:rPr>
      </w:pPr>
      <w:r>
        <w:rPr>
          <w:rFonts w:cs="Times New Roman"/>
          <w:kern w:val="0"/>
          <w:szCs w:val="24"/>
        </w:rPr>
        <w:t xml:space="preserve">    p——</w:t>
      </w:r>
      <w:r>
        <w:rPr>
          <w:rFonts w:hint="eastAsia" w:cs="Times New Roman"/>
          <w:kern w:val="0"/>
          <w:szCs w:val="24"/>
        </w:rPr>
        <w:t>液体表面蒸气压，</w:t>
      </w:r>
      <w:r>
        <w:rPr>
          <w:rFonts w:cs="Times New Roman"/>
          <w:kern w:val="0"/>
          <w:szCs w:val="24"/>
        </w:rPr>
        <w:t>Pa</w:t>
      </w:r>
      <w:r>
        <w:rPr>
          <w:rFonts w:hint="eastAsia" w:cs="Times New Roman"/>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R——</w:t>
      </w:r>
      <w:r>
        <w:rPr>
          <w:rFonts w:hint="eastAsia" w:cs="Times New Roman"/>
          <w:kern w:val="0"/>
          <w:szCs w:val="24"/>
        </w:rPr>
        <w:t>气体常数；</w:t>
      </w:r>
      <w:r>
        <w:rPr>
          <w:rFonts w:cs="Times New Roman"/>
          <w:kern w:val="0"/>
          <w:szCs w:val="24"/>
        </w:rPr>
        <w:t>J/mol·k</w:t>
      </w:r>
      <w:r>
        <w:rPr>
          <w:rFonts w:hint="eastAsia" w:cs="Times New Roman"/>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T</w:t>
      </w:r>
      <w:r>
        <w:rPr>
          <w:rFonts w:cs="Times New Roman"/>
          <w:kern w:val="0"/>
          <w:szCs w:val="24"/>
          <w:vertAlign w:val="subscript"/>
        </w:rPr>
        <w:t>0</w:t>
      </w:r>
      <w:r>
        <w:rPr>
          <w:rFonts w:cs="Times New Roman"/>
          <w:kern w:val="0"/>
          <w:szCs w:val="24"/>
        </w:rPr>
        <w:t>——</w:t>
      </w:r>
      <w:r>
        <w:rPr>
          <w:rFonts w:hint="eastAsia" w:cs="Times New Roman"/>
          <w:kern w:val="0"/>
          <w:szCs w:val="24"/>
        </w:rPr>
        <w:t>环境温度，</w:t>
      </w:r>
      <w:r>
        <w:rPr>
          <w:rFonts w:cs="Times New Roman"/>
          <w:kern w:val="0"/>
          <w:szCs w:val="24"/>
        </w:rPr>
        <w:t>k</w:t>
      </w:r>
      <w:r>
        <w:rPr>
          <w:rFonts w:hint="eastAsia" w:cs="Times New Roman"/>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u——</w:t>
      </w:r>
      <w:r>
        <w:rPr>
          <w:rFonts w:hint="eastAsia" w:cs="Times New Roman"/>
          <w:kern w:val="0"/>
          <w:szCs w:val="24"/>
        </w:rPr>
        <w:t>风速，</w:t>
      </w:r>
      <w:r>
        <w:rPr>
          <w:rFonts w:cs="Times New Roman"/>
          <w:kern w:val="0"/>
          <w:szCs w:val="24"/>
        </w:rPr>
        <w:t>m/s</w:t>
      </w:r>
      <w:r>
        <w:rPr>
          <w:rFonts w:hint="eastAsia" w:cs="Times New Roman"/>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r——</w:t>
      </w:r>
      <w:r>
        <w:rPr>
          <w:rFonts w:hint="eastAsia" w:cs="Times New Roman"/>
          <w:kern w:val="0"/>
          <w:szCs w:val="24"/>
        </w:rPr>
        <w:t>液池半径，</w:t>
      </w:r>
      <w:r>
        <w:rPr>
          <w:rFonts w:cs="Times New Roman"/>
          <w:kern w:val="0"/>
          <w:szCs w:val="24"/>
        </w:rPr>
        <w:t>m</w:t>
      </w:r>
      <w:r>
        <w:rPr>
          <w:rFonts w:hint="eastAsia" w:cs="Times New Roman"/>
          <w:kern w:val="0"/>
          <w:szCs w:val="24"/>
        </w:rPr>
        <w:t>。</w:t>
      </w:r>
    </w:p>
    <w:p>
      <w:pPr>
        <w:pStyle w:val="739"/>
        <w:ind w:firstLine="480"/>
        <w:rPr>
          <w:kern w:val="0"/>
        </w:rPr>
      </w:pPr>
      <w:r>
        <w:rPr>
          <w:rFonts w:hint="eastAsia"/>
          <w:kern w:val="0"/>
        </w:rPr>
        <w:t>表</w:t>
      </w:r>
      <w:r>
        <w:rPr>
          <w:kern w:val="0"/>
        </w:rPr>
        <w:t>8.5</w:t>
      </w:r>
      <w:r>
        <w:rPr>
          <w:rFonts w:hint="eastAsia" w:cs="Times New Roman"/>
          <w:kern w:val="0"/>
          <w:szCs w:val="24"/>
        </w:rPr>
        <w:t>—</w:t>
      </w:r>
      <w:r>
        <w:rPr>
          <w:kern w:val="0"/>
        </w:rPr>
        <w:t xml:space="preserve">5      </w:t>
      </w:r>
      <w:r>
        <w:rPr>
          <w:rFonts w:hint="eastAsia"/>
          <w:kern w:val="0"/>
        </w:rPr>
        <w:t>液池蒸发模式参数</w:t>
      </w:r>
    </w:p>
    <w:tbl>
      <w:tblPr>
        <w:tblStyle w:val="88"/>
        <w:tblW w:w="9854" w:type="dxa"/>
        <w:tblInd w:w="0" w:type="dxa"/>
        <w:tblBorders>
          <w:top w:val="single" w:color="auto" w:sz="12" w:space="0"/>
          <w:left w:val="none" w:color="auto" w:sz="0" w:space="0"/>
          <w:bottom w:val="single" w:color="auto" w:sz="12" w:space="0"/>
          <w:right w:val="none" w:color="auto" w:sz="0" w:space="0"/>
          <w:insideH w:val="dotted" w:color="auto" w:sz="4" w:space="0"/>
          <w:insideV w:val="none" w:color="auto" w:sz="0" w:space="0"/>
        </w:tblBorders>
        <w:tblLayout w:type="fixed"/>
        <w:tblCellMar>
          <w:top w:w="0" w:type="dxa"/>
          <w:left w:w="108" w:type="dxa"/>
          <w:bottom w:w="0" w:type="dxa"/>
          <w:right w:w="108" w:type="dxa"/>
        </w:tblCellMar>
      </w:tblPr>
      <w:tblGrid>
        <w:gridCol w:w="3285"/>
        <w:gridCol w:w="3284"/>
        <w:gridCol w:w="3285"/>
      </w:tblGrid>
      <w:tr>
        <w:tblPrEx>
          <w:tblBorders>
            <w:top w:val="single" w:color="auto" w:sz="12" w:space="0"/>
            <w:left w:val="none" w:color="auto" w:sz="0" w:space="0"/>
            <w:bottom w:val="single" w:color="auto" w:sz="12" w:space="0"/>
            <w:right w:val="none" w:color="auto" w:sz="0" w:space="0"/>
            <w:insideH w:val="dotted" w:color="auto" w:sz="4" w:space="0"/>
            <w:insideV w:val="none" w:color="auto" w:sz="0" w:space="0"/>
          </w:tblBorders>
          <w:tblCellMar>
            <w:top w:w="0" w:type="dxa"/>
            <w:left w:w="108" w:type="dxa"/>
            <w:bottom w:w="0" w:type="dxa"/>
            <w:right w:w="108" w:type="dxa"/>
          </w:tblCellMar>
        </w:tblPrEx>
        <w:trPr>
          <w:trHeight w:val="340" w:hRule="atLeast"/>
        </w:trPr>
        <w:tc>
          <w:tcPr>
            <w:tcW w:w="3285" w:type="dxa"/>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稳定度条件</w:t>
            </w:r>
          </w:p>
        </w:tc>
        <w:tc>
          <w:tcPr>
            <w:tcW w:w="3284"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n</w:t>
            </w:r>
          </w:p>
        </w:tc>
        <w:tc>
          <w:tcPr>
            <w:tcW w:w="3285" w:type="dxa"/>
            <w:tcBorders>
              <w:top w:val="single" w:color="auto" w:sz="12"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α</w:t>
            </w:r>
          </w:p>
        </w:tc>
      </w:tr>
      <w:tr>
        <w:tblPrEx>
          <w:tblBorders>
            <w:top w:val="single" w:color="auto" w:sz="12" w:space="0"/>
            <w:left w:val="none" w:color="auto" w:sz="0" w:space="0"/>
            <w:bottom w:val="single" w:color="auto" w:sz="12" w:space="0"/>
            <w:right w:val="none" w:color="auto" w:sz="0" w:space="0"/>
            <w:insideH w:val="dotted" w:color="auto" w:sz="4" w:space="0"/>
            <w:insideV w:val="none" w:color="auto" w:sz="0" w:space="0"/>
          </w:tblBorders>
          <w:tblCellMar>
            <w:top w:w="0" w:type="dxa"/>
            <w:left w:w="108" w:type="dxa"/>
            <w:bottom w:w="0" w:type="dxa"/>
            <w:right w:w="108" w:type="dxa"/>
          </w:tblCellMar>
        </w:tblPrEx>
        <w:trPr>
          <w:trHeight w:val="340" w:hRule="atLeast"/>
        </w:trPr>
        <w:tc>
          <w:tcPr>
            <w:tcW w:w="3285" w:type="dxa"/>
            <w:tcBorders>
              <w:top w:val="single" w:color="auto" w:sz="12"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不稳定</w:t>
            </w:r>
            <w:r>
              <w:rPr>
                <w:kern w:val="0"/>
                <w:sz w:val="21"/>
              </w:rPr>
              <w:t>(A,B)</w:t>
            </w:r>
          </w:p>
        </w:tc>
        <w:tc>
          <w:tcPr>
            <w:tcW w:w="3284" w:type="dxa"/>
            <w:tcBorders>
              <w:top w:val="single" w:color="auto" w:sz="12"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0.2</w:t>
            </w:r>
          </w:p>
        </w:tc>
        <w:tc>
          <w:tcPr>
            <w:tcW w:w="3285" w:type="dxa"/>
            <w:tcBorders>
              <w:top w:val="single" w:color="auto" w:sz="12"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vertAlign w:val="superscript"/>
              </w:rPr>
            </w:pPr>
            <w:r>
              <w:rPr>
                <w:kern w:val="0"/>
                <w:sz w:val="21"/>
              </w:rPr>
              <w:t>3.846×10</w:t>
            </w:r>
            <w:r>
              <w:rPr>
                <w:kern w:val="0"/>
                <w:sz w:val="21"/>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none" w:color="auto" w:sz="0" w:space="0"/>
          </w:tblBorders>
          <w:tblCellMar>
            <w:top w:w="0" w:type="dxa"/>
            <w:left w:w="108" w:type="dxa"/>
            <w:bottom w:w="0" w:type="dxa"/>
            <w:right w:w="108" w:type="dxa"/>
          </w:tblCellMar>
        </w:tblPrEx>
        <w:trPr>
          <w:trHeight w:val="340" w:hRule="atLeast"/>
        </w:trPr>
        <w:tc>
          <w:tcPr>
            <w:tcW w:w="3285"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中性</w:t>
            </w:r>
            <w:r>
              <w:rPr>
                <w:kern w:val="0"/>
                <w:sz w:val="21"/>
              </w:rPr>
              <w:t>(D)</w:t>
            </w:r>
          </w:p>
        </w:tc>
        <w:tc>
          <w:tcPr>
            <w:tcW w:w="3284"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0.25</w:t>
            </w:r>
          </w:p>
        </w:tc>
        <w:tc>
          <w:tcPr>
            <w:tcW w:w="3285" w:type="dxa"/>
            <w:tcBorders>
              <w:top w:val="dotted" w:color="auto" w:sz="4"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4.685×10</w:t>
            </w:r>
            <w:r>
              <w:rPr>
                <w:kern w:val="0"/>
                <w:sz w:val="21"/>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none" w:color="auto" w:sz="0" w:space="0"/>
          </w:tblBorders>
          <w:tblCellMar>
            <w:top w:w="0" w:type="dxa"/>
            <w:left w:w="108" w:type="dxa"/>
            <w:bottom w:w="0" w:type="dxa"/>
            <w:right w:w="108" w:type="dxa"/>
          </w:tblCellMar>
        </w:tblPrEx>
        <w:trPr>
          <w:trHeight w:val="340" w:hRule="atLeast"/>
        </w:trPr>
        <w:tc>
          <w:tcPr>
            <w:tcW w:w="3285" w:type="dxa"/>
            <w:tcBorders>
              <w:top w:val="dotted" w:color="auto" w:sz="4"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稳定</w:t>
            </w:r>
            <w:r>
              <w:rPr>
                <w:kern w:val="0"/>
                <w:sz w:val="21"/>
              </w:rPr>
              <w:t>(E,F)</w:t>
            </w:r>
          </w:p>
        </w:tc>
        <w:tc>
          <w:tcPr>
            <w:tcW w:w="3284"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0.3</w:t>
            </w:r>
          </w:p>
        </w:tc>
        <w:tc>
          <w:tcPr>
            <w:tcW w:w="3285" w:type="dxa"/>
            <w:tcBorders>
              <w:top w:val="dotted" w:color="auto" w:sz="4"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5.285×10</w:t>
            </w:r>
            <w:r>
              <w:rPr>
                <w:kern w:val="0"/>
                <w:sz w:val="21"/>
                <w:vertAlign w:val="superscript"/>
              </w:rPr>
              <w:t>-3</w:t>
            </w:r>
          </w:p>
        </w:tc>
      </w:tr>
    </w:tbl>
    <w:p>
      <w:pPr>
        <w:widowControl/>
        <w:adjustRightInd w:val="0"/>
        <w:snapToGrid w:val="0"/>
        <w:ind w:firstLine="480"/>
        <w:jc w:val="left"/>
        <w:rPr>
          <w:rFonts w:cs="Times New Roman" w:hAnsiTheme="minorEastAsia"/>
          <w:kern w:val="0"/>
          <w:szCs w:val="24"/>
        </w:rPr>
      </w:pPr>
    </w:p>
    <w:p>
      <w:pPr>
        <w:widowControl/>
        <w:adjustRightInd w:val="0"/>
        <w:snapToGrid w:val="0"/>
        <w:ind w:firstLine="480"/>
        <w:jc w:val="left"/>
        <w:rPr>
          <w:rFonts w:cs="Times New Roman" w:eastAsiaTheme="minorEastAsia"/>
          <w:kern w:val="0"/>
          <w:szCs w:val="24"/>
        </w:rPr>
      </w:pPr>
      <w:r>
        <w:rPr>
          <w:rFonts w:hint="eastAsia" w:cs="Times New Roman" w:hAnsiTheme="minorEastAsia"/>
          <w:kern w:val="0"/>
          <w:szCs w:val="24"/>
        </w:rPr>
        <w:t>液池最大直径取决于泄漏点附近的地域构型、泄漏的连续性或瞬时性。有围堰时，以围堰最大等效半径为液池半径；无围堰时，设定液体瞬间扩散到最小厚度时，推算液池等效半径。</w:t>
      </w:r>
    </w:p>
    <w:p>
      <w:pPr>
        <w:pStyle w:val="739"/>
        <w:ind w:firstLine="480"/>
        <w:outlineLvl w:val="0"/>
        <w:rPr>
          <w:kern w:val="0"/>
        </w:rPr>
      </w:pPr>
      <w:bookmarkStart w:id="596" w:name="_Toc276383662"/>
      <w:bookmarkStart w:id="597" w:name="_Toc13582264"/>
      <w:bookmarkStart w:id="598" w:name="_Toc13760292"/>
      <w:r>
        <w:rPr>
          <w:rFonts w:hint="eastAsia"/>
          <w:kern w:val="0"/>
        </w:rPr>
        <w:t>④液体蒸发总量的计算</w:t>
      </w:r>
      <w:bookmarkEnd w:id="596"/>
      <w:bookmarkEnd w:id="597"/>
      <w:bookmarkEnd w:id="598"/>
    </w:p>
    <w:p>
      <w:pPr>
        <w:pStyle w:val="739"/>
        <w:ind w:firstLine="480"/>
        <w:rPr>
          <w:kern w:val="0"/>
        </w:rPr>
      </w:pPr>
      <w:bookmarkStart w:id="599" w:name="_Toc9403169"/>
      <w:bookmarkStart w:id="600" w:name="_Toc5286431"/>
      <w:r>
        <w:rPr>
          <w:kern w:val="0"/>
        </w:rPr>
        <w:t>W</w:t>
      </w:r>
      <w:r>
        <w:rPr>
          <w:kern w:val="0"/>
          <w:vertAlign w:val="subscript"/>
        </w:rPr>
        <w:t>p</w:t>
      </w:r>
      <w:r>
        <w:rPr>
          <w:kern w:val="0"/>
        </w:rPr>
        <w:t>=Q</w:t>
      </w:r>
      <w:r>
        <w:rPr>
          <w:kern w:val="0"/>
          <w:vertAlign w:val="subscript"/>
        </w:rPr>
        <w:t>1</w:t>
      </w:r>
      <w:r>
        <w:rPr>
          <w:kern w:val="0"/>
        </w:rPr>
        <w:t>t</w:t>
      </w:r>
      <w:r>
        <w:rPr>
          <w:kern w:val="0"/>
          <w:vertAlign w:val="subscript"/>
        </w:rPr>
        <w:t>1</w:t>
      </w:r>
      <w:r>
        <w:rPr>
          <w:kern w:val="0"/>
        </w:rPr>
        <w:t>+Q</w:t>
      </w:r>
      <w:r>
        <w:rPr>
          <w:kern w:val="0"/>
          <w:vertAlign w:val="subscript"/>
        </w:rPr>
        <w:t>2</w:t>
      </w:r>
      <w:r>
        <w:rPr>
          <w:kern w:val="0"/>
        </w:rPr>
        <w:t>t</w:t>
      </w:r>
      <w:r>
        <w:rPr>
          <w:kern w:val="0"/>
          <w:vertAlign w:val="subscript"/>
        </w:rPr>
        <w:t>2</w:t>
      </w:r>
      <w:r>
        <w:rPr>
          <w:kern w:val="0"/>
        </w:rPr>
        <w:t>+Q</w:t>
      </w:r>
      <w:r>
        <w:rPr>
          <w:kern w:val="0"/>
          <w:vertAlign w:val="subscript"/>
        </w:rPr>
        <w:t>3</w:t>
      </w:r>
      <w:r>
        <w:rPr>
          <w:kern w:val="0"/>
        </w:rPr>
        <w:t>t</w:t>
      </w:r>
      <w:r>
        <w:rPr>
          <w:kern w:val="0"/>
          <w:vertAlign w:val="subscript"/>
        </w:rPr>
        <w:t>3</w:t>
      </w:r>
      <w:bookmarkEnd w:id="599"/>
      <w:bookmarkEnd w:id="600"/>
    </w:p>
    <w:p>
      <w:pPr>
        <w:widowControl/>
        <w:adjustRightInd w:val="0"/>
        <w:snapToGrid w:val="0"/>
        <w:ind w:firstLine="480"/>
        <w:jc w:val="left"/>
        <w:rPr>
          <w:rFonts w:cs="Times New Roman"/>
          <w:kern w:val="0"/>
          <w:szCs w:val="24"/>
        </w:rPr>
      </w:pPr>
      <w:r>
        <w:rPr>
          <w:rFonts w:hint="eastAsia" w:cs="Times New Roman" w:hAnsiTheme="minorEastAsia"/>
          <w:kern w:val="0"/>
          <w:szCs w:val="24"/>
        </w:rPr>
        <w:t>式中：</w:t>
      </w:r>
      <w:r>
        <w:rPr>
          <w:rFonts w:cs="Times New Roman"/>
          <w:kern w:val="0"/>
          <w:szCs w:val="24"/>
        </w:rPr>
        <w:t>W</w:t>
      </w:r>
      <w:r>
        <w:rPr>
          <w:rFonts w:cs="Times New Roman"/>
          <w:kern w:val="0"/>
          <w:szCs w:val="24"/>
          <w:vertAlign w:val="subscript"/>
        </w:rPr>
        <w:t>p</w:t>
      </w:r>
      <w:r>
        <w:rPr>
          <w:rFonts w:cs="Times New Roman"/>
          <w:kern w:val="0"/>
          <w:szCs w:val="24"/>
        </w:rPr>
        <w:t>——</w:t>
      </w:r>
      <w:r>
        <w:rPr>
          <w:rFonts w:hint="eastAsia" w:cs="Times New Roman" w:hAnsiTheme="minorEastAsia"/>
          <w:kern w:val="0"/>
          <w:szCs w:val="24"/>
        </w:rPr>
        <w:t>液体蒸发总量，</w:t>
      </w:r>
      <w:r>
        <w:rPr>
          <w:rFonts w:cs="Times New Roman"/>
          <w:kern w:val="0"/>
          <w:szCs w:val="24"/>
        </w:rPr>
        <w:t>kg</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Q</w:t>
      </w:r>
      <w:r>
        <w:rPr>
          <w:rFonts w:cs="Times New Roman"/>
          <w:kern w:val="0"/>
          <w:szCs w:val="24"/>
          <w:vertAlign w:val="subscript"/>
        </w:rPr>
        <w:t>1</w:t>
      </w:r>
      <w:r>
        <w:rPr>
          <w:rFonts w:cs="Times New Roman"/>
          <w:kern w:val="0"/>
          <w:szCs w:val="24"/>
        </w:rPr>
        <w:t>——</w:t>
      </w:r>
      <w:r>
        <w:rPr>
          <w:rFonts w:hint="eastAsia" w:cs="Times New Roman" w:hAnsiTheme="minorEastAsia"/>
          <w:kern w:val="0"/>
          <w:szCs w:val="24"/>
        </w:rPr>
        <w:t>闪蒸蒸发液体量，</w:t>
      </w:r>
      <w:r>
        <w:rPr>
          <w:rFonts w:cs="Times New Roman"/>
          <w:kern w:val="0"/>
          <w:szCs w:val="24"/>
        </w:rPr>
        <w:t>kg</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Q</w:t>
      </w:r>
      <w:r>
        <w:rPr>
          <w:rFonts w:cs="Times New Roman"/>
          <w:kern w:val="0"/>
          <w:szCs w:val="24"/>
          <w:vertAlign w:val="subscript"/>
        </w:rPr>
        <w:t>2</w:t>
      </w:r>
      <w:r>
        <w:rPr>
          <w:rFonts w:cs="Times New Roman"/>
          <w:kern w:val="0"/>
          <w:szCs w:val="24"/>
        </w:rPr>
        <w:t>——</w:t>
      </w:r>
      <w:r>
        <w:rPr>
          <w:rFonts w:hint="eastAsia" w:cs="Times New Roman" w:hAnsiTheme="minorEastAsia"/>
          <w:kern w:val="0"/>
          <w:szCs w:val="24"/>
        </w:rPr>
        <w:t>热量蒸发速率，</w:t>
      </w:r>
      <w:r>
        <w:rPr>
          <w:rFonts w:cs="Times New Roman"/>
          <w:kern w:val="0"/>
          <w:szCs w:val="24"/>
        </w:rPr>
        <w:t>kg/s</w:t>
      </w:r>
      <w:r>
        <w:rPr>
          <w:rFonts w:hint="eastAsia" w:cs="Times New Roman" w:hAnsiTheme="minorEastAsia"/>
          <w:kern w:val="0"/>
          <w:szCs w:val="24"/>
        </w:rPr>
        <w:t>；</w:t>
      </w:r>
    </w:p>
    <w:p>
      <w:pPr>
        <w:widowControl/>
        <w:adjustRightInd w:val="0"/>
        <w:snapToGrid w:val="0"/>
        <w:ind w:firstLine="1200" w:firstLineChars="500"/>
        <w:jc w:val="left"/>
        <w:rPr>
          <w:rFonts w:cs="Times New Roman"/>
          <w:kern w:val="0"/>
          <w:szCs w:val="24"/>
        </w:rPr>
      </w:pPr>
      <w:r>
        <w:rPr>
          <w:rFonts w:cs="Times New Roman"/>
          <w:kern w:val="0"/>
          <w:szCs w:val="24"/>
        </w:rPr>
        <w:t>t</w:t>
      </w:r>
      <w:r>
        <w:rPr>
          <w:rFonts w:cs="Times New Roman"/>
          <w:kern w:val="0"/>
          <w:szCs w:val="24"/>
          <w:vertAlign w:val="subscript"/>
        </w:rPr>
        <w:t>1</w:t>
      </w:r>
      <w:r>
        <w:rPr>
          <w:rFonts w:cs="Times New Roman"/>
          <w:kern w:val="0"/>
          <w:szCs w:val="24"/>
        </w:rPr>
        <w:t>——</w:t>
      </w:r>
      <w:r>
        <w:rPr>
          <w:rFonts w:hint="eastAsia" w:cs="Times New Roman" w:hAnsiTheme="minorEastAsia"/>
          <w:kern w:val="0"/>
          <w:szCs w:val="24"/>
        </w:rPr>
        <w:t>闪蒸蒸发时间，</w:t>
      </w:r>
      <w:r>
        <w:rPr>
          <w:rFonts w:cs="Times New Roman"/>
          <w:kern w:val="0"/>
          <w:szCs w:val="24"/>
        </w:rPr>
        <w:t>s</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t</w:t>
      </w:r>
      <w:r>
        <w:rPr>
          <w:rFonts w:cs="Times New Roman"/>
          <w:kern w:val="0"/>
          <w:szCs w:val="24"/>
          <w:vertAlign w:val="subscript"/>
        </w:rPr>
        <w:t>2</w:t>
      </w:r>
      <w:r>
        <w:rPr>
          <w:rFonts w:cs="Times New Roman"/>
          <w:kern w:val="0"/>
          <w:szCs w:val="24"/>
        </w:rPr>
        <w:t>——</w:t>
      </w:r>
      <w:r>
        <w:rPr>
          <w:rFonts w:hint="eastAsia" w:cs="Times New Roman" w:hAnsiTheme="minorEastAsia"/>
          <w:kern w:val="0"/>
          <w:szCs w:val="24"/>
        </w:rPr>
        <w:t>热量蒸发时间，</w:t>
      </w:r>
      <w:r>
        <w:rPr>
          <w:rFonts w:cs="Times New Roman"/>
          <w:kern w:val="0"/>
          <w:szCs w:val="24"/>
        </w:rPr>
        <w:t>s</w:t>
      </w:r>
      <w:r>
        <w:rPr>
          <w:rFonts w:hint="eastAsia" w:cs="Times New Roman" w:hAnsiTheme="minorEastAsia"/>
          <w:kern w:val="0"/>
          <w:szCs w:val="24"/>
        </w:rPr>
        <w:t>；</w:t>
      </w:r>
    </w:p>
    <w:p>
      <w:pPr>
        <w:widowControl/>
        <w:adjustRightInd w:val="0"/>
        <w:snapToGrid w:val="0"/>
        <w:ind w:firstLine="480"/>
        <w:jc w:val="left"/>
        <w:rPr>
          <w:rFonts w:cs="Times New Roman"/>
          <w:kern w:val="0"/>
          <w:szCs w:val="24"/>
        </w:rPr>
      </w:pPr>
      <w:r>
        <w:rPr>
          <w:rFonts w:cs="Times New Roman"/>
          <w:kern w:val="0"/>
          <w:szCs w:val="24"/>
        </w:rPr>
        <w:t xml:space="preserve">      Q</w:t>
      </w:r>
      <w:r>
        <w:rPr>
          <w:rFonts w:cs="Times New Roman"/>
          <w:kern w:val="0"/>
          <w:szCs w:val="24"/>
          <w:vertAlign w:val="subscript"/>
        </w:rPr>
        <w:t>3</w:t>
      </w:r>
      <w:r>
        <w:rPr>
          <w:rFonts w:cs="Times New Roman"/>
          <w:kern w:val="0"/>
          <w:szCs w:val="24"/>
        </w:rPr>
        <w:t>——</w:t>
      </w:r>
      <w:r>
        <w:rPr>
          <w:rFonts w:hint="eastAsia" w:cs="Times New Roman" w:hAnsiTheme="minorEastAsia"/>
          <w:kern w:val="0"/>
          <w:szCs w:val="24"/>
        </w:rPr>
        <w:t>质量蒸发速率，</w:t>
      </w:r>
      <w:r>
        <w:rPr>
          <w:rFonts w:cs="Times New Roman"/>
          <w:kern w:val="0"/>
          <w:szCs w:val="24"/>
        </w:rPr>
        <w:t>kg/s</w:t>
      </w:r>
      <w:r>
        <w:rPr>
          <w:rFonts w:hint="eastAsia" w:cs="Times New Roman" w:hAnsiTheme="minorEastAsia"/>
          <w:kern w:val="0"/>
          <w:szCs w:val="24"/>
        </w:rPr>
        <w:t>；</w:t>
      </w:r>
    </w:p>
    <w:p>
      <w:pPr>
        <w:widowControl/>
        <w:adjustRightInd w:val="0"/>
        <w:snapToGrid w:val="0"/>
        <w:ind w:firstLine="480"/>
        <w:jc w:val="left"/>
        <w:rPr>
          <w:rFonts w:cs="Times New Roman"/>
          <w:color w:val="000000"/>
          <w:kern w:val="0"/>
          <w:szCs w:val="24"/>
        </w:rPr>
      </w:pPr>
      <w:r>
        <w:rPr>
          <w:rFonts w:cs="Times New Roman"/>
          <w:color w:val="000000"/>
          <w:kern w:val="0"/>
          <w:szCs w:val="24"/>
        </w:rPr>
        <w:t xml:space="preserve">      t</w:t>
      </w:r>
      <w:r>
        <w:rPr>
          <w:rFonts w:cs="Times New Roman"/>
          <w:color w:val="000000"/>
          <w:kern w:val="0"/>
          <w:szCs w:val="24"/>
          <w:vertAlign w:val="subscript"/>
        </w:rPr>
        <w:t>3</w:t>
      </w:r>
      <w:r>
        <w:rPr>
          <w:rFonts w:cs="Times New Roman"/>
          <w:color w:val="000000"/>
          <w:kern w:val="0"/>
          <w:szCs w:val="24"/>
        </w:rPr>
        <w:t>—</w:t>
      </w:r>
      <w:r>
        <w:rPr>
          <w:rFonts w:hint="eastAsia" w:cs="Times New Roman" w:hAnsiTheme="minorEastAsia"/>
          <w:color w:val="000000"/>
          <w:kern w:val="0"/>
          <w:szCs w:val="24"/>
        </w:rPr>
        <w:t>从液体泄漏到液体全部处理完毕的时间，</w:t>
      </w:r>
      <w:r>
        <w:rPr>
          <w:rFonts w:cs="Times New Roman"/>
          <w:color w:val="000000"/>
          <w:kern w:val="0"/>
          <w:szCs w:val="24"/>
        </w:rPr>
        <w:t>s</w:t>
      </w:r>
      <w:r>
        <w:rPr>
          <w:rFonts w:hint="eastAsia" w:cs="Times New Roman" w:hAnsiTheme="minorEastAsia"/>
          <w:color w:val="000000"/>
          <w:kern w:val="0"/>
          <w:szCs w:val="24"/>
        </w:rPr>
        <w:t>。</w:t>
      </w:r>
    </w:p>
    <w:p>
      <w:pPr>
        <w:pStyle w:val="739"/>
        <w:ind w:firstLine="480"/>
        <w:outlineLvl w:val="0"/>
      </w:pPr>
      <w:r>
        <w:fldChar w:fldCharType="begin"/>
      </w:r>
      <w:r>
        <w:instrText xml:space="preserve"> = 5 \* GB3 </w:instrText>
      </w:r>
      <w:r>
        <w:fldChar w:fldCharType="separate"/>
      </w:r>
      <w:bookmarkStart w:id="601" w:name="_Toc13760293"/>
      <w:bookmarkStart w:id="602" w:name="_Toc13582265"/>
      <w:r>
        <w:rPr>
          <w:rFonts w:hint="eastAsia" w:hAnsiTheme="minorEastAsia"/>
        </w:rPr>
        <w:t>⑤</w:t>
      </w:r>
      <w:r>
        <w:fldChar w:fldCharType="end"/>
      </w:r>
      <w:r>
        <w:rPr>
          <w:rFonts w:hint="eastAsia" w:hAnsiTheme="minorEastAsia"/>
        </w:rPr>
        <w:t>火灾伴生一氧化碳产生量</w:t>
      </w:r>
      <w:bookmarkEnd w:id="601"/>
      <w:bookmarkEnd w:id="602"/>
    </w:p>
    <w:p>
      <w:pPr>
        <w:tabs>
          <w:tab w:val="left" w:pos="1230"/>
        </w:tabs>
        <w:adjustRightInd w:val="0"/>
        <w:snapToGrid w:val="0"/>
        <w:ind w:firstLine="480"/>
        <w:jc w:val="left"/>
        <w:rPr>
          <w:rFonts w:cs="Times New Roman"/>
          <w:szCs w:val="24"/>
        </w:rPr>
      </w:pPr>
      <w:r>
        <w:rPr>
          <w:rFonts w:hint="eastAsia" w:cs="Times New Roman" w:hAnsiTheme="minorEastAsia"/>
          <w:szCs w:val="24"/>
        </w:rPr>
        <w:t>储罐泄漏后火灾伴生一氧化碳产生量按下式计算：</w:t>
      </w:r>
    </w:p>
    <w:p>
      <w:pPr>
        <w:tabs>
          <w:tab w:val="left" w:pos="1230"/>
        </w:tabs>
        <w:adjustRightInd w:val="0"/>
        <w:snapToGrid w:val="0"/>
        <w:ind w:firstLine="1200" w:firstLineChars="500"/>
        <w:jc w:val="left"/>
        <w:rPr>
          <w:rFonts w:cs="Times New Roman"/>
          <w:szCs w:val="24"/>
        </w:rPr>
      </w:pPr>
      <w:r>
        <w:rPr>
          <w:rFonts w:cs="Times New Roman"/>
          <w:szCs w:val="24"/>
        </w:rPr>
        <w:t>G</w:t>
      </w:r>
      <w:r>
        <w:rPr>
          <w:rFonts w:hint="eastAsia" w:cs="Times New Roman" w:hAnsiTheme="minorEastAsia"/>
          <w:szCs w:val="24"/>
          <w:vertAlign w:val="subscript"/>
        </w:rPr>
        <w:t>一氧化碳</w:t>
      </w:r>
      <w:r>
        <w:rPr>
          <w:rFonts w:cs="Times New Roman"/>
          <w:szCs w:val="24"/>
        </w:rPr>
        <w:t>=2330qCQ</w:t>
      </w:r>
    </w:p>
    <w:p>
      <w:pPr>
        <w:tabs>
          <w:tab w:val="left" w:pos="1230"/>
        </w:tabs>
        <w:adjustRightInd w:val="0"/>
        <w:snapToGrid w:val="0"/>
        <w:ind w:firstLine="480"/>
        <w:jc w:val="left"/>
        <w:rPr>
          <w:rFonts w:cs="Times New Roman"/>
          <w:szCs w:val="24"/>
        </w:rPr>
      </w:pPr>
      <w:r>
        <w:rPr>
          <w:rFonts w:hint="eastAsia" w:cs="Times New Roman" w:hAnsiTheme="minorEastAsia"/>
          <w:szCs w:val="24"/>
        </w:rPr>
        <w:t>式中：</w:t>
      </w:r>
      <w:r>
        <w:rPr>
          <w:rFonts w:cs="Times New Roman"/>
          <w:szCs w:val="24"/>
        </w:rPr>
        <w:t>G</w:t>
      </w:r>
      <w:r>
        <w:rPr>
          <w:rFonts w:hint="eastAsia" w:cs="Times New Roman" w:hAnsiTheme="minorEastAsia"/>
          <w:szCs w:val="24"/>
          <w:vertAlign w:val="subscript"/>
        </w:rPr>
        <w:t>一氧化碳</w:t>
      </w:r>
      <w:r>
        <w:rPr>
          <w:rFonts w:hint="eastAsia" w:cs="Times New Roman" w:hAnsiTheme="minorEastAsia"/>
          <w:szCs w:val="24"/>
        </w:rPr>
        <w:t>－一氧化碳排放速率，</w:t>
      </w:r>
      <w:r>
        <w:rPr>
          <w:rFonts w:cs="Times New Roman"/>
          <w:szCs w:val="24"/>
        </w:rPr>
        <w:t>kg/h</w:t>
      </w:r>
      <w:r>
        <w:rPr>
          <w:rFonts w:hint="eastAsia" w:cs="Times New Roman" w:hAnsiTheme="minorEastAsia"/>
          <w:szCs w:val="24"/>
        </w:rPr>
        <w:t>；</w:t>
      </w:r>
    </w:p>
    <w:p>
      <w:pPr>
        <w:pStyle w:val="739"/>
        <w:ind w:firstLine="1080" w:firstLineChars="450"/>
      </w:pPr>
      <w:bookmarkStart w:id="603" w:name="_Toc5286432"/>
      <w:bookmarkStart w:id="604" w:name="_Toc9403170"/>
      <w:r>
        <w:t>C</w:t>
      </w:r>
      <w:r>
        <w:rPr>
          <w:rFonts w:hint="eastAsia"/>
        </w:rPr>
        <w:t>－物质中碳的含量，</w:t>
      </w:r>
      <w:r>
        <w:t>%</w:t>
      </w:r>
      <w:r>
        <w:rPr>
          <w:rFonts w:hint="eastAsia"/>
        </w:rPr>
        <w:t>；</w:t>
      </w:r>
      <w:bookmarkEnd w:id="603"/>
      <w:bookmarkEnd w:id="604"/>
    </w:p>
    <w:p>
      <w:pPr>
        <w:tabs>
          <w:tab w:val="left" w:pos="1230"/>
        </w:tabs>
        <w:adjustRightInd w:val="0"/>
        <w:snapToGrid w:val="0"/>
        <w:ind w:firstLine="1200" w:firstLineChars="500"/>
        <w:jc w:val="left"/>
        <w:rPr>
          <w:rFonts w:cs="Times New Roman"/>
          <w:szCs w:val="24"/>
        </w:rPr>
      </w:pPr>
      <w:r>
        <w:rPr>
          <w:rFonts w:cs="Times New Roman"/>
          <w:szCs w:val="24"/>
        </w:rPr>
        <w:t>q</w:t>
      </w:r>
      <w:r>
        <w:rPr>
          <w:rFonts w:hint="eastAsia" w:cs="Times New Roman" w:hAnsiTheme="minorEastAsia"/>
          <w:szCs w:val="24"/>
        </w:rPr>
        <w:t>－化学不完全燃烧值，取</w:t>
      </w:r>
      <w:r>
        <w:rPr>
          <w:rFonts w:cs="Times New Roman"/>
          <w:szCs w:val="24"/>
        </w:rPr>
        <w:t>5%</w:t>
      </w:r>
      <w:r>
        <w:rPr>
          <w:rFonts w:hint="eastAsia" w:cs="Times New Roman" w:hAnsiTheme="minorEastAsia"/>
          <w:szCs w:val="24"/>
        </w:rPr>
        <w:t>；</w:t>
      </w:r>
    </w:p>
    <w:p>
      <w:pPr>
        <w:tabs>
          <w:tab w:val="left" w:pos="1230"/>
        </w:tabs>
        <w:adjustRightInd w:val="0"/>
        <w:snapToGrid w:val="0"/>
        <w:ind w:firstLine="1200" w:firstLineChars="500"/>
        <w:jc w:val="left"/>
        <w:rPr>
          <w:rFonts w:cs="Times New Roman"/>
          <w:szCs w:val="24"/>
        </w:rPr>
      </w:pPr>
      <w:r>
        <w:rPr>
          <w:rFonts w:cs="Times New Roman"/>
          <w:szCs w:val="24"/>
        </w:rPr>
        <w:t>Q</w:t>
      </w:r>
      <w:r>
        <w:rPr>
          <w:rFonts w:hint="eastAsia" w:cs="Times New Roman" w:hAnsiTheme="minorEastAsia"/>
          <w:szCs w:val="24"/>
        </w:rPr>
        <w:t>－参与燃烧的物质量，</w:t>
      </w:r>
      <w:r>
        <w:rPr>
          <w:rFonts w:cs="Times New Roman"/>
          <w:szCs w:val="24"/>
        </w:rPr>
        <w:t>t/s</w:t>
      </w:r>
      <w:r>
        <w:rPr>
          <w:rFonts w:hint="eastAsia" w:cs="Times New Roman" w:hAnsiTheme="minorEastAsia"/>
          <w:szCs w:val="24"/>
        </w:rPr>
        <w:t>。</w:t>
      </w:r>
    </w:p>
    <w:p>
      <w:pPr>
        <w:pStyle w:val="739"/>
        <w:ind w:firstLine="480"/>
        <w:outlineLvl w:val="0"/>
      </w:pPr>
      <w:r>
        <w:fldChar w:fldCharType="begin"/>
      </w:r>
      <w:r>
        <w:instrText xml:space="preserve"> = 6 \* GB3 </w:instrText>
      </w:r>
      <w:r>
        <w:fldChar w:fldCharType="separate"/>
      </w:r>
      <w:bookmarkStart w:id="605" w:name="_Toc13582266"/>
      <w:bookmarkStart w:id="606" w:name="_Toc13760294"/>
      <w:r>
        <w:rPr>
          <w:rFonts w:hint="eastAsia" w:hAnsiTheme="minorEastAsia"/>
        </w:rPr>
        <w:t>⑥</w:t>
      </w:r>
      <w:r>
        <w:fldChar w:fldCharType="end"/>
      </w:r>
      <w:r>
        <w:rPr>
          <w:rFonts w:hint="eastAsia" w:hAnsiTheme="minorEastAsia"/>
        </w:rPr>
        <w:t>火灾伴生二氧化硫产生量</w:t>
      </w:r>
      <w:bookmarkEnd w:id="605"/>
      <w:bookmarkEnd w:id="606"/>
    </w:p>
    <w:p>
      <w:pPr>
        <w:tabs>
          <w:tab w:val="left" w:pos="1230"/>
        </w:tabs>
        <w:adjustRightInd w:val="0"/>
        <w:snapToGrid w:val="0"/>
        <w:ind w:firstLine="480"/>
        <w:jc w:val="left"/>
        <w:rPr>
          <w:rFonts w:cs="Times New Roman"/>
          <w:szCs w:val="24"/>
        </w:rPr>
      </w:pPr>
      <w:r>
        <w:rPr>
          <w:rFonts w:hint="eastAsia" w:cs="Times New Roman" w:hAnsiTheme="minorEastAsia"/>
          <w:szCs w:val="24"/>
        </w:rPr>
        <w:t>柴油泄漏后火灾伴生二氧化硫产生量按下式计算：</w:t>
      </w:r>
    </w:p>
    <w:p>
      <w:pPr>
        <w:pStyle w:val="739"/>
        <w:ind w:firstLine="480"/>
        <w:outlineLvl w:val="0"/>
      </w:pPr>
      <w:bookmarkStart w:id="607" w:name="_Toc13760295"/>
      <w:bookmarkStart w:id="608" w:name="_Toc13582267"/>
      <w:r>
        <w:t>G</w:t>
      </w:r>
      <w:r>
        <w:rPr>
          <w:rFonts w:hint="eastAsia" w:hAnsiTheme="minorEastAsia"/>
          <w:vertAlign w:val="subscript"/>
        </w:rPr>
        <w:t>二氧化硫</w:t>
      </w:r>
      <w:r>
        <w:t>=2BS</w:t>
      </w:r>
      <w:bookmarkEnd w:id="607"/>
      <w:bookmarkEnd w:id="608"/>
    </w:p>
    <w:p>
      <w:pPr>
        <w:tabs>
          <w:tab w:val="left" w:pos="1230"/>
        </w:tabs>
        <w:adjustRightInd w:val="0"/>
        <w:snapToGrid w:val="0"/>
        <w:ind w:firstLine="480"/>
        <w:jc w:val="left"/>
        <w:rPr>
          <w:rFonts w:cs="Times New Roman"/>
          <w:szCs w:val="24"/>
        </w:rPr>
      </w:pPr>
      <w:r>
        <w:rPr>
          <w:rFonts w:hint="eastAsia" w:cs="Times New Roman" w:hAnsiTheme="minorEastAsia"/>
          <w:szCs w:val="24"/>
        </w:rPr>
        <w:t>式中：</w:t>
      </w:r>
      <w:r>
        <w:rPr>
          <w:rFonts w:cs="Times New Roman"/>
          <w:szCs w:val="24"/>
        </w:rPr>
        <w:t>G</w:t>
      </w:r>
      <w:r>
        <w:rPr>
          <w:rFonts w:hint="eastAsia" w:cs="Times New Roman" w:hAnsiTheme="minorEastAsia"/>
          <w:szCs w:val="24"/>
          <w:vertAlign w:val="subscript"/>
        </w:rPr>
        <w:t>二氧化硫</w:t>
      </w:r>
      <w:r>
        <w:rPr>
          <w:rFonts w:hint="eastAsia" w:cs="Times New Roman" w:hAnsiTheme="minorEastAsia"/>
          <w:szCs w:val="24"/>
        </w:rPr>
        <w:t>－二氧化硫排放速率，</w:t>
      </w:r>
      <w:r>
        <w:rPr>
          <w:rFonts w:cs="Times New Roman"/>
          <w:szCs w:val="24"/>
        </w:rPr>
        <w:t>kg/h</w:t>
      </w:r>
      <w:r>
        <w:rPr>
          <w:rFonts w:hint="eastAsia" w:cs="Times New Roman" w:hAnsiTheme="minorEastAsia"/>
          <w:szCs w:val="24"/>
        </w:rPr>
        <w:t>；</w:t>
      </w:r>
    </w:p>
    <w:p>
      <w:pPr>
        <w:tabs>
          <w:tab w:val="left" w:pos="1230"/>
        </w:tabs>
        <w:adjustRightInd w:val="0"/>
        <w:snapToGrid w:val="0"/>
        <w:ind w:firstLine="480"/>
        <w:jc w:val="left"/>
        <w:rPr>
          <w:rFonts w:cs="Times New Roman"/>
          <w:szCs w:val="24"/>
        </w:rPr>
      </w:pPr>
      <w:r>
        <w:rPr>
          <w:rFonts w:cs="Times New Roman"/>
          <w:szCs w:val="24"/>
        </w:rPr>
        <w:t xml:space="preserve">      B</w:t>
      </w:r>
      <w:r>
        <w:rPr>
          <w:rFonts w:hint="eastAsia" w:cs="Times New Roman" w:hAnsiTheme="minorEastAsia"/>
          <w:szCs w:val="24"/>
        </w:rPr>
        <w:t>－物质燃烧量，</w:t>
      </w:r>
      <w:r>
        <w:rPr>
          <w:rFonts w:cs="Times New Roman"/>
          <w:szCs w:val="24"/>
        </w:rPr>
        <w:t>kg/h</w:t>
      </w:r>
      <w:r>
        <w:rPr>
          <w:rFonts w:hint="eastAsia" w:cs="Times New Roman" w:hAnsiTheme="minorEastAsia"/>
          <w:szCs w:val="24"/>
        </w:rPr>
        <w:t>；</w:t>
      </w:r>
    </w:p>
    <w:p>
      <w:pPr>
        <w:tabs>
          <w:tab w:val="left" w:pos="1230"/>
        </w:tabs>
        <w:adjustRightInd w:val="0"/>
        <w:snapToGrid w:val="0"/>
        <w:ind w:firstLine="480"/>
        <w:jc w:val="left"/>
        <w:rPr>
          <w:rFonts w:cs="Times New Roman"/>
          <w:szCs w:val="24"/>
        </w:rPr>
      </w:pPr>
      <w:r>
        <w:rPr>
          <w:rFonts w:cs="Times New Roman"/>
          <w:szCs w:val="24"/>
        </w:rPr>
        <w:t xml:space="preserve">      S</w:t>
      </w:r>
      <w:r>
        <w:rPr>
          <w:rFonts w:hint="eastAsia" w:cs="Times New Roman" w:hAnsiTheme="minorEastAsia"/>
          <w:szCs w:val="24"/>
        </w:rPr>
        <w:t>－物质中硫的含量，</w:t>
      </w:r>
      <w:r>
        <w:rPr>
          <w:rFonts w:cs="Times New Roman"/>
          <w:szCs w:val="24"/>
        </w:rPr>
        <w:t>%</w:t>
      </w:r>
      <w:r>
        <w:rPr>
          <w:rFonts w:hint="eastAsia" w:cs="Times New Roman" w:hAnsiTheme="minorEastAsia"/>
          <w:szCs w:val="24"/>
        </w:rPr>
        <w:t>。</w:t>
      </w:r>
    </w:p>
    <w:p>
      <w:pPr>
        <w:tabs>
          <w:tab w:val="left" w:pos="1230"/>
        </w:tabs>
        <w:adjustRightInd w:val="0"/>
        <w:snapToGrid w:val="0"/>
        <w:ind w:firstLine="480"/>
        <w:jc w:val="left"/>
        <w:rPr>
          <w:rFonts w:cs="Times New Roman"/>
          <w:szCs w:val="24"/>
        </w:rPr>
      </w:pPr>
      <w:r>
        <w:rPr>
          <w:rFonts w:hint="eastAsia" w:cs="Times New Roman" w:hAnsiTheme="minorEastAsia"/>
          <w:szCs w:val="24"/>
        </w:rPr>
        <w:t>（</w:t>
      </w:r>
      <w:r>
        <w:rPr>
          <w:rFonts w:cs="Times New Roman"/>
          <w:szCs w:val="24"/>
        </w:rPr>
        <w:t>3</w:t>
      </w:r>
      <w:r>
        <w:rPr>
          <w:rFonts w:hint="eastAsia" w:cs="Times New Roman" w:hAnsiTheme="minorEastAsia"/>
          <w:szCs w:val="24"/>
        </w:rPr>
        <w:t>）毒性物质事故泄漏源项计算</w:t>
      </w:r>
    </w:p>
    <w:p>
      <w:pPr>
        <w:adjustRightInd w:val="0"/>
        <w:snapToGrid w:val="0"/>
        <w:ind w:firstLine="480"/>
        <w:rPr>
          <w:rFonts w:cs="Times New Roman" w:hAnsiTheme="minorEastAsia"/>
          <w:kern w:val="0"/>
          <w:szCs w:val="24"/>
        </w:rPr>
      </w:pPr>
      <w:r>
        <w:rPr>
          <w:rFonts w:hint="eastAsia" w:cs="Times New Roman" w:hAnsiTheme="minorEastAsia"/>
          <w:kern w:val="0"/>
        </w:rPr>
        <w:t>本项目中</w:t>
      </w:r>
      <w:r>
        <w:rPr>
          <w:rFonts w:hint="eastAsia" w:cs="Times New Roman" w:hAnsiTheme="minorEastAsia"/>
          <w:kern w:val="0"/>
          <w:szCs w:val="24"/>
        </w:rPr>
        <w:t>利用泵和管道将物料引入或引出储罐。若储罐及管道出现阀门损坏、破裂等，会出现</w:t>
      </w:r>
      <w:r>
        <w:rPr>
          <w:rFonts w:hint="eastAsia" w:cs="Times New Roman" w:hAnsiTheme="minorEastAsia"/>
          <w:szCs w:val="24"/>
        </w:rPr>
        <w:t>柴油</w:t>
      </w:r>
      <w:r>
        <w:rPr>
          <w:rFonts w:hint="eastAsia" w:cs="Times New Roman" w:hAnsiTheme="minorEastAsia"/>
          <w:kern w:val="0"/>
          <w:szCs w:val="24"/>
        </w:rPr>
        <w:t>大量泄漏，并引起有毒物质扩散的事故风险。项目储罐泄漏事故源强和预测源强计算结果如下表</w:t>
      </w:r>
      <w:r>
        <w:rPr>
          <w:rFonts w:cs="Times New Roman"/>
          <w:kern w:val="0"/>
          <w:szCs w:val="24"/>
        </w:rPr>
        <w:t>8.5</w:t>
      </w:r>
      <w:r>
        <w:rPr>
          <w:rFonts w:hint="eastAsia" w:cs="Times New Roman"/>
          <w:kern w:val="0"/>
          <w:szCs w:val="24"/>
        </w:rPr>
        <w:t>—</w:t>
      </w:r>
      <w:r>
        <w:rPr>
          <w:rFonts w:cs="Times New Roman"/>
          <w:kern w:val="0"/>
          <w:szCs w:val="24"/>
        </w:rPr>
        <w:t>6</w:t>
      </w:r>
      <w:r>
        <w:rPr>
          <w:rFonts w:hint="eastAsia" w:cs="Times New Roman" w:hAnsiTheme="minorEastAsia"/>
          <w:kern w:val="0"/>
          <w:szCs w:val="24"/>
        </w:rPr>
        <w:t>所示。</w:t>
      </w:r>
    </w:p>
    <w:p>
      <w:pPr>
        <w:adjustRightInd w:val="0"/>
        <w:snapToGrid w:val="0"/>
        <w:ind w:firstLine="480"/>
        <w:rPr>
          <w:rFonts w:cs="Times New Roman"/>
          <w:kern w:val="0"/>
          <w:szCs w:val="24"/>
        </w:rPr>
      </w:pPr>
      <w:r>
        <w:rPr>
          <w:rFonts w:hint="eastAsia" w:cs="Times New Roman" w:hAnsiTheme="minorEastAsia"/>
          <w:kern w:val="0"/>
          <w:szCs w:val="24"/>
        </w:rPr>
        <w:t>表</w:t>
      </w:r>
      <w:r>
        <w:rPr>
          <w:rFonts w:cs="Times New Roman"/>
          <w:kern w:val="0"/>
          <w:szCs w:val="24"/>
        </w:rPr>
        <w:t>8.5</w:t>
      </w:r>
      <w:r>
        <w:rPr>
          <w:rFonts w:hint="eastAsia" w:cs="Times New Roman"/>
          <w:kern w:val="0"/>
          <w:szCs w:val="24"/>
        </w:rPr>
        <w:t>—</w:t>
      </w:r>
      <w:r>
        <w:rPr>
          <w:rFonts w:cs="Times New Roman"/>
          <w:kern w:val="0"/>
          <w:szCs w:val="24"/>
        </w:rPr>
        <w:t xml:space="preserve">6        </w:t>
      </w:r>
      <w:r>
        <w:rPr>
          <w:rFonts w:hint="eastAsia" w:cs="Times New Roman" w:hAnsiTheme="minorEastAsia"/>
          <w:kern w:val="0"/>
          <w:szCs w:val="24"/>
        </w:rPr>
        <w:t>储罐泄漏事故源项参数和预测源强计算结果一览表</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893"/>
        <w:gridCol w:w="3781"/>
        <w:gridCol w:w="2962"/>
        <w:gridCol w:w="221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序号</w:t>
            </w:r>
          </w:p>
        </w:tc>
        <w:tc>
          <w:tcPr>
            <w:tcW w:w="3781"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事故工况</w:t>
            </w:r>
          </w:p>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与源强参数</w:t>
            </w:r>
          </w:p>
        </w:tc>
        <w:tc>
          <w:tcPr>
            <w:tcW w:w="2962"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柴油泄漏</w:t>
            </w:r>
          </w:p>
        </w:tc>
        <w:tc>
          <w:tcPr>
            <w:tcW w:w="2218" w:type="dxa"/>
            <w:tcBorders>
              <w:top w:val="single" w:color="auto" w:sz="12"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柴油火灾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single" w:color="auto" w:sz="12"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w:t>
            </w:r>
          </w:p>
        </w:tc>
        <w:tc>
          <w:tcPr>
            <w:tcW w:w="3781" w:type="dxa"/>
            <w:tcBorders>
              <w:top w:val="single" w:color="auto" w:sz="12"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事故类型</w:t>
            </w:r>
          </w:p>
        </w:tc>
        <w:tc>
          <w:tcPr>
            <w:tcW w:w="2962" w:type="dxa"/>
            <w:tcBorders>
              <w:top w:val="single" w:color="auto" w:sz="12"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储罐泄漏</w:t>
            </w:r>
          </w:p>
        </w:tc>
        <w:tc>
          <w:tcPr>
            <w:tcW w:w="2218" w:type="dxa"/>
            <w:tcBorders>
              <w:top w:val="single" w:color="auto" w:sz="12"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火灾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3"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2</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环境压力</w:t>
            </w:r>
            <w:r>
              <w:rPr>
                <w:kern w:val="0"/>
                <w:sz w:val="21"/>
              </w:rPr>
              <w:t>P</w:t>
            </w:r>
            <w:r>
              <w:rPr>
                <w:kern w:val="0"/>
                <w:sz w:val="21"/>
                <w:vertAlign w:val="subscript"/>
              </w:rPr>
              <w:t>0</w:t>
            </w:r>
            <w:r>
              <w:rPr>
                <w:kern w:val="0"/>
                <w:sz w:val="21"/>
              </w:rPr>
              <w:t>(Pa)</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87670</w:t>
            </w:r>
          </w:p>
        </w:tc>
        <w:tc>
          <w:tcPr>
            <w:tcW w:w="2218" w:type="dxa"/>
            <w:vMerge w:val="restart"/>
            <w:tcBorders>
              <w:top w:val="dotted" w:color="auto" w:sz="4"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kern w:val="0"/>
                <w:sz w:val="21"/>
              </w:rPr>
            </w:pPr>
            <w:r>
              <w:rPr>
                <w:kern w:val="0"/>
                <w:sz w:val="21"/>
              </w:rPr>
              <w:t>CO</w:t>
            </w:r>
            <w:r>
              <w:rPr>
                <w:rFonts w:hint="eastAsia"/>
                <w:kern w:val="0"/>
                <w:sz w:val="21"/>
              </w:rPr>
              <w:t>排放速率</w:t>
            </w:r>
            <w:r>
              <w:rPr>
                <w:kern w:val="0"/>
                <w:sz w:val="21"/>
              </w:rPr>
              <w:t>0.</w:t>
            </w:r>
            <w:r>
              <w:rPr>
                <w:rFonts w:hint="eastAsia"/>
                <w:kern w:val="0"/>
                <w:sz w:val="21"/>
              </w:rPr>
              <w:t>209</w:t>
            </w:r>
            <w:r>
              <w:rPr>
                <w:kern w:val="0"/>
                <w:sz w:val="21"/>
              </w:rPr>
              <w:t>kg/h</w:t>
            </w:r>
          </w:p>
          <w:p>
            <w:pPr>
              <w:widowControl/>
              <w:adjustRightInd w:val="0"/>
              <w:snapToGrid w:val="0"/>
              <w:spacing w:line="240" w:lineRule="atLeast"/>
              <w:ind w:firstLine="0" w:firstLineChars="0"/>
              <w:jc w:val="center"/>
              <w:rPr>
                <w:kern w:val="0"/>
                <w:sz w:val="21"/>
              </w:rPr>
            </w:pPr>
          </w:p>
          <w:p>
            <w:pPr>
              <w:widowControl/>
              <w:adjustRightInd w:val="0"/>
              <w:snapToGrid w:val="0"/>
              <w:spacing w:line="240" w:lineRule="atLeast"/>
              <w:ind w:firstLine="0" w:firstLineChars="0"/>
              <w:jc w:val="center"/>
              <w:rPr>
                <w:kern w:val="0"/>
                <w:sz w:val="21"/>
              </w:rPr>
            </w:pPr>
            <w:r>
              <w:rPr>
                <w:rFonts w:hint="eastAsia"/>
                <w:kern w:val="0"/>
                <w:sz w:val="21"/>
              </w:rPr>
              <w:t>S</w:t>
            </w:r>
            <w:r>
              <w:rPr>
                <w:kern w:val="0"/>
                <w:sz w:val="21"/>
              </w:rPr>
              <w:t>O</w:t>
            </w:r>
            <w:r>
              <w:rPr>
                <w:rFonts w:hint="eastAsia"/>
                <w:kern w:val="0"/>
                <w:sz w:val="21"/>
                <w:vertAlign w:val="subscript"/>
              </w:rPr>
              <w:t>2</w:t>
            </w:r>
            <w:r>
              <w:rPr>
                <w:rFonts w:hint="eastAsia"/>
                <w:kern w:val="0"/>
                <w:sz w:val="21"/>
              </w:rPr>
              <w:t>排放速率5.25</w:t>
            </w:r>
            <w:r>
              <w:rPr>
                <w:kern w:val="0"/>
                <w:sz w:val="21"/>
              </w:rPr>
              <w:t>kg/h</w:t>
            </w:r>
          </w:p>
          <w:p>
            <w:pPr>
              <w:widowControl/>
              <w:adjustRightInd w:val="0"/>
              <w:snapToGrid w:val="0"/>
              <w:spacing w:line="240" w:lineRule="atLeast"/>
              <w:ind w:firstLine="0" w:firstLineChars="0"/>
              <w:jc w:val="center"/>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3</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储罐压力</w:t>
            </w:r>
            <w:r>
              <w:rPr>
                <w:kern w:val="0"/>
                <w:sz w:val="21"/>
              </w:rPr>
              <w:t>P(Pa)</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87670</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4</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环境温度</w:t>
            </w:r>
            <w:r>
              <w:rPr>
                <w:kern w:val="0"/>
                <w:sz w:val="21"/>
              </w:rPr>
              <w:t>(</w:t>
            </w:r>
            <w:r>
              <w:rPr>
                <w:rFonts w:hint="eastAsia" w:ascii="宋体" w:hAnsi="宋体" w:cs="宋体"/>
                <w:kern w:val="0"/>
                <w:sz w:val="21"/>
              </w:rPr>
              <w:t>℃</w:t>
            </w:r>
            <w:r>
              <w:rPr>
                <w:rFonts w:cs="Times New Roman"/>
                <w:kern w:val="0"/>
                <w:sz w:val="21"/>
              </w:rPr>
              <w:t>)</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20</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5</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液体密度</w:t>
            </w:r>
            <w:r>
              <w:rPr>
                <w:kern w:val="0"/>
                <w:sz w:val="21"/>
              </w:rPr>
              <w:t>ρ(kg/m</w:t>
            </w:r>
            <w:r>
              <w:rPr>
                <w:kern w:val="0"/>
                <w:sz w:val="21"/>
                <w:vertAlign w:val="superscript"/>
              </w:rPr>
              <w:t>3</w:t>
            </w:r>
            <w:r>
              <w:rPr>
                <w:kern w:val="0"/>
                <w:sz w:val="21"/>
              </w:rPr>
              <w:t>)</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830-855</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6</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分子量</w:t>
            </w:r>
            <w:r>
              <w:rPr>
                <w:kern w:val="0"/>
                <w:sz w:val="21"/>
              </w:rPr>
              <w:t>M(g/mol)</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58-170</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7</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泄漏前液体温度</w:t>
            </w:r>
            <w:r>
              <w:rPr>
                <w:kern w:val="0"/>
                <w:sz w:val="21"/>
              </w:rPr>
              <w:t>(</w:t>
            </w:r>
            <w:r>
              <w:rPr>
                <w:rFonts w:hint="eastAsia" w:ascii="宋体" w:hAnsi="宋体" w:cs="宋体"/>
                <w:kern w:val="0"/>
                <w:sz w:val="21"/>
              </w:rPr>
              <w:t>℃</w:t>
            </w:r>
            <w:r>
              <w:rPr>
                <w:rFonts w:cs="Times New Roman"/>
                <w:kern w:val="0"/>
                <w:sz w:val="21"/>
              </w:rPr>
              <w:t>)</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10</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8</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液体常压下沸点</w:t>
            </w:r>
            <w:r>
              <w:rPr>
                <w:kern w:val="0"/>
                <w:sz w:val="21"/>
              </w:rPr>
              <w:t>(</w:t>
            </w:r>
            <w:r>
              <w:rPr>
                <w:rFonts w:hint="eastAsia" w:ascii="宋体" w:hAnsi="宋体" w:cs="宋体"/>
                <w:kern w:val="0"/>
                <w:sz w:val="21"/>
              </w:rPr>
              <w:t>℃</w:t>
            </w:r>
            <w:r>
              <w:rPr>
                <w:rFonts w:cs="Times New Roman"/>
                <w:kern w:val="0"/>
                <w:sz w:val="21"/>
              </w:rPr>
              <w:t>)</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151-152</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9</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液体定压比热</w:t>
            </w:r>
            <w:r>
              <w:rPr>
                <w:kern w:val="0"/>
                <w:sz w:val="21"/>
              </w:rPr>
              <w:t>(J/kgl·k)</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10000-11000</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10</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裂口面积</w:t>
            </w:r>
            <w:r>
              <w:rPr>
                <w:kern w:val="0"/>
                <w:sz w:val="21"/>
              </w:rPr>
              <w:t>(m</w:t>
            </w:r>
            <w:r>
              <w:rPr>
                <w:kern w:val="0"/>
                <w:sz w:val="21"/>
                <w:vertAlign w:val="superscript"/>
              </w:rPr>
              <w:t>2</w:t>
            </w:r>
            <w:r>
              <w:rPr>
                <w:kern w:val="0"/>
                <w:sz w:val="21"/>
              </w:rPr>
              <w:t>)(</w:t>
            </w:r>
            <w:r>
              <w:rPr>
                <w:rFonts w:hint="eastAsia"/>
                <w:kern w:val="0"/>
                <w:sz w:val="21"/>
              </w:rPr>
              <w:t>按</w:t>
            </w:r>
            <w:r>
              <w:rPr>
                <w:kern w:val="0"/>
                <w:sz w:val="21"/>
              </w:rPr>
              <w:t>20%</w:t>
            </w:r>
            <w:r>
              <w:rPr>
                <w:rFonts w:hint="eastAsia"/>
                <w:kern w:val="0"/>
                <w:sz w:val="21"/>
              </w:rPr>
              <w:t>管径计</w:t>
            </w:r>
            <w:r>
              <w:rPr>
                <w:kern w:val="0"/>
                <w:sz w:val="21"/>
              </w:rPr>
              <w:t>)</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0.000628(φ100)</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11</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液位高度</w:t>
            </w:r>
            <w:r>
              <w:rPr>
                <w:kern w:val="0"/>
                <w:sz w:val="21"/>
              </w:rPr>
              <w:t>(m)</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2</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12</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液体泄漏系数</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0.62</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13</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液池面积</w:t>
            </w:r>
            <w:r>
              <w:rPr>
                <w:kern w:val="0"/>
                <w:sz w:val="21"/>
              </w:rPr>
              <w:t>(m</w:t>
            </w:r>
            <w:r>
              <w:rPr>
                <w:kern w:val="0"/>
                <w:sz w:val="21"/>
                <w:vertAlign w:val="superscript"/>
              </w:rPr>
              <w:t>2</w:t>
            </w:r>
            <w:r>
              <w:rPr>
                <w:kern w:val="0"/>
                <w:sz w:val="21"/>
              </w:rPr>
              <w:t>)</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5</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14</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液体表面蒸汽压</w:t>
            </w:r>
            <w:r>
              <w:rPr>
                <w:kern w:val="0"/>
                <w:sz w:val="21"/>
              </w:rPr>
              <w:t>(Pa)</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130</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15</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排放持续时间</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30min</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16</w:t>
            </w:r>
          </w:p>
        </w:tc>
        <w:tc>
          <w:tcPr>
            <w:tcW w:w="3781"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液体泄漏速率</w:t>
            </w:r>
            <w:r>
              <w:rPr>
                <w:kern w:val="0"/>
                <w:sz w:val="21"/>
              </w:rPr>
              <w:t>Q</w:t>
            </w:r>
            <w:r>
              <w:rPr>
                <w:kern w:val="0"/>
                <w:sz w:val="21"/>
                <w:vertAlign w:val="subscript"/>
              </w:rPr>
              <w:t>G</w:t>
            </w:r>
            <w:r>
              <w:rPr>
                <w:kern w:val="0"/>
                <w:sz w:val="21"/>
              </w:rPr>
              <w:t>(kg/s)</w:t>
            </w:r>
          </w:p>
        </w:tc>
        <w:tc>
          <w:tcPr>
            <w:tcW w:w="2962"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2.9890</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893" w:type="dxa"/>
            <w:tcBorders>
              <w:top w:val="dotted" w:color="auto" w:sz="4"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17</w:t>
            </w:r>
          </w:p>
        </w:tc>
        <w:tc>
          <w:tcPr>
            <w:tcW w:w="3781"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液体蒸发量</w:t>
            </w:r>
            <w:r>
              <w:rPr>
                <w:kern w:val="0"/>
                <w:sz w:val="21"/>
              </w:rPr>
              <w:t>(</w:t>
            </w:r>
            <w:r>
              <w:rPr>
                <w:rFonts w:hint="eastAsia"/>
                <w:kern w:val="0"/>
                <w:sz w:val="21"/>
              </w:rPr>
              <w:t>质量蒸发量</w:t>
            </w:r>
            <w:r>
              <w:rPr>
                <w:kern w:val="0"/>
                <w:sz w:val="21"/>
              </w:rPr>
              <w:t>)(kg/s)</w:t>
            </w:r>
          </w:p>
        </w:tc>
        <w:tc>
          <w:tcPr>
            <w:tcW w:w="2962"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eastAsiaTheme="minorEastAsia"/>
                <w:kern w:val="0"/>
                <w:sz w:val="21"/>
              </w:rPr>
              <w:t>0.0001</w:t>
            </w:r>
          </w:p>
        </w:tc>
        <w:tc>
          <w:tcPr>
            <w:tcW w:w="2218" w:type="dxa"/>
            <w:vMerge w:val="continue"/>
            <w:tcBorders>
              <w:top w:val="dotted" w:color="auto" w:sz="4" w:space="0"/>
              <w:left w:val="dotted" w:color="auto" w:sz="4" w:space="0"/>
              <w:bottom w:val="single" w:color="auto" w:sz="12" w:space="0"/>
              <w:right w:val="nil"/>
            </w:tcBorders>
            <w:vAlign w:val="center"/>
          </w:tcPr>
          <w:p>
            <w:pPr>
              <w:widowControl/>
              <w:spacing w:line="240" w:lineRule="atLeast"/>
              <w:ind w:firstLine="0" w:firstLineChars="0"/>
              <w:jc w:val="left"/>
              <w:rPr>
                <w:rFonts w:eastAsiaTheme="minorEastAsia"/>
                <w:kern w:val="0"/>
                <w:sz w:val="21"/>
              </w:rPr>
            </w:pPr>
          </w:p>
        </w:tc>
      </w:tr>
    </w:tbl>
    <w:p>
      <w:pPr>
        <w:ind w:firstLine="480"/>
        <w:rPr>
          <w:rFonts w:asciiTheme="minorEastAsia" w:hAnsiTheme="minorEastAsia" w:eastAsiaTheme="minorEastAsia"/>
          <w:szCs w:val="24"/>
        </w:rPr>
      </w:pPr>
    </w:p>
    <w:p>
      <w:pPr>
        <w:pStyle w:val="4"/>
      </w:pPr>
      <w:bookmarkStart w:id="609" w:name="_Toc13760296"/>
      <w:bookmarkStart w:id="610" w:name="_Toc9403171"/>
      <w:r>
        <w:t>8.6</w:t>
      </w:r>
      <w:r>
        <w:rPr>
          <w:rFonts w:hint="eastAsia"/>
        </w:rPr>
        <w:t>风险预测与评价</w:t>
      </w:r>
      <w:bookmarkEnd w:id="609"/>
      <w:bookmarkEnd w:id="610"/>
    </w:p>
    <w:p>
      <w:pPr>
        <w:pStyle w:val="739"/>
        <w:ind w:firstLine="480"/>
      </w:pPr>
      <w:r>
        <w:rPr>
          <w:rFonts w:hint="eastAsia"/>
        </w:rPr>
        <w:fldChar w:fldCharType="begin"/>
      </w:r>
      <w:r>
        <w:instrText xml:space="preserve">= 1 \* GB2</w:instrText>
      </w:r>
      <w:r>
        <w:rPr>
          <w:rFonts w:hint="eastAsia"/>
        </w:rPr>
        <w:fldChar w:fldCharType="separate"/>
      </w:r>
      <w:r>
        <w:rPr>
          <w:rFonts w:hint="eastAsia"/>
        </w:rPr>
        <w:t>⑴</w:t>
      </w:r>
      <w:r>
        <w:rPr>
          <w:rFonts w:hint="eastAsia"/>
        </w:rPr>
        <w:fldChar w:fldCharType="end"/>
      </w:r>
      <w:r>
        <w:rPr>
          <w:rFonts w:hint="eastAsia"/>
        </w:rPr>
        <w:t>预测模型</w:t>
      </w:r>
    </w:p>
    <w:p>
      <w:pPr>
        <w:pStyle w:val="739"/>
        <w:ind w:firstLine="480"/>
        <w:rPr>
          <w:rFonts w:cs="Times New Roman"/>
        </w:rPr>
      </w:pPr>
      <w:r>
        <w:rPr>
          <w:rFonts w:hint="eastAsia" w:cs="Times New Roman"/>
        </w:rPr>
        <w:t>根据《建设项目环境风险评价技术导则》</w:t>
      </w:r>
      <w:r>
        <w:rPr>
          <w:rFonts w:cs="Times New Roman"/>
        </w:rPr>
        <w:t>(HJ169-2018)</w:t>
      </w:r>
      <w:r>
        <w:rPr>
          <w:rFonts w:hint="eastAsia" w:cs="Times New Roman"/>
        </w:rPr>
        <w:t>附录</w:t>
      </w:r>
      <w:r>
        <w:rPr>
          <w:rFonts w:cs="Times New Roman"/>
        </w:rPr>
        <w:t>G</w:t>
      </w:r>
      <w:r>
        <w:rPr>
          <w:rFonts w:hint="eastAsia" w:cs="Times New Roman"/>
        </w:rPr>
        <w:t>，项目中物质泄漏采用模型信息如下表</w:t>
      </w:r>
      <w:r>
        <w:rPr>
          <w:rFonts w:cs="Times New Roman"/>
        </w:rPr>
        <w:t>8.6</w:t>
      </w:r>
      <w:r>
        <w:rPr>
          <w:rFonts w:hint="eastAsia" w:cs="Times New Roman"/>
        </w:rPr>
        <w:t>—</w:t>
      </w:r>
      <w:r>
        <w:rPr>
          <w:rFonts w:cs="Times New Roman"/>
        </w:rPr>
        <w:t>1</w:t>
      </w:r>
      <w:r>
        <w:rPr>
          <w:rFonts w:hint="eastAsia" w:cs="Times New Roman"/>
        </w:rPr>
        <w:t>所示。</w:t>
      </w:r>
    </w:p>
    <w:p>
      <w:pPr>
        <w:pStyle w:val="739"/>
        <w:ind w:firstLine="480"/>
        <w:rPr>
          <w:rFonts w:cs="Times New Roman"/>
          <w:color w:val="000000"/>
          <w:kern w:val="0"/>
        </w:rPr>
      </w:pPr>
      <w:r>
        <w:rPr>
          <w:rFonts w:hint="eastAsia" w:cs="Times New Roman"/>
          <w:color w:val="000000"/>
          <w:kern w:val="0"/>
        </w:rPr>
        <w:t>表</w:t>
      </w:r>
      <w:r>
        <w:rPr>
          <w:rFonts w:cs="Times New Roman"/>
          <w:color w:val="000000"/>
          <w:kern w:val="0"/>
        </w:rPr>
        <w:t>8.6</w:t>
      </w:r>
      <w:r>
        <w:rPr>
          <w:rFonts w:hint="eastAsia" w:cs="Times New Roman"/>
        </w:rPr>
        <w:t>—</w:t>
      </w:r>
      <w:r>
        <w:rPr>
          <w:rFonts w:cs="Times New Roman"/>
          <w:color w:val="000000"/>
          <w:kern w:val="0"/>
        </w:rPr>
        <w:t xml:space="preserve">1     </w:t>
      </w:r>
      <w:r>
        <w:rPr>
          <w:rFonts w:hint="eastAsia" w:cs="Times New Roman"/>
          <w:color w:val="000000"/>
          <w:kern w:val="0"/>
        </w:rPr>
        <w:t>物质泄漏模型信息一览表</w:t>
      </w:r>
    </w:p>
    <w:tbl>
      <w:tblPr>
        <w:tblStyle w:val="88"/>
        <w:tblW w:w="9854"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462"/>
        <w:gridCol w:w="2464"/>
        <w:gridCol w:w="2464"/>
        <w:gridCol w:w="246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2" w:type="dxa"/>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泄漏物质</w:t>
            </w:r>
          </w:p>
        </w:tc>
        <w:tc>
          <w:tcPr>
            <w:tcW w:w="2464"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理查德森数</w:t>
            </w:r>
          </w:p>
        </w:tc>
        <w:tc>
          <w:tcPr>
            <w:tcW w:w="2464"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气体类型</w:t>
            </w:r>
          </w:p>
        </w:tc>
        <w:tc>
          <w:tcPr>
            <w:tcW w:w="2464" w:type="dxa"/>
            <w:tcBorders>
              <w:top w:val="single" w:color="auto" w:sz="12"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采用模型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2" w:type="dxa"/>
            <w:tcBorders>
              <w:top w:val="dotted" w:color="auto" w:sz="4"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一氧化碳</w:t>
            </w:r>
          </w:p>
        </w:tc>
        <w:tc>
          <w:tcPr>
            <w:tcW w:w="2464"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ascii="宋体" w:hAnsi="宋体" w:eastAsiaTheme="minorEastAsia"/>
                <w:kern w:val="0"/>
                <w:sz w:val="21"/>
              </w:rPr>
            </w:pPr>
            <w:r>
              <w:rPr>
                <w:rFonts w:hint="eastAsia" w:ascii="宋体" w:hAnsi="宋体"/>
                <w:kern w:val="0"/>
                <w:sz w:val="21"/>
              </w:rPr>
              <w:t>－</w:t>
            </w:r>
          </w:p>
        </w:tc>
        <w:tc>
          <w:tcPr>
            <w:tcW w:w="2464" w:type="dxa"/>
            <w:tcBorders>
              <w:top w:val="dotted" w:color="auto" w:sz="4"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轻质气体</w:t>
            </w:r>
          </w:p>
        </w:tc>
        <w:tc>
          <w:tcPr>
            <w:tcW w:w="2464" w:type="dxa"/>
            <w:tcBorders>
              <w:top w:val="dotted" w:color="auto" w:sz="4"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AFTOX</w:t>
            </w:r>
            <w:r>
              <w:rPr>
                <w:rFonts w:hint="eastAsia"/>
                <w:kern w:val="0"/>
                <w:sz w:val="21"/>
              </w:rPr>
              <w:t>模型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462" w:type="dxa"/>
            <w:tcBorders>
              <w:top w:val="dotted" w:color="auto" w:sz="4"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二氧化硫</w:t>
            </w:r>
          </w:p>
        </w:tc>
        <w:tc>
          <w:tcPr>
            <w:tcW w:w="2464"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ascii="宋体" w:hAnsi="宋体" w:eastAsiaTheme="minorEastAsia"/>
                <w:kern w:val="0"/>
                <w:sz w:val="21"/>
              </w:rPr>
            </w:pPr>
            <w:r>
              <w:rPr>
                <w:rFonts w:hint="eastAsia" w:ascii="宋体" w:hAnsi="宋体"/>
                <w:kern w:val="0"/>
                <w:sz w:val="21"/>
              </w:rPr>
              <w:t>－</w:t>
            </w:r>
          </w:p>
        </w:tc>
        <w:tc>
          <w:tcPr>
            <w:tcW w:w="2464"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轻质气体</w:t>
            </w:r>
          </w:p>
        </w:tc>
        <w:tc>
          <w:tcPr>
            <w:tcW w:w="2464" w:type="dxa"/>
            <w:tcBorders>
              <w:top w:val="dotted" w:color="auto" w:sz="4"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AFTOX</w:t>
            </w:r>
            <w:r>
              <w:rPr>
                <w:rFonts w:hint="eastAsia"/>
                <w:kern w:val="0"/>
                <w:sz w:val="21"/>
              </w:rPr>
              <w:t>模型</w:t>
            </w:r>
          </w:p>
        </w:tc>
      </w:tr>
    </w:tbl>
    <w:p>
      <w:pPr>
        <w:tabs>
          <w:tab w:val="left" w:pos="1230"/>
        </w:tabs>
        <w:adjustRightInd w:val="0"/>
        <w:snapToGrid w:val="0"/>
        <w:ind w:firstLine="480"/>
        <w:jc w:val="left"/>
        <w:rPr>
          <w:rFonts w:cs="Times New Roman"/>
          <w:szCs w:val="24"/>
        </w:rPr>
      </w:pPr>
    </w:p>
    <w:p>
      <w:pPr>
        <w:pStyle w:val="739"/>
        <w:ind w:firstLine="480"/>
        <w:rPr>
          <w:rFonts w:eastAsiaTheme="minorEastAsia"/>
        </w:rPr>
      </w:pPr>
      <w:r>
        <w:rPr>
          <w:rFonts w:hint="eastAsia"/>
        </w:rPr>
        <w:fldChar w:fldCharType="begin"/>
      </w:r>
      <w:r>
        <w:instrText xml:space="preserve"> = 2 \* GB2 </w:instrText>
      </w:r>
      <w:r>
        <w:rPr>
          <w:rFonts w:hint="eastAsia"/>
        </w:rPr>
        <w:fldChar w:fldCharType="separate"/>
      </w:r>
      <w:r>
        <w:rPr>
          <w:rFonts w:hint="eastAsia" w:ascii="宋体" w:hAnsi="宋体" w:cs="宋体"/>
        </w:rPr>
        <w:t>⑵</w:t>
      </w:r>
      <w:r>
        <w:rPr>
          <w:rFonts w:hint="eastAsia" w:ascii="宋体" w:hAnsi="宋体" w:cs="宋体"/>
        </w:rPr>
        <w:fldChar w:fldCharType="end"/>
      </w:r>
      <w:r>
        <w:rPr>
          <w:rFonts w:hint="eastAsia"/>
        </w:rPr>
        <w:t>预测气象条件及预测时段</w:t>
      </w:r>
    </w:p>
    <w:p>
      <w:pPr>
        <w:pStyle w:val="739"/>
        <w:ind w:firstLine="480"/>
      </w:pPr>
      <w:r>
        <w:rPr>
          <w:rFonts w:hint="eastAsia"/>
        </w:rPr>
        <w:t>根据《建设项目环境风险评价技术导则》</w:t>
      </w:r>
      <w:r>
        <w:t>(HJ169-2018)</w:t>
      </w:r>
      <w:r>
        <w:rPr>
          <w:rFonts w:hint="eastAsia"/>
        </w:rPr>
        <w:t>，大气风险二级评价需选取最不利气象条件及事故发生地的最常见气象条件分别进行后果预测。最不利气象条件进行后果预测，最不利气象条件选取</w:t>
      </w:r>
      <w:r>
        <w:t>F</w:t>
      </w:r>
      <w:r>
        <w:rPr>
          <w:rFonts w:hint="eastAsia"/>
        </w:rPr>
        <w:t>稳定度，</w:t>
      </w:r>
      <w:r>
        <w:t>1.5m/s</w:t>
      </w:r>
      <w:r>
        <w:rPr>
          <w:rFonts w:hint="eastAsia"/>
        </w:rPr>
        <w:t>风速，温度</w:t>
      </w:r>
      <w:r>
        <w:t>2</w:t>
      </w:r>
      <w:r>
        <w:rPr>
          <w:rFonts w:hint="eastAsia"/>
        </w:rPr>
        <w:t>0</w:t>
      </w:r>
      <w:r>
        <w:rPr>
          <w:rFonts w:hint="eastAsia" w:ascii="宋体" w:hAnsi="宋体" w:cs="宋体"/>
        </w:rPr>
        <w:t>℃</w:t>
      </w:r>
      <w:r>
        <w:rPr>
          <w:rFonts w:hint="eastAsia"/>
        </w:rPr>
        <w:t>，相对湿度</w:t>
      </w:r>
      <w:r>
        <w:t>50%</w:t>
      </w:r>
      <w:r>
        <w:rPr>
          <w:rFonts w:hint="eastAsia"/>
        </w:rPr>
        <w:t>。预测时段为泄漏事故开始后的</w:t>
      </w:r>
      <w:r>
        <w:t>30min</w:t>
      </w:r>
      <w:r>
        <w:rPr>
          <w:rFonts w:hint="eastAsia"/>
        </w:rPr>
        <w:t>。</w:t>
      </w:r>
    </w:p>
    <w:p>
      <w:pPr>
        <w:pStyle w:val="739"/>
        <w:ind w:firstLine="480"/>
        <w:outlineLvl w:val="0"/>
      </w:pPr>
      <w:r>
        <w:rPr>
          <w:rFonts w:hint="eastAsia"/>
        </w:rPr>
        <w:fldChar w:fldCharType="begin"/>
      </w:r>
      <w:r>
        <w:instrText xml:space="preserve"> = 3 \* GB2 </w:instrText>
      </w:r>
      <w:r>
        <w:rPr>
          <w:rFonts w:hint="eastAsia"/>
        </w:rPr>
        <w:fldChar w:fldCharType="separate"/>
      </w:r>
      <w:r>
        <w:rPr>
          <w:rFonts w:hint="eastAsia" w:ascii="宋体" w:hAnsi="宋体" w:cs="宋体"/>
        </w:rPr>
        <w:t>⑶</w:t>
      </w:r>
      <w:r>
        <w:rPr>
          <w:rFonts w:hint="eastAsia" w:ascii="宋体" w:hAnsi="宋体" w:cs="宋体"/>
        </w:rPr>
        <w:fldChar w:fldCharType="end"/>
      </w:r>
      <w:r>
        <w:rPr>
          <w:rFonts w:hint="eastAsia"/>
        </w:rPr>
        <w:t>评价标准</w:t>
      </w:r>
    </w:p>
    <w:p>
      <w:pPr>
        <w:pStyle w:val="739"/>
        <w:ind w:firstLine="480"/>
      </w:pPr>
      <w:r>
        <w:rPr>
          <w:rFonts w:hint="eastAsia"/>
        </w:rPr>
        <w:t>根据《建设项目环境风险评价技术导则》</w:t>
      </w:r>
      <w:r>
        <w:t>(HJ169-2018)</w:t>
      </w:r>
      <w:r>
        <w:rPr>
          <w:rFonts w:hint="eastAsia"/>
        </w:rPr>
        <w:t>附录</w:t>
      </w:r>
      <w:r>
        <w:t>H</w:t>
      </w:r>
      <w:r>
        <w:rPr>
          <w:rFonts w:hint="eastAsia"/>
        </w:rPr>
        <w:t>，一氧化碳及二氧化硫大气毒性终点浓度值如下表</w:t>
      </w:r>
      <w:r>
        <w:t>8.6</w:t>
      </w:r>
      <w:r>
        <w:rPr>
          <w:rFonts w:hint="eastAsia" w:cs="Times New Roman"/>
        </w:rPr>
        <w:t>—</w:t>
      </w:r>
      <w:r>
        <w:t>2</w:t>
      </w:r>
      <w:r>
        <w:rPr>
          <w:rFonts w:hint="eastAsia"/>
        </w:rPr>
        <w:t>所示。</w:t>
      </w:r>
    </w:p>
    <w:p>
      <w:pPr>
        <w:pStyle w:val="739"/>
        <w:ind w:firstLine="480"/>
        <w:rPr>
          <w:color w:val="000000"/>
          <w:kern w:val="0"/>
        </w:rPr>
      </w:pPr>
      <w:r>
        <w:rPr>
          <w:rFonts w:hint="eastAsia"/>
          <w:color w:val="000000"/>
          <w:kern w:val="0"/>
        </w:rPr>
        <w:t>表</w:t>
      </w:r>
      <w:r>
        <w:rPr>
          <w:color w:val="000000"/>
          <w:kern w:val="0"/>
        </w:rPr>
        <w:t>8.6</w:t>
      </w:r>
      <w:r>
        <w:rPr>
          <w:rFonts w:hint="eastAsia" w:cs="Times New Roman"/>
        </w:rPr>
        <w:t>—</w:t>
      </w:r>
      <w:r>
        <w:rPr>
          <w:color w:val="000000"/>
          <w:kern w:val="0"/>
        </w:rPr>
        <w:t>2</w:t>
      </w:r>
      <w:r>
        <w:rPr>
          <w:rFonts w:hint="eastAsia"/>
          <w:color w:val="000000"/>
          <w:kern w:val="0"/>
        </w:rPr>
        <w:t xml:space="preserve">          一氧化碳及二氧化硫大气毒性终点浓度值一览表</w:t>
      </w:r>
    </w:p>
    <w:tbl>
      <w:tblPr>
        <w:tblStyle w:val="88"/>
        <w:tblW w:w="98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47"/>
        <w:gridCol w:w="2432"/>
        <w:gridCol w:w="23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7" w:type="dxa"/>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毒性数据</w:t>
            </w:r>
          </w:p>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物质</w:t>
            </w:r>
          </w:p>
        </w:tc>
        <w:tc>
          <w:tcPr>
            <w:tcW w:w="2432"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一氧化碳</w:t>
            </w:r>
          </w:p>
        </w:tc>
        <w:tc>
          <w:tcPr>
            <w:tcW w:w="2375" w:type="dxa"/>
            <w:tcBorders>
              <w:top w:val="single" w:color="auto" w:sz="12"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二氧化硫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047" w:type="dxa"/>
            <w:tcBorders>
              <w:top w:val="single" w:color="auto" w:sz="12" w:space="0"/>
              <w:left w:val="nil"/>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毒性终点浓度</w:t>
            </w:r>
            <w:r>
              <w:rPr>
                <w:kern w:val="0"/>
                <w:sz w:val="21"/>
              </w:rPr>
              <w:t>-1(mg/m</w:t>
            </w:r>
            <w:r>
              <w:rPr>
                <w:kern w:val="0"/>
                <w:sz w:val="21"/>
                <w:vertAlign w:val="superscript"/>
              </w:rPr>
              <w:t>3</w:t>
            </w:r>
            <w:r>
              <w:rPr>
                <w:kern w:val="0"/>
                <w:sz w:val="21"/>
              </w:rPr>
              <w:t>)</w:t>
            </w:r>
          </w:p>
        </w:tc>
        <w:tc>
          <w:tcPr>
            <w:tcW w:w="2432" w:type="dxa"/>
            <w:tcBorders>
              <w:top w:val="single" w:color="auto" w:sz="12" w:space="0"/>
              <w:left w:val="dotted" w:color="auto" w:sz="4" w:space="0"/>
              <w:bottom w:val="dotted" w:color="auto" w:sz="4"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380</w:t>
            </w:r>
          </w:p>
        </w:tc>
        <w:tc>
          <w:tcPr>
            <w:tcW w:w="2375" w:type="dxa"/>
            <w:tcBorders>
              <w:top w:val="single" w:color="auto" w:sz="12" w:space="0"/>
              <w:left w:val="dotted" w:color="auto" w:sz="4" w:space="0"/>
              <w:bottom w:val="dotted" w:color="auto" w:sz="4"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047" w:type="dxa"/>
            <w:tcBorders>
              <w:top w:val="dotted" w:color="auto" w:sz="4"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毒性终点浓度</w:t>
            </w:r>
            <w:r>
              <w:rPr>
                <w:kern w:val="0"/>
                <w:sz w:val="21"/>
              </w:rPr>
              <w:t>-2(mg/m</w:t>
            </w:r>
            <w:r>
              <w:rPr>
                <w:kern w:val="0"/>
                <w:sz w:val="21"/>
                <w:vertAlign w:val="superscript"/>
              </w:rPr>
              <w:t>3</w:t>
            </w:r>
            <w:r>
              <w:rPr>
                <w:kern w:val="0"/>
                <w:sz w:val="21"/>
              </w:rPr>
              <w:t>)</w:t>
            </w:r>
          </w:p>
        </w:tc>
        <w:tc>
          <w:tcPr>
            <w:tcW w:w="2432" w:type="dxa"/>
            <w:tcBorders>
              <w:top w:val="dotted" w:color="auto" w:sz="4"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95</w:t>
            </w:r>
          </w:p>
        </w:tc>
        <w:tc>
          <w:tcPr>
            <w:tcW w:w="2375" w:type="dxa"/>
            <w:tcBorders>
              <w:top w:val="dotted" w:color="auto" w:sz="4"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2</w:t>
            </w:r>
          </w:p>
        </w:tc>
      </w:tr>
    </w:tbl>
    <w:p>
      <w:pPr>
        <w:tabs>
          <w:tab w:val="left" w:pos="1230"/>
        </w:tabs>
        <w:adjustRightInd w:val="0"/>
        <w:snapToGrid w:val="0"/>
        <w:ind w:firstLine="480"/>
        <w:jc w:val="left"/>
        <w:rPr>
          <w:rFonts w:cs="Times New Roman"/>
          <w:szCs w:val="24"/>
        </w:rPr>
      </w:pPr>
    </w:p>
    <w:p>
      <w:pPr>
        <w:tabs>
          <w:tab w:val="left" w:pos="1230"/>
        </w:tabs>
        <w:adjustRightInd w:val="0"/>
        <w:snapToGrid w:val="0"/>
        <w:ind w:firstLine="480"/>
        <w:jc w:val="left"/>
        <w:rPr>
          <w:rFonts w:cs="Times New Roman" w:eastAsiaTheme="minorEastAsia"/>
          <w:szCs w:val="24"/>
        </w:rPr>
      </w:pPr>
      <w:r>
        <w:rPr>
          <w:rFonts w:cs="Times New Roman"/>
          <w:szCs w:val="24"/>
        </w:rPr>
        <w:fldChar w:fldCharType="begin"/>
      </w:r>
      <w:r>
        <w:rPr>
          <w:rFonts w:cs="Times New Roman"/>
          <w:szCs w:val="24"/>
        </w:rPr>
        <w:instrText xml:space="preserve"> = 4 \* GB2 </w:instrText>
      </w:r>
      <w:r>
        <w:rPr>
          <w:rFonts w:cs="Times New Roman"/>
          <w:szCs w:val="24"/>
        </w:rPr>
        <w:fldChar w:fldCharType="separate"/>
      </w:r>
      <w:r>
        <w:rPr>
          <w:rFonts w:hint="eastAsia" w:ascii="宋体" w:hAnsi="宋体" w:cs="宋体"/>
          <w:szCs w:val="24"/>
        </w:rPr>
        <w:t>⑷</w:t>
      </w:r>
      <w:r>
        <w:rPr>
          <w:rFonts w:cs="Times New Roman"/>
          <w:szCs w:val="24"/>
        </w:rPr>
        <w:fldChar w:fldCharType="end"/>
      </w:r>
      <w:r>
        <w:rPr>
          <w:rFonts w:hint="eastAsia" w:cs="Times New Roman"/>
          <w:szCs w:val="24"/>
        </w:rPr>
        <w:t>评价范围</w:t>
      </w:r>
    </w:p>
    <w:p>
      <w:pPr>
        <w:tabs>
          <w:tab w:val="left" w:pos="1230"/>
        </w:tabs>
        <w:adjustRightInd w:val="0"/>
        <w:snapToGrid w:val="0"/>
        <w:ind w:firstLine="480"/>
        <w:jc w:val="left"/>
        <w:rPr>
          <w:rFonts w:cs="Times New Roman"/>
          <w:szCs w:val="24"/>
        </w:rPr>
      </w:pPr>
      <w:r>
        <w:rPr>
          <w:rFonts w:hint="eastAsia" w:cs="Times New Roman"/>
          <w:szCs w:val="24"/>
        </w:rPr>
        <w:t>根据《建设项目环境风险评价技术导则》</w:t>
      </w:r>
      <w:r>
        <w:rPr>
          <w:rFonts w:cs="Times New Roman"/>
          <w:szCs w:val="24"/>
        </w:rPr>
        <w:t>(HJ169-2018)</w:t>
      </w:r>
      <w:r>
        <w:rPr>
          <w:rFonts w:hint="eastAsia" w:cs="Times New Roman"/>
          <w:szCs w:val="24"/>
        </w:rPr>
        <w:t>，预测范围选取风险源为中心，边长</w:t>
      </w:r>
      <w:r>
        <w:rPr>
          <w:rFonts w:cs="Times New Roman"/>
          <w:szCs w:val="24"/>
        </w:rPr>
        <w:t>5000m</w:t>
      </w:r>
      <w:r>
        <w:rPr>
          <w:rFonts w:hint="eastAsia" w:cs="Times New Roman"/>
          <w:szCs w:val="24"/>
        </w:rPr>
        <w:t>的矩形范围，该范围内无环境敏感目标等关心点，因此不设置特殊计算点；在距离风险源下风向</w:t>
      </w:r>
      <w:r>
        <w:rPr>
          <w:rFonts w:cs="Times New Roman"/>
          <w:szCs w:val="24"/>
        </w:rPr>
        <w:t>5000m</w:t>
      </w:r>
      <w:r>
        <w:rPr>
          <w:rFonts w:hint="eastAsia" w:cs="Times New Roman"/>
          <w:szCs w:val="24"/>
        </w:rPr>
        <w:t>范围内，每隔</w:t>
      </w:r>
      <w:r>
        <w:rPr>
          <w:rFonts w:cs="Times New Roman"/>
          <w:szCs w:val="24"/>
        </w:rPr>
        <w:t>100m</w:t>
      </w:r>
      <w:r>
        <w:rPr>
          <w:rFonts w:hint="eastAsia" w:cs="Times New Roman"/>
          <w:szCs w:val="24"/>
        </w:rPr>
        <w:t>设置一个一般计算点。</w:t>
      </w:r>
    </w:p>
    <w:p>
      <w:pPr>
        <w:pStyle w:val="739"/>
        <w:ind w:firstLine="480"/>
      </w:pPr>
      <w:r>
        <w:rPr>
          <w:rFonts w:hint="eastAsia"/>
        </w:rPr>
        <w:fldChar w:fldCharType="begin"/>
      </w:r>
      <w:r>
        <w:instrText xml:space="preserve"> = 5 \* GB2 </w:instrText>
      </w:r>
      <w:r>
        <w:rPr>
          <w:rFonts w:hint="eastAsia"/>
        </w:rPr>
        <w:fldChar w:fldCharType="separate"/>
      </w:r>
      <w:r>
        <w:rPr>
          <w:rFonts w:hint="eastAsia" w:ascii="宋体" w:hAnsi="宋体" w:cs="宋体"/>
        </w:rPr>
        <w:t>⑸</w:t>
      </w:r>
      <w:r>
        <w:rPr>
          <w:rFonts w:hint="eastAsia" w:ascii="宋体" w:hAnsi="宋体" w:cs="宋体"/>
        </w:rPr>
        <w:fldChar w:fldCharType="end"/>
      </w:r>
      <w:r>
        <w:rPr>
          <w:rFonts w:hint="eastAsia"/>
        </w:rPr>
        <w:t>大气预测结果</w:t>
      </w:r>
    </w:p>
    <w:p>
      <w:pPr>
        <w:pStyle w:val="739"/>
        <w:ind w:firstLine="480"/>
      </w:pPr>
      <w:r>
        <w:rPr>
          <w:rFonts w:hint="eastAsia"/>
        </w:rPr>
        <w:fldChar w:fldCharType="begin"/>
      </w:r>
      <w:r>
        <w:instrText xml:space="preserve"> = 1 \* GB3 </w:instrText>
      </w:r>
      <w:r>
        <w:rPr>
          <w:rFonts w:hint="eastAsia"/>
        </w:rPr>
        <w:fldChar w:fldCharType="separate"/>
      </w:r>
      <w:r>
        <w:rPr>
          <w:rFonts w:hint="eastAsia" w:ascii="宋体" w:hAnsi="宋体" w:cs="宋体"/>
        </w:rPr>
        <w:t>①</w:t>
      </w:r>
      <w:r>
        <w:rPr>
          <w:rFonts w:hint="eastAsia" w:ascii="宋体" w:hAnsi="宋体" w:cs="宋体"/>
        </w:rPr>
        <w:fldChar w:fldCharType="end"/>
      </w:r>
      <w:r>
        <w:rPr>
          <w:rFonts w:hint="eastAsia"/>
        </w:rPr>
        <w:t>一氧化碳</w:t>
      </w:r>
      <w:r>
        <w:t>(</w:t>
      </w:r>
      <w:r>
        <w:rPr>
          <w:rFonts w:hint="eastAsia"/>
        </w:rPr>
        <w:t>柴油燃烧</w:t>
      </w:r>
      <w:r>
        <w:t>)</w:t>
      </w:r>
    </w:p>
    <w:p>
      <w:pPr>
        <w:pStyle w:val="739"/>
        <w:ind w:firstLine="480"/>
        <w:rPr>
          <w:kern w:val="0"/>
        </w:rPr>
      </w:pPr>
      <w:r>
        <w:rPr>
          <w:kern w:val="0"/>
        </w:rPr>
        <w:fldChar w:fldCharType="begin"/>
      </w:r>
      <w:r>
        <w:rPr>
          <w:kern w:val="0"/>
        </w:rPr>
        <w:instrText xml:space="preserve">= 1 \* roman</w:instrText>
      </w:r>
      <w:r>
        <w:rPr>
          <w:kern w:val="0"/>
        </w:rPr>
        <w:fldChar w:fldCharType="separate"/>
      </w:r>
      <w:r>
        <w:rPr>
          <w:kern w:val="0"/>
        </w:rPr>
        <w:t>i</w:t>
      </w:r>
      <w:r>
        <w:rPr>
          <w:kern w:val="0"/>
        </w:rPr>
        <w:fldChar w:fldCharType="end"/>
      </w:r>
      <w:r>
        <w:rPr>
          <w:kern w:val="0"/>
        </w:rPr>
        <w:t>.</w:t>
      </w:r>
      <w:r>
        <w:rPr>
          <w:rFonts w:hint="eastAsia"/>
          <w:kern w:val="0"/>
        </w:rPr>
        <w:t>下风向有毒有害物质最大浓度及影响范围</w:t>
      </w:r>
    </w:p>
    <w:p>
      <w:pPr>
        <w:widowControl/>
        <w:adjustRightInd w:val="0"/>
        <w:snapToGrid w:val="0"/>
        <w:ind w:firstLine="480"/>
        <w:jc w:val="left"/>
        <w:rPr>
          <w:kern w:val="0"/>
          <w:szCs w:val="24"/>
        </w:rPr>
      </w:pPr>
      <w:r>
        <w:rPr>
          <w:rFonts w:hint="eastAsia"/>
          <w:kern w:val="0"/>
          <w:szCs w:val="24"/>
        </w:rPr>
        <w:t>经预测，计算浓度均小于阈值</w:t>
      </w:r>
      <w:r>
        <w:rPr>
          <w:kern w:val="0"/>
          <w:szCs w:val="24"/>
        </w:rPr>
        <w:t>95mg/m</w:t>
      </w:r>
      <w:r>
        <w:rPr>
          <w:kern w:val="0"/>
          <w:szCs w:val="24"/>
          <w:vertAlign w:val="superscript"/>
        </w:rPr>
        <w:t>3</w:t>
      </w:r>
      <w:r>
        <w:rPr>
          <w:kern w:val="0"/>
          <w:szCs w:val="24"/>
        </w:rPr>
        <w:t>(</w:t>
      </w:r>
      <w:r>
        <w:rPr>
          <w:rFonts w:hint="eastAsia"/>
          <w:kern w:val="0"/>
          <w:szCs w:val="24"/>
        </w:rPr>
        <w:t>毒性终点浓度</w:t>
      </w:r>
      <w:r>
        <w:rPr>
          <w:kern w:val="0"/>
          <w:szCs w:val="24"/>
        </w:rPr>
        <w:t>-2)</w:t>
      </w:r>
      <w:r>
        <w:rPr>
          <w:rFonts w:hint="eastAsia"/>
          <w:kern w:val="0"/>
          <w:szCs w:val="24"/>
        </w:rPr>
        <w:t>，因此不存在最大影响区域图。网格点预测期间最大浓度分布如下图</w:t>
      </w:r>
      <w:r>
        <w:rPr>
          <w:kern w:val="0"/>
          <w:szCs w:val="24"/>
        </w:rPr>
        <w:t>8.6</w:t>
      </w:r>
      <w:r>
        <w:rPr>
          <w:rFonts w:hint="eastAsia"/>
          <w:kern w:val="0"/>
          <w:szCs w:val="24"/>
        </w:rPr>
        <w:t>—1所示。</w:t>
      </w:r>
    </w:p>
    <w:p>
      <w:pPr>
        <w:widowControl/>
        <w:adjustRightInd w:val="0"/>
        <w:snapToGrid w:val="0"/>
        <w:ind w:firstLine="480"/>
        <w:jc w:val="center"/>
        <w:rPr>
          <w:kern w:val="0"/>
          <w:szCs w:val="24"/>
        </w:rPr>
      </w:pPr>
      <w:bookmarkStart w:id="863" w:name="_GoBack"/>
      <w:bookmarkEnd w:id="863"/>
    </w:p>
    <w:p>
      <w:pPr>
        <w:widowControl/>
        <w:adjustRightInd w:val="0"/>
        <w:snapToGrid w:val="0"/>
        <w:ind w:firstLine="480"/>
        <w:jc w:val="left"/>
        <w:rPr>
          <w:kern w:val="0"/>
          <w:szCs w:val="24"/>
        </w:rPr>
      </w:pPr>
      <w:r>
        <w:rPr>
          <w:rFonts w:hint="eastAsia"/>
          <w:szCs w:val="24"/>
        </w:rPr>
        <w:t xml:space="preserve">         图</w:t>
      </w:r>
      <w:r>
        <w:rPr>
          <w:kern w:val="0"/>
          <w:szCs w:val="24"/>
        </w:rPr>
        <w:t>8.6</w:t>
      </w:r>
      <w:r>
        <w:rPr>
          <w:rFonts w:hint="eastAsia"/>
          <w:kern w:val="0"/>
          <w:szCs w:val="24"/>
        </w:rPr>
        <w:t xml:space="preserve">—1         </w:t>
      </w:r>
      <w:r>
        <w:rPr>
          <w:rFonts w:hint="eastAsia"/>
          <w:szCs w:val="24"/>
        </w:rPr>
        <w:t>网格点预测期间最大浓度分布图</w:t>
      </w:r>
    </w:p>
    <w:p>
      <w:pPr>
        <w:adjustRightInd w:val="0"/>
        <w:snapToGrid w:val="0"/>
        <w:ind w:firstLine="480"/>
        <w:rPr>
          <w:szCs w:val="24"/>
        </w:rPr>
      </w:pPr>
      <w:r>
        <w:rPr>
          <w:szCs w:val="24"/>
        </w:rPr>
        <w:fldChar w:fldCharType="begin"/>
      </w:r>
      <w:r>
        <w:rPr>
          <w:szCs w:val="24"/>
        </w:rPr>
        <w:instrText xml:space="preserve">= 2 \* roman</w:instrText>
      </w:r>
      <w:r>
        <w:rPr>
          <w:szCs w:val="24"/>
        </w:rPr>
        <w:fldChar w:fldCharType="separate"/>
      </w:r>
      <w:r>
        <w:rPr>
          <w:szCs w:val="24"/>
        </w:rPr>
        <w:t>ii</w:t>
      </w:r>
      <w:r>
        <w:rPr>
          <w:szCs w:val="24"/>
        </w:rPr>
        <w:fldChar w:fldCharType="end"/>
      </w:r>
      <w:r>
        <w:rPr>
          <w:szCs w:val="24"/>
        </w:rPr>
        <w:t>.</w:t>
      </w:r>
      <w:r>
        <w:rPr>
          <w:rFonts w:hint="eastAsia"/>
          <w:szCs w:val="24"/>
        </w:rPr>
        <w:t>关心点有毒有害物质浓度随时间变化情况</w:t>
      </w:r>
    </w:p>
    <w:p>
      <w:pPr>
        <w:widowControl/>
        <w:adjustRightInd w:val="0"/>
        <w:snapToGrid w:val="0"/>
        <w:ind w:firstLine="480"/>
        <w:jc w:val="left"/>
        <w:rPr>
          <w:szCs w:val="24"/>
        </w:rPr>
      </w:pPr>
      <w:r>
        <w:rPr>
          <w:rFonts w:hint="eastAsia"/>
          <w:szCs w:val="24"/>
        </w:rPr>
        <w:t>由表</w:t>
      </w:r>
      <w:r>
        <w:rPr>
          <w:kern w:val="0"/>
          <w:szCs w:val="24"/>
        </w:rPr>
        <w:t>8.6</w:t>
      </w:r>
      <w:r>
        <w:rPr>
          <w:rFonts w:hint="eastAsia"/>
          <w:kern w:val="0"/>
          <w:szCs w:val="24"/>
        </w:rPr>
        <w:t>—3</w:t>
      </w:r>
      <w:r>
        <w:rPr>
          <w:rFonts w:hint="eastAsia"/>
          <w:szCs w:val="24"/>
        </w:rPr>
        <w:t>可以看出，柴油储罐发生泄漏后，遇明火燃烧产生一氧化碳，一氧化碳在最不利气象条件下</w:t>
      </w:r>
      <w:r>
        <w:rPr>
          <w:szCs w:val="24"/>
        </w:rPr>
        <w:t>(</w:t>
      </w:r>
      <w:r>
        <w:rPr>
          <w:rFonts w:hint="eastAsia"/>
          <w:szCs w:val="24"/>
        </w:rPr>
        <w:t>风速</w:t>
      </w:r>
      <w:r>
        <w:rPr>
          <w:szCs w:val="24"/>
        </w:rPr>
        <w:t>1.5m/s</w:t>
      </w:r>
      <w:r>
        <w:rPr>
          <w:rFonts w:hint="eastAsia"/>
          <w:szCs w:val="24"/>
        </w:rPr>
        <w:t>，稳定度</w:t>
      </w:r>
      <w:r>
        <w:rPr>
          <w:szCs w:val="24"/>
        </w:rPr>
        <w:t>F)</w:t>
      </w:r>
      <w:r>
        <w:rPr>
          <w:rFonts w:hint="eastAsia"/>
          <w:szCs w:val="24"/>
        </w:rPr>
        <w:t>扩散过程中，到达本项目办公生活区最大浓度为2.19</w:t>
      </w:r>
      <w:r>
        <w:rPr>
          <w:szCs w:val="24"/>
        </w:rPr>
        <w:t>×10mg/m</w:t>
      </w:r>
      <w:r>
        <w:rPr>
          <w:szCs w:val="24"/>
          <w:vertAlign w:val="superscript"/>
        </w:rPr>
        <w:t>3</w:t>
      </w:r>
      <w:r>
        <w:rPr>
          <w:szCs w:val="24"/>
        </w:rPr>
        <w:t>(</w:t>
      </w:r>
      <w:r>
        <w:rPr>
          <w:rFonts w:hint="eastAsia"/>
          <w:szCs w:val="24"/>
        </w:rPr>
        <w:t>第</w:t>
      </w:r>
      <w:r>
        <w:rPr>
          <w:szCs w:val="24"/>
        </w:rPr>
        <w:t>2</w:t>
      </w:r>
      <w:r>
        <w:rPr>
          <w:rFonts w:hint="eastAsia"/>
          <w:szCs w:val="24"/>
        </w:rPr>
        <w:t>5</w:t>
      </w:r>
      <w:r>
        <w:rPr>
          <w:szCs w:val="24"/>
        </w:rPr>
        <w:t>min)</w:t>
      </w:r>
      <w:r>
        <w:rPr>
          <w:rFonts w:hint="eastAsia"/>
          <w:szCs w:val="24"/>
        </w:rPr>
        <w:t>。</w:t>
      </w:r>
    </w:p>
    <w:p>
      <w:pPr>
        <w:widowControl/>
        <w:adjustRightInd w:val="0"/>
        <w:snapToGrid w:val="0"/>
        <w:ind w:firstLine="480"/>
        <w:jc w:val="left"/>
        <w:rPr>
          <w:szCs w:val="24"/>
        </w:rPr>
      </w:pPr>
      <w:r>
        <w:rPr>
          <w:rFonts w:hint="eastAsia"/>
          <w:szCs w:val="24"/>
        </w:rPr>
        <w:t>表</w:t>
      </w:r>
      <w:r>
        <w:rPr>
          <w:kern w:val="0"/>
          <w:szCs w:val="24"/>
        </w:rPr>
        <w:t>8.6</w:t>
      </w:r>
      <w:r>
        <w:rPr>
          <w:rFonts w:hint="eastAsia"/>
          <w:kern w:val="0"/>
          <w:szCs w:val="24"/>
        </w:rPr>
        <w:t>—3</w:t>
      </w:r>
      <w:r>
        <w:rPr>
          <w:rFonts w:hint="eastAsia"/>
          <w:szCs w:val="24"/>
        </w:rPr>
        <w:t>最不利气象条件下一氧化碳浓度随时间变化一览表</w:t>
      </w:r>
    </w:p>
    <w:tbl>
      <w:tblPr>
        <w:tblStyle w:val="88"/>
        <w:tblW w:w="9375" w:type="dxa"/>
        <w:jc w:val="center"/>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Layout w:type="fixed"/>
        <w:tblCellMar>
          <w:top w:w="0" w:type="dxa"/>
          <w:left w:w="0" w:type="dxa"/>
          <w:bottom w:w="0" w:type="dxa"/>
          <w:right w:w="0" w:type="dxa"/>
        </w:tblCellMar>
      </w:tblPr>
      <w:tblGrid>
        <w:gridCol w:w="1287"/>
        <w:gridCol w:w="1560"/>
        <w:gridCol w:w="1134"/>
        <w:gridCol w:w="992"/>
        <w:gridCol w:w="992"/>
        <w:gridCol w:w="1134"/>
        <w:gridCol w:w="1134"/>
        <w:gridCol w:w="1142"/>
      </w:tblGrid>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0" w:type="dxa"/>
            <w:bottom w:w="0" w:type="dxa"/>
            <w:right w:w="0" w:type="dxa"/>
          </w:tblCellMar>
        </w:tblPrEx>
        <w:trPr>
          <w:jc w:val="center"/>
        </w:trPr>
        <w:tc>
          <w:tcPr>
            <w:tcW w:w="1287" w:type="dxa"/>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名称</w:t>
            </w:r>
          </w:p>
        </w:tc>
        <w:tc>
          <w:tcPr>
            <w:tcW w:w="1560"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最大浓度</w:t>
            </w:r>
            <w:r>
              <w:rPr>
                <w:kern w:val="0"/>
                <w:sz w:val="21"/>
              </w:rPr>
              <w:t>/</w:t>
            </w:r>
            <w:r>
              <w:rPr>
                <w:rFonts w:hint="eastAsia"/>
                <w:kern w:val="0"/>
                <w:sz w:val="21"/>
              </w:rPr>
              <w:t>时间</w:t>
            </w:r>
          </w:p>
        </w:tc>
        <w:tc>
          <w:tcPr>
            <w:tcW w:w="1134"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5min</w:t>
            </w:r>
          </w:p>
        </w:tc>
        <w:tc>
          <w:tcPr>
            <w:tcW w:w="992"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10min</w:t>
            </w:r>
          </w:p>
        </w:tc>
        <w:tc>
          <w:tcPr>
            <w:tcW w:w="992"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15min</w:t>
            </w:r>
          </w:p>
        </w:tc>
        <w:tc>
          <w:tcPr>
            <w:tcW w:w="1134"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20min</w:t>
            </w:r>
          </w:p>
        </w:tc>
        <w:tc>
          <w:tcPr>
            <w:tcW w:w="1134"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25min</w:t>
            </w:r>
          </w:p>
        </w:tc>
        <w:tc>
          <w:tcPr>
            <w:tcW w:w="1142" w:type="dxa"/>
            <w:tcBorders>
              <w:top w:val="single" w:color="auto" w:sz="12"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30min</w:t>
            </w:r>
          </w:p>
        </w:tc>
      </w:tr>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0" w:type="dxa"/>
            <w:bottom w:w="0" w:type="dxa"/>
            <w:right w:w="0" w:type="dxa"/>
          </w:tblCellMar>
        </w:tblPrEx>
        <w:trPr>
          <w:jc w:val="center"/>
        </w:trPr>
        <w:tc>
          <w:tcPr>
            <w:tcW w:w="1287" w:type="dxa"/>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本项目</w:t>
            </w:r>
          </w:p>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办公生活区</w:t>
            </w:r>
          </w:p>
        </w:tc>
        <w:tc>
          <w:tcPr>
            <w:tcW w:w="1560"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sz w:val="21"/>
              </w:rPr>
              <w:t>2.19</w:t>
            </w:r>
            <w:r>
              <w:rPr>
                <w:sz w:val="21"/>
              </w:rPr>
              <w:t>E</w:t>
            </w:r>
            <w:r>
              <w:rPr>
                <w:rFonts w:hint="eastAsia"/>
                <w:sz w:val="21"/>
              </w:rPr>
              <w:t>+01</w:t>
            </w:r>
          </w:p>
        </w:tc>
        <w:tc>
          <w:tcPr>
            <w:tcW w:w="1134"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0.00E+00</w:t>
            </w:r>
          </w:p>
        </w:tc>
        <w:tc>
          <w:tcPr>
            <w:tcW w:w="992"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0.00E+00</w:t>
            </w:r>
          </w:p>
        </w:tc>
        <w:tc>
          <w:tcPr>
            <w:tcW w:w="992"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sz w:val="21"/>
              </w:rPr>
              <w:t>0.00E+00</w:t>
            </w:r>
          </w:p>
        </w:tc>
        <w:tc>
          <w:tcPr>
            <w:tcW w:w="1134"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2.09</w:t>
            </w:r>
            <w:r>
              <w:rPr>
                <w:sz w:val="21"/>
              </w:rPr>
              <w:t>E+0</w:t>
            </w:r>
            <w:r>
              <w:rPr>
                <w:rFonts w:hint="eastAsia"/>
                <w:sz w:val="21"/>
              </w:rPr>
              <w:t>1</w:t>
            </w:r>
          </w:p>
        </w:tc>
        <w:tc>
          <w:tcPr>
            <w:tcW w:w="1134" w:type="dxa"/>
            <w:tcBorders>
              <w:top w:val="single" w:color="auto" w:sz="12" w:space="0"/>
              <w:left w:val="dotted" w:color="auto" w:sz="4" w:space="0"/>
              <w:bottom w:val="single" w:color="auto" w:sz="12" w:space="0"/>
              <w:right w:val="dotted" w:color="auto" w:sz="4" w:space="0"/>
            </w:tcBorders>
            <w:vAlign w:val="center"/>
          </w:tcPr>
          <w:p>
            <w:pPr>
              <w:adjustRightInd w:val="0"/>
              <w:snapToGrid w:val="0"/>
              <w:spacing w:line="240" w:lineRule="atLeast"/>
              <w:ind w:firstLine="0" w:firstLineChars="0"/>
              <w:jc w:val="center"/>
              <w:rPr>
                <w:rFonts w:eastAsiaTheme="minorEastAsia"/>
                <w:sz w:val="21"/>
              </w:rPr>
            </w:pPr>
            <w:r>
              <w:rPr>
                <w:rFonts w:hint="eastAsia"/>
                <w:sz w:val="21"/>
              </w:rPr>
              <w:t>2.19</w:t>
            </w:r>
            <w:r>
              <w:rPr>
                <w:sz w:val="21"/>
              </w:rPr>
              <w:t>E+0</w:t>
            </w:r>
            <w:r>
              <w:rPr>
                <w:rFonts w:hint="eastAsia"/>
                <w:sz w:val="21"/>
              </w:rPr>
              <w:t>1</w:t>
            </w:r>
          </w:p>
        </w:tc>
        <w:tc>
          <w:tcPr>
            <w:tcW w:w="1142" w:type="dxa"/>
            <w:tcBorders>
              <w:top w:val="single" w:color="auto" w:sz="12" w:space="0"/>
              <w:left w:val="dotted" w:color="auto" w:sz="4" w:space="0"/>
              <w:bottom w:val="single" w:color="auto" w:sz="12" w:space="0"/>
              <w:right w:val="nil"/>
            </w:tcBorders>
            <w:vAlign w:val="center"/>
          </w:tcPr>
          <w:p>
            <w:pPr>
              <w:adjustRightInd w:val="0"/>
              <w:snapToGrid w:val="0"/>
              <w:spacing w:line="240" w:lineRule="atLeast"/>
              <w:ind w:firstLine="0" w:firstLineChars="0"/>
              <w:jc w:val="center"/>
              <w:rPr>
                <w:rFonts w:eastAsiaTheme="minorEastAsia"/>
                <w:sz w:val="21"/>
              </w:rPr>
            </w:pPr>
            <w:r>
              <w:rPr>
                <w:rFonts w:hint="eastAsia"/>
                <w:sz w:val="21"/>
              </w:rPr>
              <w:t>2.19</w:t>
            </w:r>
            <w:r>
              <w:rPr>
                <w:sz w:val="21"/>
              </w:rPr>
              <w:t>E+0</w:t>
            </w:r>
            <w:r>
              <w:rPr>
                <w:rFonts w:hint="eastAsia"/>
                <w:sz w:val="21"/>
              </w:rPr>
              <w:t>1</w:t>
            </w:r>
          </w:p>
        </w:tc>
      </w:tr>
    </w:tbl>
    <w:p>
      <w:pPr>
        <w:widowControl/>
        <w:adjustRightInd w:val="0"/>
        <w:snapToGrid w:val="0"/>
        <w:ind w:firstLine="480"/>
        <w:jc w:val="left"/>
        <w:rPr>
          <w:rFonts w:eastAsiaTheme="minorEastAsia"/>
          <w:kern w:val="0"/>
          <w:szCs w:val="24"/>
        </w:rPr>
      </w:pPr>
    </w:p>
    <w:p>
      <w:pPr>
        <w:widowControl/>
        <w:adjustRightInd w:val="0"/>
        <w:snapToGrid w:val="0"/>
        <w:ind w:firstLine="480"/>
        <w:jc w:val="left"/>
        <w:rPr>
          <w:rFonts w:eastAsiaTheme="minorEastAsia"/>
          <w:kern w:val="0"/>
          <w:szCs w:val="24"/>
        </w:rPr>
      </w:pPr>
      <w:r>
        <w:rPr>
          <w:rFonts w:cs="Times New Roman"/>
          <w:szCs w:val="24"/>
        </w:rPr>
        <w:t>8.6</w:t>
      </w:r>
      <w:r>
        <w:rPr>
          <w:rFonts w:hint="eastAsia" w:cs="Times New Roman"/>
          <w:szCs w:val="24"/>
        </w:rPr>
        <w:t>—2浓度随时间变化图</w:t>
      </w:r>
    </w:p>
    <w:p>
      <w:pPr>
        <w:pStyle w:val="739"/>
        <w:ind w:firstLine="480"/>
        <w:rPr>
          <w:kern w:val="0"/>
        </w:rPr>
      </w:pPr>
      <w:r>
        <w:rPr>
          <w:kern w:val="0"/>
        </w:rPr>
        <w:fldChar w:fldCharType="begin"/>
      </w:r>
      <w:r>
        <w:rPr>
          <w:rFonts w:hint="eastAsia"/>
          <w:kern w:val="0"/>
        </w:rPr>
        <w:instrText xml:space="preserve">= 3 \* roman</w:instrText>
      </w:r>
      <w:r>
        <w:rPr>
          <w:kern w:val="0"/>
        </w:rPr>
        <w:fldChar w:fldCharType="separate"/>
      </w:r>
      <w:r>
        <w:rPr>
          <w:kern w:val="0"/>
        </w:rPr>
        <w:t>iii</w:t>
      </w:r>
      <w:r>
        <w:rPr>
          <w:kern w:val="0"/>
        </w:rPr>
        <w:fldChar w:fldCharType="end"/>
      </w:r>
      <w:r>
        <w:rPr>
          <w:rFonts w:hint="eastAsia"/>
          <w:kern w:val="0"/>
        </w:rPr>
        <w:t>.下风向有毒有害物质最大浓度及影响范围</w:t>
      </w:r>
    </w:p>
    <w:p>
      <w:pPr>
        <w:pStyle w:val="739"/>
        <w:ind w:firstLine="480"/>
        <w:rPr>
          <w:rFonts w:eastAsiaTheme="minorEastAsia"/>
          <w:kern w:val="0"/>
        </w:rPr>
      </w:pPr>
      <w:r>
        <w:rPr>
          <w:rFonts w:hint="eastAsia"/>
          <w:kern w:val="0"/>
        </w:rPr>
        <w:t>经预测，计算浓度最大值为9.50</w:t>
      </w:r>
      <w:r>
        <w:rPr>
          <w:kern w:val="0"/>
        </w:rPr>
        <w:t>mg/m</w:t>
      </w:r>
      <w:r>
        <w:rPr>
          <w:kern w:val="0"/>
          <w:vertAlign w:val="superscript"/>
        </w:rPr>
        <w:t>3</w:t>
      </w:r>
      <w:r>
        <w:rPr>
          <w:rFonts w:hint="eastAsia"/>
          <w:kern w:val="0"/>
        </w:rPr>
        <w:t>，最远距离为71</w:t>
      </w:r>
      <w:r>
        <w:rPr>
          <w:kern w:val="0"/>
        </w:rPr>
        <w:t>0m</w:t>
      </w:r>
      <w:r>
        <w:rPr>
          <w:rFonts w:hint="eastAsia"/>
          <w:kern w:val="0"/>
        </w:rPr>
        <w:t>，最大影响区域图如下图</w:t>
      </w:r>
      <w:r>
        <w:rPr>
          <w:kern w:val="0"/>
        </w:rPr>
        <w:t>8.6</w:t>
      </w:r>
      <w:r>
        <w:rPr>
          <w:rFonts w:hint="eastAsia" w:cs="Times New Roman"/>
          <w:szCs w:val="24"/>
        </w:rPr>
        <w:t>—3</w:t>
      </w:r>
      <w:r>
        <w:rPr>
          <w:rFonts w:hint="eastAsia"/>
          <w:kern w:val="0"/>
        </w:rPr>
        <w:t>所示。</w:t>
      </w:r>
    </w:p>
    <w:p>
      <w:pPr>
        <w:widowControl/>
        <w:adjustRightInd w:val="0"/>
        <w:snapToGrid w:val="0"/>
        <w:ind w:firstLine="480"/>
        <w:jc w:val="center"/>
        <w:rPr>
          <w:rFonts w:eastAsiaTheme="minorEastAsia"/>
          <w:kern w:val="0"/>
          <w:szCs w:val="24"/>
        </w:rPr>
      </w:pPr>
    </w:p>
    <w:p>
      <w:pPr>
        <w:widowControl/>
        <w:adjustRightInd w:val="0"/>
        <w:snapToGrid w:val="0"/>
        <w:ind w:firstLine="480"/>
        <w:jc w:val="center"/>
        <w:rPr>
          <w:rFonts w:eastAsiaTheme="minorEastAsia"/>
          <w:kern w:val="0"/>
          <w:szCs w:val="24"/>
        </w:rPr>
      </w:pPr>
    </w:p>
    <w:p>
      <w:pPr>
        <w:widowControl/>
        <w:adjustRightInd w:val="0"/>
        <w:snapToGrid w:val="0"/>
        <w:ind w:firstLine="480"/>
        <w:jc w:val="center"/>
        <w:rPr>
          <w:rFonts w:eastAsiaTheme="minorEastAsia"/>
          <w:kern w:val="0"/>
          <w:szCs w:val="24"/>
        </w:rPr>
      </w:pPr>
      <w:r>
        <w:rPr>
          <w:rFonts w:hint="eastAsia"/>
          <w:szCs w:val="24"/>
        </w:rPr>
        <w:t>图</w:t>
      </w:r>
      <w:r>
        <w:rPr>
          <w:szCs w:val="24"/>
        </w:rPr>
        <w:t>8.6</w:t>
      </w:r>
      <w:r>
        <w:rPr>
          <w:rFonts w:hint="eastAsia"/>
          <w:szCs w:val="24"/>
        </w:rPr>
        <w:t>—3    最不利气象条件下一氧化碳最大影响区域图</w:t>
      </w:r>
    </w:p>
    <w:p>
      <w:pPr>
        <w:widowControl/>
        <w:adjustRightInd w:val="0"/>
        <w:snapToGrid w:val="0"/>
        <w:ind w:firstLine="480"/>
        <w:jc w:val="center"/>
        <w:rPr>
          <w:rFonts w:eastAsiaTheme="minorEastAsia"/>
          <w:kern w:val="0"/>
          <w:szCs w:val="24"/>
        </w:rPr>
      </w:pPr>
    </w:p>
    <w:p>
      <w:pPr>
        <w:widowControl/>
        <w:adjustRightInd w:val="0"/>
        <w:snapToGrid w:val="0"/>
        <w:ind w:firstLine="480"/>
        <w:jc w:val="center"/>
        <w:rPr>
          <w:rFonts w:eastAsiaTheme="minorEastAsia"/>
          <w:kern w:val="0"/>
          <w:szCs w:val="24"/>
        </w:rPr>
      </w:pPr>
    </w:p>
    <w:p>
      <w:pPr>
        <w:widowControl/>
        <w:adjustRightInd w:val="0"/>
        <w:snapToGrid w:val="0"/>
        <w:ind w:firstLine="480"/>
        <w:jc w:val="center"/>
        <w:rPr>
          <w:rFonts w:eastAsiaTheme="minorEastAsia"/>
          <w:kern w:val="0"/>
          <w:szCs w:val="24"/>
        </w:rPr>
      </w:pPr>
    </w:p>
    <w:p>
      <w:pPr>
        <w:pStyle w:val="739"/>
        <w:ind w:firstLine="480"/>
        <w:rPr>
          <w:kern w:val="0"/>
        </w:rPr>
      </w:pPr>
      <w:bookmarkStart w:id="611" w:name="_Toc5286438"/>
      <w:bookmarkStart w:id="612" w:name="_Toc9403176"/>
      <w:r>
        <w:rPr>
          <w:kern w:val="0"/>
        </w:rPr>
        <w:fldChar w:fldCharType="begin"/>
      </w:r>
      <w:r>
        <w:rPr>
          <w:rFonts w:hint="eastAsia"/>
          <w:kern w:val="0"/>
        </w:rPr>
        <w:instrText xml:space="preserve">= 2 \* GB3</w:instrText>
      </w:r>
      <w:r>
        <w:rPr>
          <w:kern w:val="0"/>
        </w:rPr>
        <w:fldChar w:fldCharType="separate"/>
      </w:r>
      <w:r>
        <w:rPr>
          <w:rFonts w:hint="eastAsia"/>
          <w:kern w:val="0"/>
        </w:rPr>
        <w:t>②</w:t>
      </w:r>
      <w:r>
        <w:rPr>
          <w:kern w:val="0"/>
        </w:rPr>
        <w:fldChar w:fldCharType="end"/>
      </w:r>
      <w:r>
        <w:rPr>
          <w:rFonts w:hint="eastAsia"/>
          <w:kern w:val="0"/>
        </w:rPr>
        <w:t>二氧化硫</w:t>
      </w:r>
      <w:bookmarkEnd w:id="611"/>
      <w:bookmarkEnd w:id="612"/>
    </w:p>
    <w:p>
      <w:pPr>
        <w:pStyle w:val="739"/>
        <w:ind w:firstLine="480"/>
        <w:rPr>
          <w:kern w:val="0"/>
        </w:rPr>
      </w:pPr>
      <w:r>
        <w:rPr>
          <w:kern w:val="0"/>
        </w:rPr>
        <w:fldChar w:fldCharType="begin"/>
      </w:r>
      <w:r>
        <w:rPr>
          <w:kern w:val="0"/>
        </w:rPr>
        <w:instrText xml:space="preserve">= 1 \* roman</w:instrText>
      </w:r>
      <w:r>
        <w:rPr>
          <w:kern w:val="0"/>
        </w:rPr>
        <w:fldChar w:fldCharType="separate"/>
      </w:r>
      <w:r>
        <w:rPr>
          <w:kern w:val="0"/>
        </w:rPr>
        <w:t>i</w:t>
      </w:r>
      <w:r>
        <w:rPr>
          <w:kern w:val="0"/>
        </w:rPr>
        <w:fldChar w:fldCharType="end"/>
      </w:r>
      <w:r>
        <w:rPr>
          <w:kern w:val="0"/>
        </w:rPr>
        <w:t>.</w:t>
      </w:r>
      <w:r>
        <w:rPr>
          <w:rFonts w:hint="eastAsia"/>
          <w:kern w:val="0"/>
        </w:rPr>
        <w:t>下风向有毒有害物质最大浓度及影响范围</w:t>
      </w:r>
    </w:p>
    <w:p>
      <w:pPr>
        <w:pStyle w:val="739"/>
        <w:ind w:firstLine="480"/>
        <w:rPr>
          <w:kern w:val="0"/>
        </w:rPr>
      </w:pPr>
      <w:r>
        <w:rPr>
          <w:rFonts w:hint="eastAsia"/>
          <w:kern w:val="0"/>
        </w:rPr>
        <w:t>最大影响区域图如下图</w:t>
      </w:r>
      <w:r>
        <w:rPr>
          <w:kern w:val="0"/>
        </w:rPr>
        <w:t>8.6</w:t>
      </w:r>
      <w:r>
        <w:rPr>
          <w:rFonts w:hint="eastAsia"/>
          <w:kern w:val="0"/>
          <w:szCs w:val="24"/>
        </w:rPr>
        <w:t>—4，网格点预测期间最大浓度分布如下图</w:t>
      </w:r>
      <w:r>
        <w:rPr>
          <w:kern w:val="0"/>
          <w:szCs w:val="24"/>
        </w:rPr>
        <w:t>8.6</w:t>
      </w:r>
      <w:r>
        <w:rPr>
          <w:rFonts w:hint="eastAsia"/>
          <w:kern w:val="0"/>
          <w:szCs w:val="24"/>
        </w:rPr>
        <w:t>—5所示</w:t>
      </w:r>
      <w:r>
        <w:rPr>
          <w:rFonts w:hint="eastAsia"/>
          <w:kern w:val="0"/>
        </w:rPr>
        <w:t>。</w:t>
      </w:r>
    </w:p>
    <w:p>
      <w:pPr>
        <w:widowControl/>
        <w:adjustRightInd w:val="0"/>
        <w:snapToGrid w:val="0"/>
        <w:ind w:firstLine="480"/>
        <w:jc w:val="center"/>
        <w:rPr>
          <w:rFonts w:asciiTheme="minorHAnsi" w:hAnsiTheme="minorHAnsi"/>
          <w:sz w:val="21"/>
        </w:rPr>
      </w:pPr>
    </w:p>
    <w:p>
      <w:pPr>
        <w:snapToGrid w:val="0"/>
        <w:ind w:firstLine="424" w:firstLineChars="177"/>
        <w:jc w:val="center"/>
        <w:rPr>
          <w:szCs w:val="24"/>
        </w:rPr>
      </w:pPr>
      <w:r>
        <w:rPr>
          <w:rFonts w:hint="eastAsia"/>
          <w:szCs w:val="24"/>
        </w:rPr>
        <w:t>图</w:t>
      </w:r>
      <w:r>
        <w:rPr>
          <w:szCs w:val="24"/>
        </w:rPr>
        <w:t>8.6</w:t>
      </w:r>
      <w:r>
        <w:rPr>
          <w:rFonts w:hint="eastAsia"/>
          <w:kern w:val="0"/>
          <w:szCs w:val="24"/>
        </w:rPr>
        <w:t>—4</w:t>
      </w:r>
      <w:r>
        <w:rPr>
          <w:rFonts w:hint="eastAsia"/>
          <w:szCs w:val="24"/>
        </w:rPr>
        <w:t>最不利气象条件下二氧化硫最大影响区域图</w:t>
      </w:r>
    </w:p>
    <w:p>
      <w:pPr>
        <w:adjustRightInd w:val="0"/>
        <w:snapToGrid w:val="0"/>
        <w:ind w:firstLine="480"/>
        <w:jc w:val="center"/>
        <w:rPr>
          <w:szCs w:val="24"/>
        </w:rPr>
      </w:pPr>
    </w:p>
    <w:p>
      <w:pPr>
        <w:snapToGrid w:val="0"/>
        <w:ind w:firstLine="424" w:firstLineChars="177"/>
        <w:jc w:val="center"/>
        <w:rPr>
          <w:szCs w:val="24"/>
        </w:rPr>
      </w:pPr>
      <w:r>
        <w:rPr>
          <w:rFonts w:hint="eastAsia"/>
          <w:szCs w:val="24"/>
        </w:rPr>
        <w:t>图</w:t>
      </w:r>
      <w:r>
        <w:rPr>
          <w:szCs w:val="24"/>
        </w:rPr>
        <w:t>8.6</w:t>
      </w:r>
      <w:r>
        <w:rPr>
          <w:rFonts w:hint="eastAsia"/>
          <w:kern w:val="0"/>
          <w:szCs w:val="24"/>
        </w:rPr>
        <w:t>—5</w:t>
      </w:r>
      <w:r>
        <w:rPr>
          <w:rFonts w:hint="eastAsia"/>
          <w:szCs w:val="24"/>
        </w:rPr>
        <w:t>网格点预测期间最大浓度分布图</w:t>
      </w:r>
    </w:p>
    <w:p>
      <w:pPr>
        <w:adjustRightInd w:val="0"/>
        <w:snapToGrid w:val="0"/>
        <w:ind w:firstLine="480"/>
        <w:rPr>
          <w:szCs w:val="24"/>
        </w:rPr>
      </w:pPr>
      <w:r>
        <w:rPr>
          <w:szCs w:val="24"/>
        </w:rPr>
        <w:fldChar w:fldCharType="begin"/>
      </w:r>
      <w:r>
        <w:rPr>
          <w:szCs w:val="24"/>
        </w:rPr>
        <w:instrText xml:space="preserve">= 2 \* roman</w:instrText>
      </w:r>
      <w:r>
        <w:rPr>
          <w:szCs w:val="24"/>
        </w:rPr>
        <w:fldChar w:fldCharType="separate"/>
      </w:r>
      <w:r>
        <w:rPr>
          <w:szCs w:val="24"/>
        </w:rPr>
        <w:t>ii</w:t>
      </w:r>
      <w:r>
        <w:rPr>
          <w:szCs w:val="24"/>
        </w:rPr>
        <w:fldChar w:fldCharType="end"/>
      </w:r>
      <w:r>
        <w:rPr>
          <w:szCs w:val="24"/>
        </w:rPr>
        <w:t>.</w:t>
      </w:r>
      <w:r>
        <w:rPr>
          <w:rFonts w:hint="eastAsia"/>
          <w:szCs w:val="24"/>
        </w:rPr>
        <w:t>关心点有毒有害物质浓度随时间变化情况</w:t>
      </w:r>
    </w:p>
    <w:p>
      <w:pPr>
        <w:widowControl/>
        <w:adjustRightInd w:val="0"/>
        <w:snapToGrid w:val="0"/>
        <w:ind w:firstLine="480"/>
        <w:rPr>
          <w:kern w:val="0"/>
          <w:szCs w:val="24"/>
        </w:rPr>
      </w:pPr>
      <w:r>
        <w:rPr>
          <w:rFonts w:hint="eastAsia"/>
          <w:szCs w:val="24"/>
        </w:rPr>
        <w:t>由表</w:t>
      </w:r>
      <w:r>
        <w:rPr>
          <w:szCs w:val="24"/>
        </w:rPr>
        <w:t>8.6</w:t>
      </w:r>
      <w:r>
        <w:rPr>
          <w:rFonts w:hint="eastAsia"/>
          <w:szCs w:val="24"/>
        </w:rPr>
        <w:t>—4可以看出，</w:t>
      </w:r>
      <w:r>
        <w:rPr>
          <w:rFonts w:hint="eastAsia"/>
          <w:kern w:val="0"/>
          <w:szCs w:val="24"/>
        </w:rPr>
        <w:t>柴油储罐发生泄漏后并发生火灾后，二氧化硫在最不利气象条件下</w:t>
      </w:r>
      <w:r>
        <w:rPr>
          <w:kern w:val="0"/>
          <w:szCs w:val="24"/>
        </w:rPr>
        <w:t>(</w:t>
      </w:r>
      <w:r>
        <w:rPr>
          <w:rFonts w:hint="eastAsia"/>
          <w:kern w:val="0"/>
          <w:szCs w:val="24"/>
        </w:rPr>
        <w:t>风速</w:t>
      </w:r>
      <w:r>
        <w:rPr>
          <w:kern w:val="0"/>
          <w:szCs w:val="24"/>
        </w:rPr>
        <w:t>1.5m/s</w:t>
      </w:r>
      <w:r>
        <w:rPr>
          <w:rFonts w:hint="eastAsia"/>
          <w:kern w:val="0"/>
          <w:szCs w:val="24"/>
        </w:rPr>
        <w:t>，稳定度</w:t>
      </w:r>
      <w:r>
        <w:rPr>
          <w:kern w:val="0"/>
          <w:szCs w:val="24"/>
        </w:rPr>
        <w:t>F)</w:t>
      </w:r>
      <w:r>
        <w:rPr>
          <w:rFonts w:hint="eastAsia"/>
          <w:kern w:val="0"/>
          <w:szCs w:val="24"/>
        </w:rPr>
        <w:t>扩散过程中，</w:t>
      </w:r>
      <w:r>
        <w:rPr>
          <w:rFonts w:hint="eastAsia"/>
          <w:szCs w:val="24"/>
        </w:rPr>
        <w:t>到达本项目办公生活区最</w:t>
      </w:r>
      <w:r>
        <w:rPr>
          <w:rFonts w:hint="eastAsia"/>
          <w:kern w:val="0"/>
          <w:szCs w:val="24"/>
        </w:rPr>
        <w:t>大浓度为0</w:t>
      </w:r>
      <w:r>
        <w:rPr>
          <w:kern w:val="0"/>
          <w:szCs w:val="24"/>
        </w:rPr>
        <w:t>mg/m</w:t>
      </w:r>
      <w:r>
        <w:rPr>
          <w:kern w:val="0"/>
          <w:szCs w:val="24"/>
          <w:vertAlign w:val="superscript"/>
        </w:rPr>
        <w:t>3</w:t>
      </w:r>
    </w:p>
    <w:p>
      <w:pPr>
        <w:pStyle w:val="739"/>
        <w:ind w:firstLine="480"/>
      </w:pPr>
      <w:r>
        <w:rPr>
          <w:rFonts w:hint="eastAsia"/>
        </w:rPr>
        <w:t>表</w:t>
      </w:r>
      <w:r>
        <w:t>8.6</w:t>
      </w:r>
      <w:r>
        <w:rPr>
          <w:rFonts w:hint="eastAsia"/>
        </w:rPr>
        <w:t>—4最不利气象条件下二氧化硫浓度随时间变化一览表</w:t>
      </w:r>
    </w:p>
    <w:tbl>
      <w:tblPr>
        <w:tblStyle w:val="88"/>
        <w:tblW w:w="9375" w:type="dxa"/>
        <w:jc w:val="center"/>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Layout w:type="fixed"/>
        <w:tblCellMar>
          <w:top w:w="0" w:type="dxa"/>
          <w:left w:w="0" w:type="dxa"/>
          <w:bottom w:w="0" w:type="dxa"/>
          <w:right w:w="0" w:type="dxa"/>
        </w:tblCellMar>
      </w:tblPr>
      <w:tblGrid>
        <w:gridCol w:w="1433"/>
        <w:gridCol w:w="1626"/>
        <w:gridCol w:w="1040"/>
        <w:gridCol w:w="1040"/>
        <w:gridCol w:w="1040"/>
        <w:gridCol w:w="1157"/>
        <w:gridCol w:w="999"/>
        <w:gridCol w:w="1040"/>
      </w:tblGrid>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0" w:type="dxa"/>
            <w:bottom w:w="0" w:type="dxa"/>
            <w:right w:w="0" w:type="dxa"/>
          </w:tblCellMar>
        </w:tblPrEx>
        <w:trPr>
          <w:jc w:val="center"/>
        </w:trPr>
        <w:tc>
          <w:tcPr>
            <w:tcW w:w="1433" w:type="dxa"/>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名称</w:t>
            </w:r>
          </w:p>
        </w:tc>
        <w:tc>
          <w:tcPr>
            <w:tcW w:w="1626"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最大浓度</w:t>
            </w:r>
            <w:r>
              <w:rPr>
                <w:kern w:val="0"/>
                <w:sz w:val="21"/>
              </w:rPr>
              <w:t>/</w:t>
            </w:r>
            <w:r>
              <w:rPr>
                <w:rFonts w:hint="eastAsia"/>
                <w:kern w:val="0"/>
                <w:sz w:val="21"/>
              </w:rPr>
              <w:t>时间</w:t>
            </w:r>
          </w:p>
        </w:tc>
        <w:tc>
          <w:tcPr>
            <w:tcW w:w="1040"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5min</w:t>
            </w:r>
          </w:p>
        </w:tc>
        <w:tc>
          <w:tcPr>
            <w:tcW w:w="1040"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10min</w:t>
            </w:r>
          </w:p>
        </w:tc>
        <w:tc>
          <w:tcPr>
            <w:tcW w:w="1040"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15min</w:t>
            </w:r>
          </w:p>
        </w:tc>
        <w:tc>
          <w:tcPr>
            <w:tcW w:w="1157"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20min</w:t>
            </w:r>
          </w:p>
        </w:tc>
        <w:tc>
          <w:tcPr>
            <w:tcW w:w="999"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25min</w:t>
            </w:r>
          </w:p>
        </w:tc>
        <w:tc>
          <w:tcPr>
            <w:tcW w:w="1040" w:type="dxa"/>
            <w:tcBorders>
              <w:top w:val="single" w:color="auto" w:sz="12" w:space="0"/>
              <w:left w:val="dotted" w:color="auto" w:sz="4" w:space="0"/>
              <w:bottom w:val="single" w:color="auto" w:sz="12" w:space="0"/>
              <w:right w:val="nil"/>
            </w:tcBorders>
            <w:vAlign w:val="center"/>
          </w:tcPr>
          <w:p>
            <w:pPr>
              <w:widowControl/>
              <w:adjustRightInd w:val="0"/>
              <w:snapToGrid w:val="0"/>
              <w:spacing w:line="240" w:lineRule="atLeast"/>
              <w:ind w:firstLine="0" w:firstLineChars="0"/>
              <w:jc w:val="center"/>
              <w:rPr>
                <w:rFonts w:eastAsiaTheme="minorEastAsia"/>
                <w:kern w:val="0"/>
                <w:sz w:val="21"/>
              </w:rPr>
            </w:pPr>
            <w:r>
              <w:rPr>
                <w:kern w:val="0"/>
                <w:sz w:val="21"/>
              </w:rPr>
              <w:t>30min</w:t>
            </w:r>
          </w:p>
        </w:tc>
      </w:tr>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0" w:type="dxa"/>
            <w:bottom w:w="0" w:type="dxa"/>
            <w:right w:w="0" w:type="dxa"/>
          </w:tblCellMar>
        </w:tblPrEx>
        <w:trPr>
          <w:jc w:val="center"/>
        </w:trPr>
        <w:tc>
          <w:tcPr>
            <w:tcW w:w="1433" w:type="dxa"/>
            <w:tcBorders>
              <w:top w:val="single" w:color="auto" w:sz="12" w:space="0"/>
              <w:left w:val="nil"/>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本项目</w:t>
            </w:r>
          </w:p>
          <w:p>
            <w:pPr>
              <w:widowControl/>
              <w:adjustRightInd w:val="0"/>
              <w:snapToGrid w:val="0"/>
              <w:spacing w:line="240" w:lineRule="atLeast"/>
              <w:ind w:firstLine="0" w:firstLineChars="0"/>
              <w:jc w:val="center"/>
              <w:rPr>
                <w:rFonts w:eastAsiaTheme="minorEastAsia"/>
                <w:kern w:val="0"/>
                <w:sz w:val="21"/>
              </w:rPr>
            </w:pPr>
            <w:r>
              <w:rPr>
                <w:rFonts w:hint="eastAsia"/>
                <w:kern w:val="0"/>
                <w:sz w:val="21"/>
              </w:rPr>
              <w:t>办公生活区</w:t>
            </w:r>
          </w:p>
        </w:tc>
        <w:tc>
          <w:tcPr>
            <w:tcW w:w="1626" w:type="dxa"/>
            <w:tcBorders>
              <w:top w:val="single" w:color="auto" w:sz="12" w:space="0"/>
              <w:left w:val="dotted" w:color="auto" w:sz="4" w:space="0"/>
              <w:bottom w:val="single" w:color="auto" w:sz="12" w:space="0"/>
              <w:right w:val="dotted" w:color="auto" w:sz="4" w:space="0"/>
            </w:tcBorders>
            <w:vAlign w:val="center"/>
          </w:tcPr>
          <w:p>
            <w:pPr>
              <w:widowControl/>
              <w:adjustRightInd w:val="0"/>
              <w:snapToGrid w:val="0"/>
              <w:spacing w:line="240" w:lineRule="atLeast"/>
              <w:ind w:firstLine="0" w:firstLineChars="0"/>
              <w:jc w:val="center"/>
              <w:rPr>
                <w:rFonts w:eastAsiaTheme="minorEastAsia"/>
                <w:kern w:val="0"/>
                <w:sz w:val="21"/>
              </w:rPr>
            </w:pPr>
            <w:r>
              <w:rPr>
                <w:rFonts w:hint="eastAsia"/>
                <w:sz w:val="21"/>
              </w:rPr>
              <w:t>0.00</w:t>
            </w:r>
            <w:r>
              <w:rPr>
                <w:sz w:val="21"/>
              </w:rPr>
              <w:t>E</w:t>
            </w:r>
            <w:r>
              <w:rPr>
                <w:rFonts w:hint="eastAsia"/>
                <w:sz w:val="21"/>
              </w:rPr>
              <w:t>+</w:t>
            </w:r>
            <w:r>
              <w:rPr>
                <w:sz w:val="21"/>
              </w:rPr>
              <w:t>0</w:t>
            </w:r>
            <w:r>
              <w:rPr>
                <w:rFonts w:hint="eastAsia"/>
                <w:sz w:val="21"/>
              </w:rPr>
              <w:t>0</w:t>
            </w:r>
          </w:p>
        </w:tc>
        <w:tc>
          <w:tcPr>
            <w:tcW w:w="1040"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rFonts w:eastAsiaTheme="minorEastAsia"/>
                <w:sz w:val="21"/>
              </w:rPr>
            </w:pPr>
            <w:r>
              <w:rPr>
                <w:rFonts w:hint="eastAsia"/>
                <w:sz w:val="21"/>
              </w:rPr>
              <w:t>0.00</w:t>
            </w:r>
            <w:r>
              <w:rPr>
                <w:sz w:val="21"/>
              </w:rPr>
              <w:t>E</w:t>
            </w:r>
            <w:r>
              <w:rPr>
                <w:rFonts w:hint="eastAsia"/>
                <w:sz w:val="21"/>
              </w:rPr>
              <w:t>+</w:t>
            </w:r>
            <w:r>
              <w:rPr>
                <w:sz w:val="21"/>
              </w:rPr>
              <w:t>0</w:t>
            </w:r>
            <w:r>
              <w:rPr>
                <w:rFonts w:hint="eastAsia"/>
                <w:sz w:val="21"/>
              </w:rPr>
              <w:t>0</w:t>
            </w:r>
          </w:p>
        </w:tc>
        <w:tc>
          <w:tcPr>
            <w:tcW w:w="1040" w:type="dxa"/>
            <w:tcBorders>
              <w:top w:val="single" w:color="auto" w:sz="12" w:space="0"/>
              <w:left w:val="dotted" w:color="auto" w:sz="4" w:space="0"/>
              <w:bottom w:val="single" w:color="auto" w:sz="12" w:space="0"/>
              <w:right w:val="dotted" w:color="auto" w:sz="4" w:space="0"/>
            </w:tcBorders>
            <w:vAlign w:val="center"/>
          </w:tcPr>
          <w:p>
            <w:pPr>
              <w:ind w:firstLine="0" w:firstLineChars="0"/>
              <w:jc w:val="center"/>
            </w:pPr>
            <w:r>
              <w:rPr>
                <w:rFonts w:hint="eastAsia"/>
                <w:sz w:val="21"/>
              </w:rPr>
              <w:t>0.00</w:t>
            </w:r>
            <w:r>
              <w:rPr>
                <w:sz w:val="21"/>
              </w:rPr>
              <w:t>E</w:t>
            </w:r>
            <w:r>
              <w:rPr>
                <w:rFonts w:hint="eastAsia"/>
                <w:sz w:val="21"/>
              </w:rPr>
              <w:t>+</w:t>
            </w:r>
            <w:r>
              <w:rPr>
                <w:sz w:val="21"/>
              </w:rPr>
              <w:t>0</w:t>
            </w:r>
            <w:r>
              <w:rPr>
                <w:rFonts w:hint="eastAsia"/>
                <w:sz w:val="21"/>
              </w:rPr>
              <w:t>0</w:t>
            </w:r>
          </w:p>
        </w:tc>
        <w:tc>
          <w:tcPr>
            <w:tcW w:w="1040" w:type="dxa"/>
            <w:tcBorders>
              <w:top w:val="single" w:color="auto" w:sz="12" w:space="0"/>
              <w:left w:val="dotted" w:color="auto" w:sz="4" w:space="0"/>
              <w:bottom w:val="single" w:color="auto" w:sz="12" w:space="0"/>
              <w:right w:val="dotted" w:color="auto" w:sz="4" w:space="0"/>
            </w:tcBorders>
            <w:vAlign w:val="center"/>
          </w:tcPr>
          <w:p>
            <w:pPr>
              <w:ind w:firstLine="0" w:firstLineChars="0"/>
              <w:jc w:val="center"/>
            </w:pPr>
            <w:r>
              <w:rPr>
                <w:rFonts w:hint="eastAsia"/>
                <w:sz w:val="21"/>
              </w:rPr>
              <w:t>0.00</w:t>
            </w:r>
            <w:r>
              <w:rPr>
                <w:sz w:val="21"/>
              </w:rPr>
              <w:t>E</w:t>
            </w:r>
            <w:r>
              <w:rPr>
                <w:rFonts w:hint="eastAsia"/>
                <w:sz w:val="21"/>
              </w:rPr>
              <w:t>+</w:t>
            </w:r>
            <w:r>
              <w:rPr>
                <w:sz w:val="21"/>
              </w:rPr>
              <w:t>0</w:t>
            </w:r>
            <w:r>
              <w:rPr>
                <w:rFonts w:hint="eastAsia"/>
                <w:sz w:val="21"/>
              </w:rPr>
              <w:t>0</w:t>
            </w:r>
          </w:p>
        </w:tc>
        <w:tc>
          <w:tcPr>
            <w:tcW w:w="1157" w:type="dxa"/>
            <w:tcBorders>
              <w:top w:val="single" w:color="auto" w:sz="12" w:space="0"/>
              <w:left w:val="dotted" w:color="auto" w:sz="4" w:space="0"/>
              <w:bottom w:val="single" w:color="auto" w:sz="12" w:space="0"/>
              <w:right w:val="dotted" w:color="auto" w:sz="4" w:space="0"/>
            </w:tcBorders>
            <w:vAlign w:val="center"/>
          </w:tcPr>
          <w:p>
            <w:pPr>
              <w:ind w:firstLine="0" w:firstLineChars="0"/>
              <w:jc w:val="center"/>
            </w:pPr>
            <w:r>
              <w:rPr>
                <w:rFonts w:hint="eastAsia"/>
                <w:sz w:val="21"/>
              </w:rPr>
              <w:t>0.00</w:t>
            </w:r>
            <w:r>
              <w:rPr>
                <w:sz w:val="21"/>
              </w:rPr>
              <w:t>E</w:t>
            </w:r>
            <w:r>
              <w:rPr>
                <w:rFonts w:hint="eastAsia"/>
                <w:sz w:val="21"/>
              </w:rPr>
              <w:t>+</w:t>
            </w:r>
            <w:r>
              <w:rPr>
                <w:sz w:val="21"/>
              </w:rPr>
              <w:t>0</w:t>
            </w:r>
            <w:r>
              <w:rPr>
                <w:rFonts w:hint="eastAsia"/>
                <w:sz w:val="21"/>
              </w:rPr>
              <w:t>0</w:t>
            </w:r>
          </w:p>
        </w:tc>
        <w:tc>
          <w:tcPr>
            <w:tcW w:w="999" w:type="dxa"/>
            <w:tcBorders>
              <w:top w:val="single" w:color="auto" w:sz="12" w:space="0"/>
              <w:left w:val="dotted" w:color="auto" w:sz="4" w:space="0"/>
              <w:bottom w:val="single" w:color="auto" w:sz="12" w:space="0"/>
              <w:right w:val="dotted" w:color="auto" w:sz="4" w:space="0"/>
            </w:tcBorders>
            <w:vAlign w:val="center"/>
          </w:tcPr>
          <w:p>
            <w:pPr>
              <w:ind w:firstLine="0" w:firstLineChars="0"/>
              <w:jc w:val="center"/>
            </w:pPr>
            <w:r>
              <w:rPr>
                <w:rFonts w:hint="eastAsia"/>
                <w:sz w:val="21"/>
              </w:rPr>
              <w:t>0.00</w:t>
            </w:r>
            <w:r>
              <w:rPr>
                <w:sz w:val="21"/>
              </w:rPr>
              <w:t>E</w:t>
            </w:r>
            <w:r>
              <w:rPr>
                <w:rFonts w:hint="eastAsia"/>
                <w:sz w:val="21"/>
              </w:rPr>
              <w:t>+</w:t>
            </w:r>
            <w:r>
              <w:rPr>
                <w:sz w:val="21"/>
              </w:rPr>
              <w:t>0</w:t>
            </w:r>
            <w:r>
              <w:rPr>
                <w:rFonts w:hint="eastAsia"/>
                <w:sz w:val="21"/>
              </w:rPr>
              <w:t>0</w:t>
            </w:r>
          </w:p>
        </w:tc>
        <w:tc>
          <w:tcPr>
            <w:tcW w:w="1040" w:type="dxa"/>
            <w:tcBorders>
              <w:top w:val="single" w:color="auto" w:sz="12" w:space="0"/>
              <w:left w:val="dotted" w:color="auto" w:sz="4" w:space="0"/>
              <w:bottom w:val="single" w:color="auto" w:sz="12" w:space="0"/>
              <w:right w:val="nil"/>
            </w:tcBorders>
            <w:vAlign w:val="center"/>
          </w:tcPr>
          <w:p>
            <w:pPr>
              <w:ind w:firstLine="0" w:firstLineChars="0"/>
              <w:jc w:val="center"/>
            </w:pPr>
            <w:r>
              <w:rPr>
                <w:rFonts w:hint="eastAsia"/>
                <w:sz w:val="21"/>
              </w:rPr>
              <w:t>0.00</w:t>
            </w:r>
            <w:r>
              <w:rPr>
                <w:sz w:val="21"/>
              </w:rPr>
              <w:t>E</w:t>
            </w:r>
            <w:r>
              <w:rPr>
                <w:rFonts w:hint="eastAsia"/>
                <w:sz w:val="21"/>
              </w:rPr>
              <w:t>+</w:t>
            </w:r>
            <w:r>
              <w:rPr>
                <w:sz w:val="21"/>
              </w:rPr>
              <w:t>0</w:t>
            </w:r>
            <w:r>
              <w:rPr>
                <w:rFonts w:hint="eastAsia"/>
                <w:sz w:val="21"/>
              </w:rPr>
              <w:t>0</w:t>
            </w:r>
          </w:p>
        </w:tc>
      </w:tr>
    </w:tbl>
    <w:p>
      <w:pPr>
        <w:tabs>
          <w:tab w:val="left" w:pos="1230"/>
        </w:tabs>
        <w:adjustRightInd w:val="0"/>
        <w:snapToGrid w:val="0"/>
        <w:ind w:firstLine="480"/>
        <w:jc w:val="left"/>
        <w:rPr>
          <w:szCs w:val="24"/>
        </w:rPr>
      </w:pPr>
    </w:p>
    <w:p>
      <w:pPr>
        <w:tabs>
          <w:tab w:val="left" w:pos="1230"/>
        </w:tabs>
        <w:adjustRightInd w:val="0"/>
        <w:snapToGrid w:val="0"/>
        <w:ind w:firstLine="480"/>
        <w:jc w:val="left"/>
        <w:outlineLvl w:val="0"/>
        <w:rPr>
          <w:szCs w:val="24"/>
        </w:rPr>
      </w:pPr>
      <w:r>
        <w:rPr>
          <w:szCs w:val="24"/>
        </w:rPr>
        <w:fldChar w:fldCharType="begin"/>
      </w:r>
      <w:r>
        <w:rPr>
          <w:rFonts w:hint="eastAsia"/>
          <w:szCs w:val="24"/>
        </w:rPr>
        <w:instrText xml:space="preserve">= 6 \* GB2</w:instrText>
      </w:r>
      <w:r>
        <w:rPr>
          <w:szCs w:val="24"/>
        </w:rPr>
        <w:fldChar w:fldCharType="separate"/>
      </w:r>
      <w:r>
        <w:rPr>
          <w:rFonts w:hint="eastAsia"/>
          <w:szCs w:val="24"/>
        </w:rPr>
        <w:t>⑹</w:t>
      </w:r>
      <w:r>
        <w:rPr>
          <w:szCs w:val="24"/>
        </w:rPr>
        <w:fldChar w:fldCharType="end"/>
      </w:r>
      <w:r>
        <w:rPr>
          <w:rFonts w:hint="eastAsia"/>
          <w:szCs w:val="24"/>
        </w:rPr>
        <w:t>水环境预测</w:t>
      </w:r>
    </w:p>
    <w:p>
      <w:pPr>
        <w:adjustRightInd w:val="0"/>
        <w:snapToGrid w:val="0"/>
        <w:ind w:firstLine="424" w:firstLineChars="177"/>
        <w:rPr>
          <w:szCs w:val="24"/>
        </w:rPr>
      </w:pPr>
      <w:r>
        <w:rPr>
          <w:rFonts w:hint="eastAsia"/>
          <w:szCs w:val="24"/>
        </w:rPr>
        <w:t>项目运行过程中产生的废水经污水处理站处理后全部回用，不外排，因此不再对地表水环境进行预测与评价。</w:t>
      </w:r>
    </w:p>
    <w:p>
      <w:pPr>
        <w:adjustRightInd w:val="0"/>
        <w:snapToGrid w:val="0"/>
        <w:ind w:firstLine="424" w:firstLineChars="177"/>
        <w:rPr>
          <w:szCs w:val="24"/>
        </w:rPr>
      </w:pPr>
      <w:r>
        <w:rPr>
          <w:rFonts w:hint="eastAsia"/>
          <w:szCs w:val="24"/>
        </w:rPr>
        <w:t>地下水环境风险预测，风险预测分析与评价要求参照</w:t>
      </w:r>
      <w:r>
        <w:rPr>
          <w:szCs w:val="24"/>
        </w:rPr>
        <w:t>HJ610</w:t>
      </w:r>
      <w:r>
        <w:rPr>
          <w:rFonts w:hint="eastAsia"/>
          <w:szCs w:val="24"/>
        </w:rPr>
        <w:t>执行，所以，具体地下水预测参见地下水章节6.2。</w:t>
      </w:r>
    </w:p>
    <w:p>
      <w:pPr>
        <w:adjustRightInd w:val="0"/>
        <w:snapToGrid w:val="0"/>
        <w:ind w:firstLine="424" w:firstLineChars="177"/>
        <w:outlineLvl w:val="0"/>
        <w:rPr>
          <w:szCs w:val="24"/>
        </w:rPr>
      </w:pPr>
      <w:r>
        <w:rPr>
          <w:szCs w:val="24"/>
        </w:rPr>
        <w:fldChar w:fldCharType="begin"/>
      </w:r>
      <w:r>
        <w:rPr>
          <w:rFonts w:hint="eastAsia"/>
          <w:szCs w:val="24"/>
        </w:rPr>
        <w:instrText xml:space="preserve">= 7 \* GB2</w:instrText>
      </w:r>
      <w:r>
        <w:rPr>
          <w:szCs w:val="24"/>
        </w:rPr>
        <w:fldChar w:fldCharType="separate"/>
      </w:r>
      <w:r>
        <w:rPr>
          <w:rFonts w:hint="eastAsia"/>
          <w:szCs w:val="24"/>
        </w:rPr>
        <w:t>⑺</w:t>
      </w:r>
      <w:r>
        <w:rPr>
          <w:szCs w:val="24"/>
        </w:rPr>
        <w:fldChar w:fldCharType="end"/>
      </w:r>
      <w:r>
        <w:rPr>
          <w:rFonts w:hint="eastAsia"/>
          <w:szCs w:val="24"/>
        </w:rPr>
        <w:t>泄漏事故对保护目标的影响分析</w:t>
      </w:r>
    </w:p>
    <w:p>
      <w:pPr>
        <w:pStyle w:val="3417"/>
        <w:adjustRightInd w:val="0"/>
        <w:snapToGrid w:val="0"/>
        <w:ind w:firstLine="480"/>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1 \* GB3</w:instrText>
      </w:r>
      <w:r>
        <w:rPr>
          <w:rFonts w:ascii="Times New Roman" w:hAnsi="Times New Roman" w:cs="Times New Roman"/>
          <w:color w:val="auto"/>
        </w:rPr>
        <w:fldChar w:fldCharType="separate"/>
      </w:r>
      <w:r>
        <w:rPr>
          <w:rFonts w:hint="eastAsia" w:ascii="Times New Roman" w:hAnsi="Times New Roman" w:cs="Times New Roman"/>
          <w:color w:val="auto"/>
        </w:rPr>
        <w:t>①</w:t>
      </w:r>
      <w:r>
        <w:rPr>
          <w:rFonts w:ascii="Times New Roman" w:hAnsi="Times New Roman" w:cs="Times New Roman"/>
          <w:color w:val="auto"/>
        </w:rPr>
        <w:fldChar w:fldCharType="end"/>
      </w:r>
      <w:r>
        <w:rPr>
          <w:rFonts w:hint="eastAsia" w:ascii="Times New Roman" w:hAnsi="Times New Roman" w:cs="Times New Roman"/>
          <w:color w:val="auto"/>
        </w:rPr>
        <w:t>泄漏事故对环境保护目标的影响</w:t>
      </w:r>
    </w:p>
    <w:p>
      <w:pPr>
        <w:pStyle w:val="739"/>
        <w:ind w:firstLine="480"/>
      </w:pPr>
      <w:r>
        <w:rPr>
          <w:rFonts w:hint="eastAsia"/>
        </w:rPr>
        <w:t>本项目泄漏事故对环境保护目标的影响见表</w:t>
      </w:r>
      <w:r>
        <w:t>8.6-11</w:t>
      </w:r>
      <w:r>
        <w:rPr>
          <w:rFonts w:hint="eastAsia"/>
        </w:rPr>
        <w:t>。由表可知，本项目储罐泄漏事故发生后的短时间接触容许浓度最远范围内均没有居民等厂外环境保护目标，需撤离的环境保护目标为本项目厂区内的职工。</w:t>
      </w:r>
    </w:p>
    <w:p>
      <w:pPr>
        <w:pStyle w:val="739"/>
        <w:ind w:firstLine="480"/>
        <w:rPr>
          <w:szCs w:val="24"/>
        </w:rPr>
      </w:pPr>
      <w:r>
        <w:rPr>
          <w:rFonts w:hint="eastAsia"/>
          <w:szCs w:val="24"/>
        </w:rPr>
        <w:t>表</w:t>
      </w:r>
      <w:r>
        <w:rPr>
          <w:szCs w:val="24"/>
        </w:rPr>
        <w:t>8.6</w:t>
      </w:r>
      <w:r>
        <w:rPr>
          <w:rFonts w:hint="eastAsia"/>
          <w:szCs w:val="24"/>
        </w:rPr>
        <w:t>—5泄漏事故对环境保护目标的影响</w:t>
      </w:r>
    </w:p>
    <w:tbl>
      <w:tblPr>
        <w:tblStyle w:val="88"/>
        <w:tblpPr w:leftFromText="180" w:rightFromText="180" w:vertAnchor="text" w:tblpXSpec="center" w:tblpY="1"/>
        <w:tblW w:w="9854" w:type="dxa"/>
        <w:tblInd w:w="0" w:type="dxa"/>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Layout w:type="fixed"/>
        <w:tblCellMar>
          <w:top w:w="0" w:type="dxa"/>
          <w:left w:w="108" w:type="dxa"/>
          <w:bottom w:w="0" w:type="dxa"/>
          <w:right w:w="108" w:type="dxa"/>
        </w:tblCellMar>
      </w:tblPr>
      <w:tblGrid>
        <w:gridCol w:w="1305"/>
        <w:gridCol w:w="2021"/>
        <w:gridCol w:w="2720"/>
        <w:gridCol w:w="2242"/>
        <w:gridCol w:w="1566"/>
      </w:tblGrid>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108" w:type="dxa"/>
            <w:bottom w:w="0" w:type="dxa"/>
            <w:right w:w="108" w:type="dxa"/>
          </w:tblCellMar>
        </w:tblPrEx>
        <w:trPr>
          <w:cantSplit/>
          <w:trHeight w:val="340" w:hRule="atLeast"/>
        </w:trPr>
        <w:tc>
          <w:tcPr>
            <w:tcW w:w="1305" w:type="dxa"/>
            <w:tcBorders>
              <w:top w:val="single" w:color="auto" w:sz="12" w:space="0"/>
              <w:left w:val="nil"/>
              <w:bottom w:val="single" w:color="auto" w:sz="12" w:space="0"/>
              <w:right w:val="dotted" w:color="auto" w:sz="4" w:space="0"/>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风险类型</w:t>
            </w:r>
          </w:p>
        </w:tc>
        <w:tc>
          <w:tcPr>
            <w:tcW w:w="2021" w:type="dxa"/>
            <w:tcBorders>
              <w:top w:val="single" w:color="auto" w:sz="12" w:space="0"/>
              <w:left w:val="dotted" w:color="auto" w:sz="4" w:space="0"/>
              <w:bottom w:val="single" w:color="auto" w:sz="12" w:space="0"/>
              <w:right w:val="dotted" w:color="auto" w:sz="4" w:space="0"/>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气象条件</w:t>
            </w:r>
          </w:p>
        </w:tc>
        <w:tc>
          <w:tcPr>
            <w:tcW w:w="2720" w:type="dxa"/>
            <w:tcBorders>
              <w:top w:val="single" w:color="auto" w:sz="12" w:space="0"/>
              <w:left w:val="dotted" w:color="auto" w:sz="4" w:space="0"/>
              <w:bottom w:val="single" w:color="auto" w:sz="12" w:space="0"/>
              <w:right w:val="dotted" w:color="auto" w:sz="4" w:space="0"/>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容许浓度</w:t>
            </w:r>
          </w:p>
        </w:tc>
        <w:tc>
          <w:tcPr>
            <w:tcW w:w="2242" w:type="dxa"/>
            <w:tcBorders>
              <w:top w:val="single" w:color="auto" w:sz="12" w:space="0"/>
              <w:left w:val="dotted" w:color="auto" w:sz="4" w:space="0"/>
              <w:bottom w:val="single" w:color="auto" w:sz="12" w:space="0"/>
              <w:right w:val="dotted" w:color="auto" w:sz="4" w:space="0"/>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影响最远范围</w:t>
            </w:r>
            <w:r>
              <w:rPr>
                <w:rFonts w:ascii="Times New Roman" w:hAnsi="Times New Roman" w:cs="Times New Roman"/>
                <w:sz w:val="21"/>
                <w:szCs w:val="21"/>
              </w:rPr>
              <w:t>(m)</w:t>
            </w:r>
          </w:p>
        </w:tc>
        <w:tc>
          <w:tcPr>
            <w:tcW w:w="1566" w:type="dxa"/>
            <w:tcBorders>
              <w:top w:val="single" w:color="auto" w:sz="12" w:space="0"/>
              <w:left w:val="dotted" w:color="auto" w:sz="4" w:space="0"/>
              <w:bottom w:val="single" w:color="auto" w:sz="12" w:space="0"/>
              <w:right w:val="nil"/>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保护目标</w:t>
            </w:r>
          </w:p>
        </w:tc>
      </w:tr>
      <w:tr>
        <w:tblPrEx>
          <w:tblBorders>
            <w:top w:val="single" w:color="auto" w:sz="12" w:space="0"/>
            <w:left w:val="none" w:color="auto" w:sz="0" w:space="0"/>
            <w:bottom w:val="single" w:color="auto" w:sz="12" w:space="0"/>
            <w:right w:val="none" w:color="auto" w:sz="0" w:space="0"/>
            <w:insideH w:val="single" w:color="auto" w:sz="12" w:space="0"/>
            <w:insideV w:val="dotted" w:color="auto" w:sz="4" w:space="0"/>
          </w:tblBorders>
          <w:tblCellMar>
            <w:top w:w="0" w:type="dxa"/>
            <w:left w:w="108" w:type="dxa"/>
            <w:bottom w:w="0" w:type="dxa"/>
            <w:right w:w="108" w:type="dxa"/>
          </w:tblCellMar>
        </w:tblPrEx>
        <w:trPr>
          <w:cantSplit/>
          <w:trHeight w:val="340" w:hRule="atLeast"/>
        </w:trPr>
        <w:tc>
          <w:tcPr>
            <w:tcW w:w="1305" w:type="dxa"/>
            <w:tcBorders>
              <w:top w:val="single" w:color="auto" w:sz="12" w:space="0"/>
              <w:left w:val="nil"/>
              <w:bottom w:val="single" w:color="auto" w:sz="12" w:space="0"/>
              <w:right w:val="dotted" w:color="auto" w:sz="4" w:space="0"/>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储罐管道泄漏事故</w:t>
            </w:r>
          </w:p>
        </w:tc>
        <w:tc>
          <w:tcPr>
            <w:tcW w:w="2021" w:type="dxa"/>
            <w:tcBorders>
              <w:top w:val="single" w:color="auto" w:sz="12" w:space="0"/>
              <w:left w:val="dotted" w:color="auto" w:sz="4" w:space="0"/>
              <w:bottom w:val="single" w:color="auto" w:sz="12" w:space="0"/>
              <w:right w:val="dotted" w:color="auto" w:sz="4" w:space="0"/>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不同稳定度</w:t>
            </w:r>
          </w:p>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年平均风速</w:t>
            </w:r>
          </w:p>
        </w:tc>
        <w:tc>
          <w:tcPr>
            <w:tcW w:w="2720" w:type="dxa"/>
            <w:tcBorders>
              <w:top w:val="single" w:color="auto" w:sz="12" w:space="0"/>
              <w:left w:val="dotted" w:color="auto" w:sz="4" w:space="0"/>
              <w:bottom w:val="single" w:color="auto" w:sz="12" w:space="0"/>
              <w:right w:val="dotted" w:color="auto" w:sz="4" w:space="0"/>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短时间接触容许浓度</w:t>
            </w:r>
          </w:p>
        </w:tc>
        <w:tc>
          <w:tcPr>
            <w:tcW w:w="2242" w:type="dxa"/>
            <w:tcBorders>
              <w:top w:val="single" w:color="auto" w:sz="12" w:space="0"/>
              <w:left w:val="dotted" w:color="auto" w:sz="4" w:space="0"/>
              <w:bottom w:val="single" w:color="auto" w:sz="12" w:space="0"/>
              <w:right w:val="dotted" w:color="auto" w:sz="4" w:space="0"/>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lang w:val="en-GB"/>
              </w:rPr>
              <w:t>7</w:t>
            </w:r>
            <w:r>
              <w:rPr>
                <w:rFonts w:ascii="Times New Roman" w:hAnsi="Times New Roman" w:cs="Times New Roman"/>
                <w:sz w:val="21"/>
                <w:szCs w:val="21"/>
                <w:lang w:val="en-GB"/>
              </w:rPr>
              <w:t>10(</w:t>
            </w:r>
            <w:r>
              <w:rPr>
                <w:rFonts w:hint="eastAsia" w:ascii="Times New Roman" w:hAnsi="Times New Roman" w:cs="Times New Roman"/>
                <w:sz w:val="21"/>
                <w:szCs w:val="21"/>
                <w:lang w:val="en-GB"/>
              </w:rPr>
              <w:t>一氧化碳</w:t>
            </w:r>
            <w:r>
              <w:rPr>
                <w:rFonts w:ascii="Times New Roman" w:hAnsi="Times New Roman" w:cs="Times New Roman"/>
                <w:sz w:val="21"/>
                <w:szCs w:val="21"/>
                <w:lang w:val="en-GB"/>
              </w:rPr>
              <w:t>)</w:t>
            </w:r>
          </w:p>
        </w:tc>
        <w:tc>
          <w:tcPr>
            <w:tcW w:w="1566" w:type="dxa"/>
            <w:tcBorders>
              <w:top w:val="single" w:color="auto" w:sz="12" w:space="0"/>
              <w:left w:val="dotted" w:color="auto" w:sz="4" w:space="0"/>
              <w:bottom w:val="single" w:color="auto" w:sz="12" w:space="0"/>
              <w:right w:val="nil"/>
            </w:tcBorders>
            <w:vAlign w:val="center"/>
          </w:tcPr>
          <w:p>
            <w:pPr>
              <w:pStyle w:val="807"/>
              <w:spacing w:line="240" w:lineRule="auto"/>
              <w:rPr>
                <w:rFonts w:ascii="Times New Roman" w:hAnsi="Times New Roman" w:cs="Times New Roman"/>
                <w:sz w:val="21"/>
                <w:szCs w:val="21"/>
              </w:rPr>
            </w:pPr>
            <w:r>
              <w:rPr>
                <w:rFonts w:hint="eastAsia" w:ascii="Times New Roman" w:hAnsi="Times New Roman" w:cs="Times New Roman"/>
                <w:sz w:val="21"/>
                <w:szCs w:val="21"/>
              </w:rPr>
              <w:t>厂区职工</w:t>
            </w:r>
          </w:p>
        </w:tc>
      </w:tr>
    </w:tbl>
    <w:p>
      <w:pPr>
        <w:pStyle w:val="1612"/>
        <w:adjustRightInd w:val="0"/>
        <w:snapToGrid w:val="0"/>
        <w:spacing w:line="360" w:lineRule="auto"/>
        <w:ind w:firstLine="480"/>
        <w:rPr>
          <w:rFonts w:ascii="Times New Roman" w:hAnsi="Times New Roman" w:cs="Times New Roman" w:eastAsiaTheme="minorEastAsia"/>
          <w:lang w:val="en-GB"/>
        </w:rPr>
      </w:pPr>
      <w:bookmarkStart w:id="613" w:name="_Toc508181957"/>
      <w:bookmarkStart w:id="614" w:name="_Toc516504756"/>
      <w:bookmarkStart w:id="615" w:name="_Toc520218222"/>
      <w:bookmarkStart w:id="616" w:name="_Toc511641457"/>
      <w:bookmarkStart w:id="617" w:name="_Toc510456121"/>
      <w:bookmarkStart w:id="618" w:name="_Toc518548549"/>
      <w:r>
        <w:fldChar w:fldCharType="begin"/>
      </w:r>
      <w:r>
        <w:rPr>
          <w:rFonts w:ascii="Times New Roman" w:hAnsi="Times New Roman" w:cs="Times New Roman" w:eastAsiaTheme="minorEastAsia"/>
          <w:lang w:val="en-GB"/>
        </w:rPr>
        <w:instrText xml:space="preserve"> = 2 \* GB3 </w:instrText>
      </w:r>
      <w:r>
        <w:fldChar w:fldCharType="separate"/>
      </w:r>
      <w:r>
        <w:rPr>
          <w:rFonts w:hint="eastAsia" w:ascii="Times New Roman" w:cs="Times New Roman" w:hAnsiTheme="minorEastAsia" w:eastAsiaTheme="minorEastAsia"/>
          <w:lang w:val="en-GB"/>
        </w:rPr>
        <w:t>②</w:t>
      </w:r>
      <w:r>
        <w:fldChar w:fldCharType="end"/>
      </w:r>
      <w:r>
        <w:rPr>
          <w:rFonts w:hint="eastAsia" w:ascii="Times New Roman" w:cs="Times New Roman" w:hAnsiTheme="minorEastAsia" w:eastAsiaTheme="minorEastAsia"/>
          <w:lang w:val="en-GB"/>
        </w:rPr>
        <w:t>事故状态下人员紧急疏散与撤离的注意事项</w:t>
      </w:r>
      <w:bookmarkEnd w:id="613"/>
      <w:bookmarkEnd w:id="614"/>
      <w:bookmarkEnd w:id="615"/>
      <w:bookmarkEnd w:id="616"/>
      <w:bookmarkEnd w:id="617"/>
      <w:bookmarkEnd w:id="618"/>
    </w:p>
    <w:p>
      <w:pPr>
        <w:pStyle w:val="1612"/>
        <w:adjustRightInd w:val="0"/>
        <w:snapToGrid w:val="0"/>
        <w:spacing w:line="360" w:lineRule="auto"/>
        <w:ind w:firstLine="480"/>
        <w:rPr>
          <w:rFonts w:ascii="Times New Roman" w:hAnsi="Times New Roman" w:cs="Times New Roman" w:eastAsiaTheme="minorEastAsia"/>
        </w:rPr>
      </w:pP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 1 \* roman </w:instrText>
      </w:r>
      <w:r>
        <w:rPr>
          <w:rFonts w:ascii="Times New Roman" w:hAnsi="Times New Roman" w:cs="Times New Roman" w:eastAsiaTheme="minorEastAsia"/>
        </w:rPr>
        <w:fldChar w:fldCharType="separate"/>
      </w:r>
      <w:r>
        <w:rPr>
          <w:rFonts w:ascii="Times New Roman" w:hAnsi="Times New Roman" w:cs="Times New Roman" w:eastAsiaTheme="minorEastAsia"/>
        </w:rPr>
        <w:t>i</w:t>
      </w:r>
      <w:r>
        <w:rPr>
          <w:rFonts w:ascii="Times New Roman" w:hAnsi="Times New Roman" w:cs="Times New Roman" w:eastAsiaTheme="minorEastAsia"/>
        </w:rPr>
        <w:fldChar w:fldCharType="end"/>
      </w:r>
      <w:r>
        <w:rPr>
          <w:rFonts w:ascii="Times New Roman" w:hAnsi="Times New Roman" w:cs="Times New Roman" w:eastAsiaTheme="minorEastAsia"/>
        </w:rPr>
        <w:t>.</w:t>
      </w:r>
      <w:r>
        <w:rPr>
          <w:rFonts w:hint="eastAsia" w:ascii="Times New Roman" w:cs="Times New Roman" w:hAnsiTheme="minorEastAsia" w:eastAsiaTheme="minorEastAsia"/>
        </w:rPr>
        <w:t>染毒区人员撤离现场的注意事项</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做好防护再撤离。染毒区人员撤离前应戴好合适的防毒器具，同时穿好工作服，尽可能少的将皮肤暴露在毒气中。</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迅速判明事故当时风向，可利用风向标、旗帜等辨明风向，向上风向撤离。</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听从指挥。染毒区人员在撤离时，一定不要慌张，要听从指挥部的指令和现场治安队的安排，按指定路线，向指定的集结点撤离。</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防止继发伤害。尽可能向侧、逆风向转移，并避免横穿毒源中心区域或危险地带。</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发扬互帮互助精神，染毒区人员在自救的基础上要帮助同伴一起撤离染毒区域，对于已受伤和中毒的人员更是需要他人救助。</w:t>
      </w:r>
    </w:p>
    <w:p>
      <w:pPr>
        <w:pStyle w:val="1612"/>
        <w:adjustRightInd w:val="0"/>
        <w:snapToGrid w:val="0"/>
        <w:spacing w:line="360" w:lineRule="auto"/>
        <w:ind w:firstLine="480"/>
        <w:rPr>
          <w:rFonts w:ascii="Times New Roman" w:hAnsi="Times New Roman" w:cs="Times New Roman" w:eastAsiaTheme="minorEastAsia"/>
        </w:rPr>
      </w:pPr>
      <w:bookmarkStart w:id="619" w:name="_Toc511641458"/>
      <w:bookmarkStart w:id="620" w:name="_Toc520218223"/>
      <w:bookmarkStart w:id="621" w:name="_Toc516504757"/>
      <w:bookmarkStart w:id="622" w:name="_Toc518548550"/>
      <w:bookmarkStart w:id="623" w:name="_Toc510456122"/>
      <w:r>
        <w:fldChar w:fldCharType="begin"/>
      </w:r>
      <w:r>
        <w:rPr>
          <w:rFonts w:ascii="Times New Roman" w:hAnsi="Times New Roman" w:cs="Times New Roman" w:eastAsiaTheme="minorEastAsia"/>
        </w:rPr>
        <w:instrText xml:space="preserve"> = 2 \* roman </w:instrText>
      </w:r>
      <w:r>
        <w:fldChar w:fldCharType="separate"/>
      </w:r>
      <w:r>
        <w:rPr>
          <w:rFonts w:ascii="Times New Roman" w:hAnsi="Times New Roman" w:cs="Times New Roman" w:eastAsiaTheme="minorEastAsia"/>
        </w:rPr>
        <w:t>ii</w:t>
      </w:r>
      <w:r>
        <w:fldChar w:fldCharType="end"/>
      </w:r>
      <w:r>
        <w:rPr>
          <w:rFonts w:ascii="Times New Roman" w:hAnsi="Times New Roman" w:cs="Times New Roman" w:eastAsiaTheme="minorEastAsia"/>
        </w:rPr>
        <w:t>.</w:t>
      </w:r>
      <w:r>
        <w:rPr>
          <w:rFonts w:hint="eastAsia" w:ascii="Times New Roman" w:cs="Times New Roman" w:hAnsiTheme="minorEastAsia" w:eastAsiaTheme="minorEastAsia"/>
        </w:rPr>
        <w:t>救援人员进入染毒区域及实施救援时的注意事项</w:t>
      </w:r>
      <w:bookmarkEnd w:id="619"/>
      <w:bookmarkEnd w:id="620"/>
      <w:bookmarkEnd w:id="621"/>
      <w:bookmarkEnd w:id="622"/>
      <w:bookmarkEnd w:id="623"/>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救援人员进入染毒区域前必须清楚了解染毒区域的地形、建筑（设备）分布、有无爆炸及燃烧的危险、毒物种类及大致浓度，做好自身的防护工作，配备好各种防护器材。避免单独行动，应至少</w:t>
      </w:r>
      <w:r>
        <w:rPr>
          <w:rFonts w:ascii="Times New Roman" w:hAnsi="Times New Roman" w:cs="Times New Roman" w:eastAsiaTheme="minorEastAsia"/>
        </w:rPr>
        <w:t>2-3</w:t>
      </w:r>
      <w:r>
        <w:rPr>
          <w:rFonts w:hint="eastAsia" w:ascii="Times New Roman" w:cs="Times New Roman" w:hAnsiTheme="minorEastAsia" w:eastAsiaTheme="minorEastAsia"/>
        </w:rPr>
        <w:t>人为一组集体行动，以便互相监护照应，在有易燃易爆气体存在的环境中，所用的救援器材应具备防爆功能。</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进入染毒区域的救援人员必须明确一位负责人，指挥协调在染毒区域内的救援行动，利用对讲机（防爆型）等随时与指挥部联系，同时所有参加救援人员必须听从指挥部的指挥。</w:t>
      </w:r>
    </w:p>
    <w:p>
      <w:pPr>
        <w:pStyle w:val="1612"/>
        <w:adjustRightInd w:val="0"/>
        <w:snapToGrid w:val="0"/>
        <w:spacing w:line="360" w:lineRule="auto"/>
        <w:ind w:firstLine="480"/>
        <w:rPr>
          <w:rFonts w:ascii="Times New Roman" w:hAnsi="Times New Roman" w:cs="Times New Roman" w:eastAsiaTheme="minorEastAsia"/>
        </w:rPr>
      </w:pPr>
      <w:bookmarkStart w:id="624" w:name="_Toc518548551"/>
      <w:bookmarkStart w:id="625" w:name="_Toc520218224"/>
      <w:bookmarkStart w:id="626" w:name="_Toc510456123"/>
      <w:bookmarkStart w:id="627" w:name="_Toc516504758"/>
      <w:bookmarkStart w:id="628" w:name="_Toc511641459"/>
      <w:r>
        <w:fldChar w:fldCharType="begin"/>
      </w:r>
      <w:r>
        <w:rPr>
          <w:rFonts w:ascii="Times New Roman" w:hAnsi="Times New Roman" w:cs="Times New Roman" w:eastAsiaTheme="minorEastAsia"/>
        </w:rPr>
        <w:instrText xml:space="preserve"> = 3 \* roman </w:instrText>
      </w:r>
      <w:r>
        <w:fldChar w:fldCharType="separate"/>
      </w:r>
      <w:r>
        <w:rPr>
          <w:rFonts w:ascii="Times New Roman" w:hAnsi="Times New Roman" w:cs="Times New Roman" w:eastAsiaTheme="minorEastAsia"/>
        </w:rPr>
        <w:t>iii</w:t>
      </w:r>
      <w:r>
        <w:fldChar w:fldCharType="end"/>
      </w:r>
      <w:r>
        <w:rPr>
          <w:rFonts w:ascii="Times New Roman" w:hAnsi="Times New Roman" w:cs="Times New Roman" w:eastAsiaTheme="minorEastAsia"/>
        </w:rPr>
        <w:t>.</w:t>
      </w:r>
      <w:r>
        <w:rPr>
          <w:rFonts w:hint="eastAsia" w:ascii="Times New Roman" w:cs="Times New Roman" w:hAnsiTheme="minorEastAsia" w:eastAsiaTheme="minorEastAsia"/>
        </w:rPr>
        <w:t>开展现场急救工作的注意事项</w:t>
      </w:r>
      <w:bookmarkEnd w:id="624"/>
      <w:bookmarkEnd w:id="625"/>
      <w:bookmarkEnd w:id="626"/>
      <w:bookmarkEnd w:id="627"/>
      <w:bookmarkEnd w:id="628"/>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做好自身防护。医疗救护人员在救护过程中要随时注意风向的变化，及时迅速做好现场急救医疗点的转移及伤员的防护工作。</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分工合作。当事故现场有大批伤病员的情况下，医护人员应分工合作，作到任务到人，职责明确。团结协作。</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急救处理程序化。为了避免现场急救工作杂乱无章，医务室应事先设计好不同类型的化学事故所应采取的现场急救程序。</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处理污染物。要注意对伤病员污染衣物的处理，防止发生继发性损害，特别是对某些毒物中毒的病人做人工呼吸时，要谨防救援人员再次引起中毒，因此不宜进行口对口进行人工呼吸。最好使用苏生器进行人员抢救。</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交接手续要完备。对现场急救处理后的伤病员，要做到一人一卡（急救卡），将基本情况、初步诊断、处理措施记录在卡上，并别在伤员胸前或挂在手腕上，便于识别及下一步的诊治。移交伤病员时手续要完备。</w:t>
      </w:r>
    </w:p>
    <w:p>
      <w:pPr>
        <w:pStyle w:val="1612"/>
        <w:adjustRightInd w:val="0"/>
        <w:snapToGrid w:val="0"/>
        <w:spacing w:line="360" w:lineRule="auto"/>
        <w:ind w:firstLine="480"/>
        <w:rPr>
          <w:rFonts w:ascii="Times New Roman" w:hAnsi="Times New Roman" w:cs="Times New Roman" w:eastAsiaTheme="minorEastAsia"/>
        </w:rPr>
      </w:pPr>
      <w:r>
        <w:rPr>
          <w:rFonts w:hint="eastAsia" w:ascii="Times New Roman" w:cs="Times New Roman" w:hAnsiTheme="minorEastAsia" w:eastAsiaTheme="minorEastAsia"/>
        </w:rPr>
        <w:t>做好登记统计工作。应做好现场急救统计工作，作到资料准确、数据准确、为日后总结经验教训积累第一手资料。</w:t>
      </w:r>
    </w:p>
    <w:p>
      <w:pPr>
        <w:adjustRightInd w:val="0"/>
        <w:snapToGrid w:val="0"/>
        <w:ind w:firstLine="480"/>
        <w:rPr>
          <w:rFonts w:cs="Times New Roman" w:eastAsiaTheme="minorEastAsia"/>
          <w:szCs w:val="24"/>
        </w:rPr>
      </w:pPr>
      <w:r>
        <w:rPr>
          <w:rFonts w:hint="eastAsia" w:cs="Times New Roman" w:hAnsiTheme="minorEastAsia"/>
          <w:szCs w:val="24"/>
        </w:rPr>
        <w:t>转送伤病员要合理安排车辆。在救护车辆不够的情况下，对危重伤病员要在医务人员监护的情况下，用安全救护型救护车转送，中度伤病员安排普通型救护车转送，对轻度伤病员可安排中型客车集体转送。</w:t>
      </w:r>
    </w:p>
    <w:p>
      <w:pPr>
        <w:pStyle w:val="4"/>
        <w:rPr>
          <w:rFonts w:asciiTheme="majorHAnsi" w:hAnsiTheme="majorHAnsi" w:eastAsiaTheme="minorEastAsia" w:cstheme="majorBidi"/>
          <w:sz w:val="28"/>
        </w:rPr>
      </w:pPr>
      <w:bookmarkStart w:id="629" w:name="_Toc9403177"/>
      <w:bookmarkStart w:id="630" w:name="_Toc13760297"/>
      <w:r>
        <w:t>8.7</w:t>
      </w:r>
      <w:r>
        <w:rPr>
          <w:rFonts w:hint="eastAsia"/>
        </w:rPr>
        <w:t>风险管理</w:t>
      </w:r>
      <w:bookmarkEnd w:id="629"/>
      <w:bookmarkEnd w:id="630"/>
    </w:p>
    <w:p>
      <w:pPr>
        <w:pStyle w:val="739"/>
        <w:ind w:firstLine="480"/>
        <w:rPr>
          <w:rFonts w:asciiTheme="minorEastAsia" w:hAnsiTheme="minorEastAsia" w:eastAsiaTheme="minorEastAsia"/>
        </w:rPr>
      </w:pPr>
      <w:r>
        <w:rPr>
          <w:rFonts w:hint="eastAsia"/>
        </w:rPr>
        <w:t>本项目为确保生产稳定运行、防止安全生产事故、环境污染事故的发生，拟采取以下防止火灾和控制火灾影响扩大的安全措施，以及环境风险监控、防范措施，同时制定相应的环境风险事故应急预案，以便在发生环境风险事故时采取应急处理措施，控制风险事故影响扩大，以保证环境安全。</w:t>
      </w:r>
    </w:p>
    <w:p>
      <w:pPr>
        <w:pStyle w:val="605"/>
      </w:pPr>
      <w:bookmarkStart w:id="631" w:name="_Toc9403178"/>
      <w:bookmarkStart w:id="632" w:name="_Toc13760298"/>
      <w:r>
        <w:t>8.7.1</w:t>
      </w:r>
      <w:r>
        <w:rPr>
          <w:rFonts w:hint="eastAsia"/>
        </w:rPr>
        <w:t>环境风险防范措施</w:t>
      </w:r>
      <w:bookmarkEnd w:id="631"/>
      <w:bookmarkEnd w:id="632"/>
    </w:p>
    <w:p>
      <w:pPr>
        <w:pStyle w:val="6"/>
      </w:pPr>
      <w:r>
        <w:rPr>
          <w:rFonts w:hint="eastAsia"/>
        </w:rPr>
        <w:t>8.7.1.1</w:t>
      </w:r>
      <w:r>
        <w:rPr>
          <w:rFonts w:hint="eastAsia"/>
          <w:kern w:val="0"/>
        </w:rPr>
        <w:t>选址、总图布置和建筑安全防范措施</w:t>
      </w:r>
    </w:p>
    <w:p>
      <w:pPr>
        <w:pStyle w:val="739"/>
        <w:ind w:firstLine="480"/>
        <w:outlineLvl w:val="0"/>
        <w:rPr>
          <w:rFonts w:eastAsiaTheme="minorEastAsia"/>
          <w:kern w:val="0"/>
          <w:lang w:val="zh-CN"/>
        </w:rPr>
      </w:pPr>
      <w:bookmarkStart w:id="633" w:name="_Toc396948611"/>
      <w:bookmarkStart w:id="634" w:name="_Toc276383675"/>
      <w:r>
        <w:fldChar w:fldCharType="begin"/>
      </w:r>
      <w:r>
        <w:rPr>
          <w:kern w:val="0"/>
          <w:lang w:val="zh-CN"/>
        </w:rPr>
        <w:instrText xml:space="preserve"> = 1 \* GB2 </w:instrText>
      </w:r>
      <w:r>
        <w:fldChar w:fldCharType="separate"/>
      </w:r>
      <w:bookmarkStart w:id="635" w:name="_Toc9403179"/>
      <w:bookmarkStart w:id="636" w:name="_Toc13760299"/>
      <w:bookmarkStart w:id="637" w:name="_Toc5286441"/>
      <w:bookmarkStart w:id="638" w:name="_Toc13582271"/>
      <w:r>
        <w:rPr>
          <w:rFonts w:hint="eastAsia" w:hAnsiTheme="minorEastAsia"/>
          <w:kern w:val="0"/>
          <w:lang w:val="zh-CN"/>
        </w:rPr>
        <w:t>⑴</w:t>
      </w:r>
      <w:r>
        <w:fldChar w:fldCharType="end"/>
      </w:r>
      <w:r>
        <w:rPr>
          <w:rFonts w:hint="eastAsia" w:hAnsiTheme="minorEastAsia"/>
          <w:kern w:val="0"/>
          <w:lang w:val="zh-CN"/>
        </w:rPr>
        <w:t>选址</w:t>
      </w:r>
      <w:bookmarkEnd w:id="633"/>
      <w:bookmarkEnd w:id="634"/>
      <w:bookmarkEnd w:id="635"/>
      <w:bookmarkEnd w:id="636"/>
      <w:bookmarkEnd w:id="637"/>
      <w:bookmarkEnd w:id="638"/>
    </w:p>
    <w:p>
      <w:pPr>
        <w:pStyle w:val="739"/>
        <w:ind w:firstLine="480"/>
        <w:rPr>
          <w:kern w:val="0"/>
        </w:rPr>
      </w:pPr>
      <w:r>
        <w:rPr>
          <w:rFonts w:hint="eastAsia" w:hAnsiTheme="minorEastAsia"/>
          <w:kern w:val="0"/>
        </w:rPr>
        <w:t>根据现场勘查，企业四周除其它企业和开发用地外，在</w:t>
      </w:r>
      <w:r>
        <w:rPr>
          <w:kern w:val="0"/>
        </w:rPr>
        <w:t>5000m</w:t>
      </w:r>
      <w:r>
        <w:rPr>
          <w:rFonts w:hint="eastAsia" w:hAnsiTheme="minorEastAsia"/>
          <w:kern w:val="0"/>
        </w:rPr>
        <w:t>范围内没有居民点。</w:t>
      </w:r>
    </w:p>
    <w:p>
      <w:pPr>
        <w:pStyle w:val="739"/>
        <w:ind w:firstLine="480"/>
        <w:rPr>
          <w:kern w:val="0"/>
        </w:rPr>
      </w:pPr>
      <w:r>
        <w:rPr>
          <w:rFonts w:hint="eastAsia" w:hAnsiTheme="minorEastAsia"/>
          <w:kern w:val="0"/>
        </w:rPr>
        <w:t>项目危险源离厂界及厂界外的交通干道均有一定的距离，可以起到一定的安全防护和防火作用。厂区总平面布置基本符合防范事故的要求，并有应急救援设施及救援通道。</w:t>
      </w:r>
    </w:p>
    <w:p>
      <w:pPr>
        <w:pStyle w:val="739"/>
        <w:ind w:firstLine="480"/>
        <w:outlineLvl w:val="0"/>
        <w:rPr>
          <w:kern w:val="0"/>
          <w:lang w:val="zh-CN"/>
        </w:rPr>
      </w:pPr>
      <w:bookmarkStart w:id="639" w:name="_Toc276383677"/>
      <w:bookmarkStart w:id="640" w:name="_Toc518548558"/>
      <w:bookmarkStart w:id="641" w:name="_Toc396948612"/>
      <w:bookmarkStart w:id="642" w:name="_Toc520218231"/>
      <w:bookmarkStart w:id="643" w:name="_Toc449514367"/>
      <w:bookmarkStart w:id="644" w:name="_Toc461955918"/>
      <w:bookmarkStart w:id="645" w:name="_Toc516504765"/>
      <w:r>
        <w:fldChar w:fldCharType="begin"/>
      </w:r>
      <w:r>
        <w:rPr>
          <w:kern w:val="0"/>
          <w:lang w:val="zh-CN"/>
        </w:rPr>
        <w:instrText xml:space="preserve"> = 2 \* GB2 </w:instrText>
      </w:r>
      <w:r>
        <w:fldChar w:fldCharType="separate"/>
      </w:r>
      <w:bookmarkStart w:id="646" w:name="_Toc5286442"/>
      <w:bookmarkStart w:id="647" w:name="_Toc13582272"/>
      <w:bookmarkStart w:id="648" w:name="_Toc13760300"/>
      <w:bookmarkStart w:id="649" w:name="_Toc9403180"/>
      <w:r>
        <w:rPr>
          <w:rFonts w:hint="eastAsia" w:hAnsiTheme="minorEastAsia"/>
          <w:kern w:val="0"/>
          <w:lang w:val="zh-CN"/>
        </w:rPr>
        <w:t>⑵</w:t>
      </w:r>
      <w:r>
        <w:fldChar w:fldCharType="end"/>
      </w:r>
      <w:r>
        <w:rPr>
          <w:rFonts w:hint="eastAsia" w:hAnsiTheme="minorEastAsia"/>
          <w:kern w:val="0"/>
          <w:lang w:val="zh-CN"/>
        </w:rPr>
        <w:t>总图布置和建筑物的安全距离</w:t>
      </w:r>
      <w:bookmarkEnd w:id="639"/>
      <w:bookmarkEnd w:id="640"/>
      <w:bookmarkEnd w:id="641"/>
      <w:bookmarkEnd w:id="642"/>
      <w:bookmarkEnd w:id="643"/>
      <w:bookmarkEnd w:id="644"/>
      <w:bookmarkEnd w:id="645"/>
      <w:bookmarkEnd w:id="646"/>
      <w:bookmarkEnd w:id="647"/>
      <w:bookmarkEnd w:id="648"/>
      <w:bookmarkEnd w:id="649"/>
    </w:p>
    <w:p>
      <w:pPr>
        <w:widowControl/>
        <w:adjustRightInd w:val="0"/>
        <w:snapToGrid w:val="0"/>
        <w:ind w:firstLine="480"/>
        <w:rPr>
          <w:rFonts w:cs="Times New Roman"/>
          <w:color w:val="000000"/>
          <w:kern w:val="0"/>
          <w:szCs w:val="24"/>
        </w:rPr>
      </w:pPr>
      <w:r>
        <w:rPr>
          <w:rFonts w:hint="eastAsia" w:cs="Times New Roman" w:hAnsiTheme="minorEastAsia"/>
          <w:color w:val="000000"/>
          <w:kern w:val="0"/>
          <w:szCs w:val="24"/>
        </w:rPr>
        <w:t>本项目总平面布置结合所在地的自然条件和建设项目内在的危险、有害因素由设计单位进行了合理性分析，主要装置和设备设施与上下游生产装置的关系明确，可满足安全生产要求。总平面布置基本符合《工业企业总平面设计规范》</w:t>
      </w:r>
      <w:r>
        <w:rPr>
          <w:rFonts w:cs="Times New Roman"/>
          <w:color w:val="000000"/>
          <w:kern w:val="0"/>
          <w:szCs w:val="24"/>
        </w:rPr>
        <w:t>(GB50187-2012)</w:t>
      </w:r>
      <w:r>
        <w:rPr>
          <w:rFonts w:hint="eastAsia" w:cs="Times New Roman" w:hAnsiTheme="minorEastAsia"/>
          <w:color w:val="000000"/>
          <w:kern w:val="0"/>
          <w:szCs w:val="24"/>
        </w:rPr>
        <w:t>、《化工企业总图运输设计规范》</w:t>
      </w:r>
      <w:r>
        <w:rPr>
          <w:rFonts w:cs="Times New Roman"/>
          <w:color w:val="000000"/>
          <w:kern w:val="0"/>
          <w:szCs w:val="24"/>
        </w:rPr>
        <w:t>(GB50489-2009)</w:t>
      </w:r>
      <w:r>
        <w:rPr>
          <w:rFonts w:hint="eastAsia" w:cs="Times New Roman" w:hAnsiTheme="minorEastAsia"/>
          <w:color w:val="000000"/>
          <w:kern w:val="0"/>
          <w:szCs w:val="24"/>
        </w:rPr>
        <w:t>等标准规定，按照功能分区进行了布置。总平面布置中主要建构筑物、装置、设施等的相互间距符合《建筑设计防火规范》</w:t>
      </w:r>
      <w:r>
        <w:rPr>
          <w:rFonts w:cs="Times New Roman"/>
          <w:color w:val="000000"/>
          <w:kern w:val="0"/>
          <w:szCs w:val="24"/>
        </w:rPr>
        <w:t>(GB50016-2006)</w:t>
      </w:r>
      <w:r>
        <w:rPr>
          <w:rFonts w:hint="eastAsia" w:cs="Times New Roman" w:hAnsiTheme="minorEastAsia"/>
          <w:color w:val="000000"/>
          <w:kern w:val="0"/>
          <w:szCs w:val="24"/>
        </w:rPr>
        <w:t>等标准规定。厂区人流、物流出入口、厂内道路宽度及净高、安全通道等的设置符合标准规定。</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1 \* GB3 </w:instrText>
      </w:r>
      <w:r>
        <w:rPr>
          <w:rFonts w:cs="Times New Roman"/>
          <w:color w:val="000000"/>
          <w:kern w:val="0"/>
          <w:szCs w:val="24"/>
        </w:rPr>
        <w:fldChar w:fldCharType="separate"/>
      </w:r>
      <w:r>
        <w:rPr>
          <w:rFonts w:hint="eastAsia" w:cs="Times New Roman" w:hAnsiTheme="minorEastAsia"/>
          <w:color w:val="000000"/>
          <w:kern w:val="0"/>
          <w:szCs w:val="24"/>
        </w:rPr>
        <w:t>①</w:t>
      </w:r>
      <w:r>
        <w:rPr>
          <w:rFonts w:cs="Times New Roman"/>
          <w:color w:val="000000"/>
          <w:kern w:val="0"/>
          <w:szCs w:val="24"/>
        </w:rPr>
        <w:fldChar w:fldCharType="end"/>
      </w:r>
      <w:r>
        <w:rPr>
          <w:rFonts w:hint="eastAsia" w:cs="Times New Roman" w:hAnsiTheme="minorEastAsia"/>
          <w:color w:val="000000"/>
          <w:kern w:val="0"/>
          <w:szCs w:val="24"/>
        </w:rPr>
        <w:t>建设单位请有资质的化工设计单位按规范要求对本项目的总图布置、安全设施及生产装置进行设计，并请有资质的单位组织施工。</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2 \* GB3 </w:instrText>
      </w:r>
      <w:r>
        <w:rPr>
          <w:rFonts w:cs="Times New Roman"/>
          <w:color w:val="000000"/>
          <w:kern w:val="0"/>
          <w:szCs w:val="24"/>
        </w:rPr>
        <w:fldChar w:fldCharType="separate"/>
      </w:r>
      <w:r>
        <w:rPr>
          <w:rFonts w:hint="eastAsia" w:cs="Times New Roman" w:hAnsiTheme="minorEastAsia"/>
          <w:color w:val="000000"/>
          <w:kern w:val="0"/>
          <w:szCs w:val="24"/>
        </w:rPr>
        <w:t>②</w:t>
      </w:r>
      <w:r>
        <w:rPr>
          <w:rFonts w:cs="Times New Roman"/>
          <w:color w:val="000000"/>
          <w:kern w:val="0"/>
          <w:szCs w:val="24"/>
        </w:rPr>
        <w:fldChar w:fldCharType="end"/>
      </w:r>
      <w:r>
        <w:rPr>
          <w:rFonts w:hint="eastAsia" w:cs="Times New Roman" w:hAnsiTheme="minorEastAsia"/>
          <w:color w:val="000000"/>
          <w:kern w:val="0"/>
          <w:szCs w:val="24"/>
        </w:rPr>
        <w:t>总图布置按防火防爆要求，保证各厂房间的防火间距，保证消防通道的畅通，装置区内的道路为环形通道。装置与路沿要留有符合规定（</w:t>
      </w:r>
      <w:r>
        <w:rPr>
          <w:rFonts w:cs="Times New Roman"/>
          <w:color w:val="000000"/>
          <w:kern w:val="0"/>
          <w:szCs w:val="24"/>
        </w:rPr>
        <w:t>5m</w:t>
      </w:r>
      <w:r>
        <w:rPr>
          <w:rFonts w:hint="eastAsia" w:cs="Times New Roman" w:hAnsiTheme="minorEastAsia"/>
          <w:color w:val="000000"/>
          <w:kern w:val="0"/>
          <w:szCs w:val="24"/>
        </w:rPr>
        <w:t>）的防火距离，根据厂区的具体条件，设置必要的消火栓和消防管网。</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3 \* GB3 </w:instrText>
      </w:r>
      <w:r>
        <w:rPr>
          <w:rFonts w:cs="Times New Roman"/>
          <w:color w:val="000000"/>
          <w:kern w:val="0"/>
          <w:szCs w:val="24"/>
        </w:rPr>
        <w:fldChar w:fldCharType="separate"/>
      </w:r>
      <w:r>
        <w:rPr>
          <w:rFonts w:hint="eastAsia" w:cs="Times New Roman" w:hAnsiTheme="minorEastAsia"/>
          <w:color w:val="000000"/>
          <w:kern w:val="0"/>
          <w:szCs w:val="24"/>
        </w:rPr>
        <w:t>③</w:t>
      </w:r>
      <w:r>
        <w:rPr>
          <w:rFonts w:cs="Times New Roman"/>
          <w:color w:val="000000"/>
          <w:kern w:val="0"/>
          <w:szCs w:val="24"/>
        </w:rPr>
        <w:fldChar w:fldCharType="end"/>
      </w:r>
      <w:r>
        <w:rPr>
          <w:rFonts w:hint="eastAsia" w:cs="Times New Roman" w:hAnsiTheme="minorEastAsia"/>
          <w:color w:val="000000"/>
          <w:kern w:val="0"/>
          <w:szCs w:val="24"/>
        </w:rPr>
        <w:t>厂房外附设有化学易燃物品的设备时，其室外设备外壁与相邻厂房的室外设备外壁或相邻厂房外墙之间的距离应符合《建筑设计防火规范》</w:t>
      </w:r>
      <w:r>
        <w:rPr>
          <w:rFonts w:cs="Times New Roman"/>
          <w:color w:val="000000"/>
          <w:kern w:val="0"/>
          <w:szCs w:val="24"/>
        </w:rPr>
        <w:t>(GB50016-2006)</w:t>
      </w:r>
      <w:r>
        <w:rPr>
          <w:rFonts w:hint="eastAsia" w:cs="Times New Roman" w:hAnsiTheme="minorEastAsia"/>
          <w:color w:val="000000"/>
          <w:kern w:val="0"/>
          <w:szCs w:val="24"/>
        </w:rPr>
        <w:t>第</w:t>
      </w:r>
      <w:r>
        <w:rPr>
          <w:rFonts w:cs="Times New Roman"/>
          <w:color w:val="000000"/>
          <w:kern w:val="0"/>
          <w:szCs w:val="24"/>
        </w:rPr>
        <w:t>3.4.1</w:t>
      </w:r>
      <w:r>
        <w:rPr>
          <w:rFonts w:hint="eastAsia" w:cs="Times New Roman" w:hAnsiTheme="minorEastAsia"/>
          <w:color w:val="000000"/>
          <w:kern w:val="0"/>
          <w:szCs w:val="24"/>
        </w:rPr>
        <w:t>条的规定。</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4 \* GB3 </w:instrText>
      </w:r>
      <w:r>
        <w:rPr>
          <w:rFonts w:cs="Times New Roman"/>
          <w:color w:val="000000"/>
          <w:kern w:val="0"/>
          <w:szCs w:val="24"/>
        </w:rPr>
        <w:fldChar w:fldCharType="separate"/>
      </w:r>
      <w:r>
        <w:rPr>
          <w:rFonts w:hint="eastAsia" w:cs="Times New Roman" w:hAnsiTheme="minorEastAsia"/>
          <w:color w:val="000000"/>
          <w:kern w:val="0"/>
          <w:szCs w:val="24"/>
        </w:rPr>
        <w:t>④</w:t>
      </w:r>
      <w:r>
        <w:rPr>
          <w:rFonts w:cs="Times New Roman"/>
          <w:color w:val="000000"/>
          <w:kern w:val="0"/>
          <w:szCs w:val="24"/>
        </w:rPr>
        <w:fldChar w:fldCharType="end"/>
      </w:r>
      <w:r>
        <w:rPr>
          <w:rFonts w:hint="eastAsia" w:cs="Times New Roman" w:hAnsiTheme="minorEastAsia"/>
          <w:color w:val="000000"/>
          <w:kern w:val="0"/>
          <w:szCs w:val="24"/>
        </w:rPr>
        <w:t>生产车间内严禁设置员工宿舍。本项目生产厂房为有火灾中毒危险场所，一旦发生火灾中毒事故，可造成人员伤亡。</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5 \* GB3 </w:instrText>
      </w:r>
      <w:r>
        <w:rPr>
          <w:rFonts w:cs="Times New Roman"/>
          <w:color w:val="000000"/>
          <w:kern w:val="0"/>
          <w:szCs w:val="24"/>
        </w:rPr>
        <w:fldChar w:fldCharType="separate"/>
      </w:r>
      <w:r>
        <w:rPr>
          <w:rFonts w:hint="eastAsia" w:cs="Times New Roman" w:hAnsiTheme="minorEastAsia"/>
          <w:color w:val="000000"/>
          <w:kern w:val="0"/>
          <w:szCs w:val="24"/>
        </w:rPr>
        <w:t>⑤</w:t>
      </w:r>
      <w:r>
        <w:rPr>
          <w:rFonts w:cs="Times New Roman"/>
          <w:color w:val="000000"/>
          <w:kern w:val="0"/>
          <w:szCs w:val="24"/>
        </w:rPr>
        <w:fldChar w:fldCharType="end"/>
      </w:r>
      <w:r>
        <w:rPr>
          <w:rFonts w:hint="eastAsia" w:cs="Times New Roman" w:hAnsiTheme="minorEastAsia"/>
          <w:color w:val="000000"/>
          <w:kern w:val="0"/>
          <w:szCs w:val="24"/>
        </w:rPr>
        <w:t>生产厂房为有火灾中毒危险场所，其内不应设置办公室、休息室等，当必须与本厂房贴邻建造时，其耐火等级不应低于二级，并应采用耐火极限不低于</w:t>
      </w:r>
      <w:r>
        <w:rPr>
          <w:rFonts w:cs="Times New Roman"/>
          <w:color w:val="000000"/>
          <w:kern w:val="0"/>
          <w:szCs w:val="24"/>
        </w:rPr>
        <w:t>3.00h</w:t>
      </w:r>
      <w:r>
        <w:rPr>
          <w:rFonts w:hint="eastAsia" w:cs="Times New Roman" w:hAnsiTheme="minorEastAsia"/>
          <w:color w:val="000000"/>
          <w:kern w:val="0"/>
          <w:szCs w:val="24"/>
        </w:rPr>
        <w:t>的不燃烧体防爆墙隔开和设置独立的安全出口。</w:t>
      </w:r>
    </w:p>
    <w:p>
      <w:pPr>
        <w:pStyle w:val="739"/>
        <w:ind w:firstLine="480"/>
        <w:outlineLvl w:val="0"/>
        <w:rPr>
          <w:kern w:val="0"/>
        </w:rPr>
      </w:pPr>
      <w:bookmarkStart w:id="650" w:name="_Toc516504766"/>
      <w:bookmarkStart w:id="651" w:name="_Toc518548559"/>
      <w:bookmarkStart w:id="652" w:name="_Toc520218232"/>
      <w:bookmarkStart w:id="653" w:name="_Toc449514368"/>
      <w:bookmarkStart w:id="654" w:name="_Toc461955919"/>
      <w:r>
        <w:fldChar w:fldCharType="begin"/>
      </w:r>
      <w:r>
        <w:rPr>
          <w:kern w:val="0"/>
        </w:rPr>
        <w:instrText xml:space="preserve"> = 3 \* GB2 </w:instrText>
      </w:r>
      <w:r>
        <w:fldChar w:fldCharType="separate"/>
      </w:r>
      <w:bookmarkStart w:id="655" w:name="_Toc13582273"/>
      <w:bookmarkStart w:id="656" w:name="_Toc13760301"/>
      <w:r>
        <w:rPr>
          <w:rFonts w:hint="eastAsia" w:hAnsiTheme="minorEastAsia"/>
          <w:kern w:val="0"/>
        </w:rPr>
        <w:t>⑶</w:t>
      </w:r>
      <w:r>
        <w:fldChar w:fldCharType="end"/>
      </w:r>
      <w:r>
        <w:rPr>
          <w:rFonts w:hint="eastAsia" w:hAnsiTheme="minorEastAsia"/>
          <w:kern w:val="0"/>
        </w:rPr>
        <w:t>设备及管线布置</w:t>
      </w:r>
      <w:bookmarkEnd w:id="650"/>
      <w:bookmarkEnd w:id="651"/>
      <w:bookmarkEnd w:id="652"/>
      <w:bookmarkEnd w:id="653"/>
      <w:bookmarkEnd w:id="654"/>
      <w:bookmarkEnd w:id="655"/>
      <w:bookmarkEnd w:id="656"/>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1 \* GB3 </w:instrText>
      </w:r>
      <w:r>
        <w:rPr>
          <w:rFonts w:cs="Times New Roman"/>
          <w:color w:val="000000"/>
          <w:kern w:val="0"/>
          <w:szCs w:val="24"/>
        </w:rPr>
        <w:fldChar w:fldCharType="separate"/>
      </w:r>
      <w:r>
        <w:rPr>
          <w:rFonts w:hint="eastAsia" w:cs="Times New Roman" w:hAnsiTheme="minorEastAsia"/>
          <w:color w:val="000000"/>
          <w:kern w:val="0"/>
          <w:szCs w:val="24"/>
        </w:rPr>
        <w:t>①</w:t>
      </w:r>
      <w:r>
        <w:rPr>
          <w:rFonts w:cs="Times New Roman"/>
          <w:color w:val="000000"/>
          <w:kern w:val="0"/>
          <w:szCs w:val="24"/>
        </w:rPr>
        <w:fldChar w:fldCharType="end"/>
      </w:r>
      <w:r>
        <w:rPr>
          <w:rFonts w:hint="eastAsia" w:cs="Times New Roman" w:hAnsiTheme="minorEastAsia"/>
          <w:color w:val="000000"/>
          <w:kern w:val="0"/>
          <w:szCs w:val="24"/>
        </w:rPr>
        <w:t>车间内的设备布置应符合相关规范要求，应留有足够的检修空间，便于进行操作和维护；应设置畅通的安全疏散通道，便于发生火灾或紧急情况时人员的安全撤离；具有潜在危险及爆炸敏感的设备应进行隔离或设置防护墙。</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2 \* GB3 </w:instrText>
      </w:r>
      <w:r>
        <w:rPr>
          <w:rFonts w:cs="Times New Roman"/>
          <w:color w:val="000000"/>
          <w:kern w:val="0"/>
          <w:szCs w:val="24"/>
        </w:rPr>
        <w:fldChar w:fldCharType="separate"/>
      </w:r>
      <w:r>
        <w:rPr>
          <w:rFonts w:hint="eastAsia" w:cs="Times New Roman" w:hAnsiTheme="minorEastAsia"/>
          <w:color w:val="000000"/>
          <w:kern w:val="0"/>
          <w:szCs w:val="24"/>
        </w:rPr>
        <w:t>②</w:t>
      </w:r>
      <w:r>
        <w:rPr>
          <w:rFonts w:cs="Times New Roman"/>
          <w:color w:val="000000"/>
          <w:kern w:val="0"/>
          <w:szCs w:val="24"/>
        </w:rPr>
        <w:fldChar w:fldCharType="end"/>
      </w:r>
      <w:r>
        <w:rPr>
          <w:rFonts w:hint="eastAsia" w:cs="Times New Roman" w:hAnsiTheme="minorEastAsia"/>
          <w:color w:val="000000"/>
          <w:kern w:val="0"/>
          <w:szCs w:val="24"/>
        </w:rPr>
        <w:t>设备、管道按规范安装，管线支撑牢靠，不应有弯曲、下坠现象。</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3 \* GB3 </w:instrText>
      </w:r>
      <w:r>
        <w:rPr>
          <w:rFonts w:cs="Times New Roman"/>
          <w:color w:val="000000"/>
          <w:kern w:val="0"/>
          <w:szCs w:val="24"/>
        </w:rPr>
        <w:fldChar w:fldCharType="separate"/>
      </w:r>
      <w:r>
        <w:rPr>
          <w:rFonts w:hint="eastAsia" w:cs="Times New Roman" w:hAnsiTheme="minorEastAsia"/>
          <w:color w:val="000000"/>
          <w:kern w:val="0"/>
          <w:szCs w:val="24"/>
        </w:rPr>
        <w:t>③</w:t>
      </w:r>
      <w:r>
        <w:rPr>
          <w:rFonts w:cs="Times New Roman"/>
          <w:color w:val="000000"/>
          <w:kern w:val="0"/>
          <w:szCs w:val="24"/>
        </w:rPr>
        <w:fldChar w:fldCharType="end"/>
      </w:r>
      <w:r>
        <w:rPr>
          <w:rFonts w:hint="eastAsia" w:cs="Times New Roman" w:hAnsiTheme="minorEastAsia"/>
          <w:color w:val="000000"/>
          <w:kern w:val="0"/>
          <w:szCs w:val="24"/>
        </w:rPr>
        <w:t>该项目工艺和公用工程管道共架多层敷设时，宜将介质温度等于或高于</w:t>
      </w:r>
      <w:r>
        <w:rPr>
          <w:rFonts w:cs="Times New Roman"/>
          <w:color w:val="000000"/>
          <w:kern w:val="0"/>
          <w:szCs w:val="24"/>
        </w:rPr>
        <w:t>250</w:t>
      </w:r>
      <w:r>
        <w:rPr>
          <w:rFonts w:hint="eastAsia" w:ascii="宋体" w:hAnsi="宋体" w:cs="宋体"/>
          <w:color w:val="000000"/>
          <w:kern w:val="0"/>
          <w:szCs w:val="24"/>
        </w:rPr>
        <w:t>℃</w:t>
      </w:r>
      <w:r>
        <w:rPr>
          <w:rFonts w:hint="eastAsia" w:cs="Times New Roman" w:hAnsiTheme="minorEastAsia"/>
          <w:color w:val="000000"/>
          <w:kern w:val="0"/>
          <w:szCs w:val="24"/>
        </w:rPr>
        <w:t>的管道布置在上层；腐蚀性介质管道布置在下层。</w:t>
      </w:r>
    </w:p>
    <w:p>
      <w:pPr>
        <w:widowControl/>
        <w:adjustRightInd w:val="0"/>
        <w:snapToGrid w:val="0"/>
        <w:ind w:firstLine="480"/>
        <w:jc w:val="left"/>
        <w:rPr>
          <w:rFonts w:cs="Times New Roman"/>
          <w:color w:val="000000"/>
          <w:kern w:val="0"/>
          <w:szCs w:val="20"/>
        </w:rPr>
      </w:pPr>
      <w:r>
        <w:rPr>
          <w:rFonts w:cs="Times New Roman"/>
          <w:color w:val="000000"/>
          <w:kern w:val="0"/>
          <w:szCs w:val="24"/>
        </w:rPr>
        <w:fldChar w:fldCharType="begin"/>
      </w:r>
      <w:r>
        <w:rPr>
          <w:rFonts w:cs="Times New Roman"/>
          <w:color w:val="000000"/>
          <w:kern w:val="0"/>
          <w:szCs w:val="24"/>
        </w:rPr>
        <w:instrText xml:space="preserve"> = 4 \* GB3 </w:instrText>
      </w:r>
      <w:r>
        <w:rPr>
          <w:rFonts w:cs="Times New Roman"/>
          <w:color w:val="000000"/>
          <w:kern w:val="0"/>
          <w:szCs w:val="24"/>
        </w:rPr>
        <w:fldChar w:fldCharType="separate"/>
      </w:r>
      <w:r>
        <w:rPr>
          <w:rFonts w:hint="eastAsia" w:cs="Times New Roman" w:hAnsiTheme="minorEastAsia"/>
          <w:color w:val="000000"/>
          <w:kern w:val="0"/>
          <w:szCs w:val="24"/>
        </w:rPr>
        <w:t>④</w:t>
      </w:r>
      <w:r>
        <w:rPr>
          <w:rFonts w:cs="Times New Roman"/>
          <w:color w:val="000000"/>
          <w:kern w:val="0"/>
          <w:szCs w:val="24"/>
        </w:rPr>
        <w:fldChar w:fldCharType="end"/>
      </w:r>
      <w:r>
        <w:rPr>
          <w:rFonts w:hint="eastAsia" w:cs="Times New Roman" w:hAnsiTheme="minorEastAsia"/>
          <w:color w:val="000000"/>
          <w:kern w:val="0"/>
          <w:szCs w:val="24"/>
        </w:rPr>
        <w:t>机电、仪表、开关、管道和阀门等工艺设备要统一编号，设备管道、阀门按《安全色》</w:t>
      </w:r>
      <w:r>
        <w:rPr>
          <w:rFonts w:cs="Times New Roman"/>
          <w:color w:val="000000"/>
          <w:kern w:val="0"/>
          <w:szCs w:val="24"/>
        </w:rPr>
        <w:t>(GB2893-2008)</w:t>
      </w:r>
      <w:r>
        <w:rPr>
          <w:rFonts w:hint="eastAsia" w:cs="Times New Roman" w:hAnsiTheme="minorEastAsia"/>
          <w:color w:val="000000"/>
          <w:kern w:val="0"/>
          <w:szCs w:val="24"/>
        </w:rPr>
        <w:t>、《工业管道的基本识别色、识别符号和安全标识》</w:t>
      </w:r>
      <w:r>
        <w:rPr>
          <w:rFonts w:cs="Times New Roman"/>
          <w:color w:val="000000"/>
          <w:kern w:val="0"/>
          <w:szCs w:val="24"/>
        </w:rPr>
        <w:t>(GB7231-2003)</w:t>
      </w:r>
      <w:r>
        <w:rPr>
          <w:rFonts w:hint="eastAsia" w:cs="Times New Roman" w:hAnsiTheme="minorEastAsia"/>
          <w:color w:val="000000"/>
          <w:kern w:val="0"/>
          <w:szCs w:val="24"/>
        </w:rPr>
        <w:t>规定涂色，标明介质、流向、名称以防误操作；生产岗位悬挂工艺卡片，标明重要的温度、压力、流量等工艺参数。</w:t>
      </w:r>
    </w:p>
    <w:p>
      <w:pPr>
        <w:pStyle w:val="739"/>
        <w:ind w:firstLine="480"/>
        <w:outlineLvl w:val="0"/>
        <w:rPr>
          <w:kern w:val="0"/>
        </w:rPr>
      </w:pPr>
      <w:bookmarkStart w:id="657" w:name="_Toc461955920"/>
      <w:bookmarkStart w:id="658" w:name="_Toc520218233"/>
      <w:bookmarkStart w:id="659" w:name="_Toc518548560"/>
      <w:bookmarkStart w:id="660" w:name="_Toc516504767"/>
      <w:bookmarkStart w:id="661" w:name="_Toc449514369"/>
      <w:r>
        <w:fldChar w:fldCharType="begin"/>
      </w:r>
      <w:r>
        <w:rPr>
          <w:kern w:val="0"/>
        </w:rPr>
        <w:instrText xml:space="preserve"> = 4 \* GB2 </w:instrText>
      </w:r>
      <w:r>
        <w:fldChar w:fldCharType="separate"/>
      </w:r>
      <w:bookmarkStart w:id="662" w:name="_Toc13760302"/>
      <w:bookmarkStart w:id="663" w:name="_Toc13582274"/>
      <w:r>
        <w:rPr>
          <w:rFonts w:hint="eastAsia" w:hAnsiTheme="minorEastAsia"/>
          <w:kern w:val="0"/>
        </w:rPr>
        <w:t>⑷</w:t>
      </w:r>
      <w:r>
        <w:fldChar w:fldCharType="end"/>
      </w:r>
      <w:r>
        <w:rPr>
          <w:rFonts w:hint="eastAsia" w:hAnsiTheme="minorEastAsia"/>
          <w:kern w:val="0"/>
        </w:rPr>
        <w:t>建</w:t>
      </w:r>
      <w:r>
        <w:rPr>
          <w:kern w:val="0"/>
        </w:rPr>
        <w:t>(</w:t>
      </w:r>
      <w:r>
        <w:rPr>
          <w:rFonts w:hint="eastAsia" w:hAnsiTheme="minorEastAsia"/>
          <w:kern w:val="0"/>
        </w:rPr>
        <w:t>构</w:t>
      </w:r>
      <w:r>
        <w:rPr>
          <w:kern w:val="0"/>
        </w:rPr>
        <w:t>)</w:t>
      </w:r>
      <w:r>
        <w:rPr>
          <w:rFonts w:hint="eastAsia" w:hAnsiTheme="minorEastAsia"/>
          <w:kern w:val="0"/>
        </w:rPr>
        <w:t>筑物</w:t>
      </w:r>
      <w:bookmarkEnd w:id="657"/>
      <w:bookmarkEnd w:id="658"/>
      <w:bookmarkEnd w:id="659"/>
      <w:bookmarkEnd w:id="660"/>
      <w:bookmarkEnd w:id="661"/>
      <w:bookmarkEnd w:id="662"/>
      <w:bookmarkEnd w:id="663"/>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1 \* GB3 </w:instrText>
      </w:r>
      <w:r>
        <w:rPr>
          <w:rFonts w:cs="Times New Roman"/>
          <w:color w:val="000000"/>
          <w:kern w:val="0"/>
          <w:szCs w:val="24"/>
        </w:rPr>
        <w:fldChar w:fldCharType="separate"/>
      </w:r>
      <w:r>
        <w:rPr>
          <w:rFonts w:hint="eastAsia" w:cs="Times New Roman" w:hAnsiTheme="minorEastAsia"/>
          <w:color w:val="000000"/>
          <w:kern w:val="0"/>
          <w:szCs w:val="24"/>
        </w:rPr>
        <w:t>①</w:t>
      </w:r>
      <w:r>
        <w:rPr>
          <w:rFonts w:cs="Times New Roman"/>
          <w:color w:val="000000"/>
          <w:kern w:val="0"/>
          <w:szCs w:val="24"/>
        </w:rPr>
        <w:fldChar w:fldCharType="end"/>
      </w:r>
      <w:r>
        <w:rPr>
          <w:rFonts w:hint="eastAsia" w:cs="Times New Roman" w:hAnsiTheme="minorEastAsia"/>
          <w:color w:val="000000"/>
          <w:kern w:val="0"/>
          <w:szCs w:val="24"/>
        </w:rPr>
        <w:t>项目所属地区地震烈度为</w:t>
      </w:r>
      <w:r>
        <w:rPr>
          <w:rFonts w:cs="Times New Roman"/>
          <w:color w:val="000000"/>
          <w:kern w:val="0"/>
          <w:szCs w:val="24"/>
        </w:rPr>
        <w:t>7</w:t>
      </w:r>
      <w:r>
        <w:rPr>
          <w:rFonts w:hint="eastAsia" w:cs="Times New Roman" w:hAnsiTheme="minorEastAsia"/>
          <w:color w:val="000000"/>
          <w:kern w:val="0"/>
          <w:szCs w:val="24"/>
        </w:rPr>
        <w:t>度，设计部门在进行建（构）筑物的抗震设计时应严格按《建筑抗震设计规范》</w:t>
      </w:r>
      <w:r>
        <w:rPr>
          <w:rFonts w:cs="Times New Roman"/>
          <w:color w:val="000000"/>
          <w:kern w:val="0"/>
          <w:szCs w:val="24"/>
        </w:rPr>
        <w:t>(2008</w:t>
      </w:r>
      <w:r>
        <w:rPr>
          <w:rFonts w:hint="eastAsia" w:cs="Times New Roman" w:hAnsiTheme="minorEastAsia"/>
          <w:color w:val="000000"/>
          <w:kern w:val="0"/>
          <w:szCs w:val="24"/>
        </w:rPr>
        <w:t>年局部修订</w:t>
      </w:r>
      <w:r>
        <w:rPr>
          <w:rFonts w:cs="Times New Roman"/>
          <w:color w:val="000000"/>
          <w:kern w:val="0"/>
          <w:szCs w:val="24"/>
        </w:rPr>
        <w:t>)(GB50011-2001)</w:t>
      </w:r>
      <w:r>
        <w:rPr>
          <w:rFonts w:hint="eastAsia" w:cs="Times New Roman" w:hAnsiTheme="minorEastAsia"/>
          <w:color w:val="000000"/>
          <w:kern w:val="0"/>
          <w:szCs w:val="24"/>
        </w:rPr>
        <w:t>、《建筑工程抗震设防分类标准》</w:t>
      </w:r>
      <w:r>
        <w:rPr>
          <w:rFonts w:cs="Times New Roman"/>
          <w:color w:val="000000"/>
          <w:kern w:val="0"/>
          <w:szCs w:val="24"/>
        </w:rPr>
        <w:t>(GB50223-2008)</w:t>
      </w:r>
      <w:r>
        <w:rPr>
          <w:rFonts w:hint="eastAsia" w:cs="Times New Roman" w:hAnsiTheme="minorEastAsia"/>
          <w:color w:val="000000"/>
          <w:kern w:val="0"/>
          <w:szCs w:val="24"/>
        </w:rPr>
        <w:t>等规范、标准的相关要求进行。</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2 \* GB3 </w:instrText>
      </w:r>
      <w:r>
        <w:rPr>
          <w:rFonts w:cs="Times New Roman"/>
          <w:color w:val="000000"/>
          <w:kern w:val="0"/>
          <w:szCs w:val="24"/>
        </w:rPr>
        <w:fldChar w:fldCharType="separate"/>
      </w:r>
      <w:r>
        <w:rPr>
          <w:rFonts w:hint="eastAsia" w:cs="Times New Roman" w:hAnsiTheme="minorEastAsia"/>
          <w:color w:val="000000"/>
          <w:kern w:val="0"/>
          <w:szCs w:val="24"/>
        </w:rPr>
        <w:t>②</w:t>
      </w:r>
      <w:r>
        <w:rPr>
          <w:rFonts w:cs="Times New Roman"/>
          <w:color w:val="000000"/>
          <w:kern w:val="0"/>
          <w:szCs w:val="24"/>
        </w:rPr>
        <w:fldChar w:fldCharType="end"/>
      </w:r>
      <w:r>
        <w:rPr>
          <w:rFonts w:hint="eastAsia" w:cs="Times New Roman" w:hAnsiTheme="minorEastAsia"/>
          <w:color w:val="000000"/>
          <w:kern w:val="0"/>
          <w:szCs w:val="24"/>
        </w:rPr>
        <w:t>本项目所在地地形坡降小，排水困难，土建设计时应考虑设置有效的防洪、排涝措施和设施。</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3 \* GB3 </w:instrText>
      </w:r>
      <w:r>
        <w:rPr>
          <w:rFonts w:cs="Times New Roman"/>
          <w:color w:val="000000"/>
          <w:kern w:val="0"/>
          <w:szCs w:val="24"/>
        </w:rPr>
        <w:fldChar w:fldCharType="separate"/>
      </w:r>
      <w:r>
        <w:rPr>
          <w:rFonts w:hint="eastAsia" w:cs="Times New Roman" w:hAnsiTheme="minorEastAsia"/>
          <w:color w:val="000000"/>
          <w:kern w:val="0"/>
          <w:szCs w:val="24"/>
        </w:rPr>
        <w:t>③</w:t>
      </w:r>
      <w:r>
        <w:rPr>
          <w:rFonts w:cs="Times New Roman"/>
          <w:color w:val="000000"/>
          <w:kern w:val="0"/>
          <w:szCs w:val="24"/>
        </w:rPr>
        <w:fldChar w:fldCharType="end"/>
      </w:r>
      <w:r>
        <w:rPr>
          <w:rFonts w:hint="eastAsia" w:cs="Times New Roman" w:hAnsiTheme="minorEastAsia"/>
          <w:color w:val="000000"/>
          <w:kern w:val="0"/>
          <w:szCs w:val="24"/>
        </w:rPr>
        <w:t>生产厂房防火分区的设置应符合《建筑设计防火规范》的要求；泄压面积、泄压比值的选取应符合《建筑设计防火规范》</w:t>
      </w:r>
      <w:r>
        <w:rPr>
          <w:rFonts w:cs="Times New Roman"/>
          <w:color w:val="000000"/>
          <w:kern w:val="0"/>
          <w:szCs w:val="24"/>
        </w:rPr>
        <w:t>(GB50016-2006)</w:t>
      </w:r>
      <w:r>
        <w:rPr>
          <w:rFonts w:hint="eastAsia" w:cs="Times New Roman" w:hAnsiTheme="minorEastAsia"/>
          <w:color w:val="000000"/>
          <w:kern w:val="0"/>
          <w:szCs w:val="24"/>
        </w:rPr>
        <w:t>第</w:t>
      </w:r>
      <w:r>
        <w:rPr>
          <w:rFonts w:cs="Times New Roman"/>
          <w:color w:val="000000"/>
          <w:kern w:val="0"/>
          <w:szCs w:val="24"/>
        </w:rPr>
        <w:t>3.6.3</w:t>
      </w:r>
      <w:r>
        <w:rPr>
          <w:rFonts w:hint="eastAsia" w:cs="Times New Roman" w:hAnsiTheme="minorEastAsia"/>
          <w:color w:val="000000"/>
          <w:kern w:val="0"/>
          <w:szCs w:val="24"/>
        </w:rPr>
        <w:t>条的要求。</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4 \* GB3 </w:instrText>
      </w:r>
      <w:r>
        <w:rPr>
          <w:rFonts w:cs="Times New Roman"/>
          <w:color w:val="000000"/>
          <w:kern w:val="0"/>
          <w:szCs w:val="24"/>
        </w:rPr>
        <w:fldChar w:fldCharType="separate"/>
      </w:r>
      <w:r>
        <w:rPr>
          <w:rFonts w:hint="eastAsia" w:cs="Times New Roman" w:hAnsiTheme="minorEastAsia"/>
          <w:color w:val="000000"/>
          <w:kern w:val="0"/>
          <w:szCs w:val="24"/>
        </w:rPr>
        <w:t>④</w:t>
      </w:r>
      <w:r>
        <w:rPr>
          <w:rFonts w:cs="Times New Roman"/>
          <w:color w:val="000000"/>
          <w:kern w:val="0"/>
          <w:szCs w:val="24"/>
        </w:rPr>
        <w:fldChar w:fldCharType="end"/>
      </w:r>
      <w:r>
        <w:rPr>
          <w:rFonts w:hint="eastAsia" w:cs="Times New Roman" w:hAnsiTheme="minorEastAsia"/>
          <w:color w:val="000000"/>
          <w:kern w:val="0"/>
          <w:szCs w:val="24"/>
        </w:rPr>
        <w:t>设备本体及其基础、管道及其支、吊架和基础应采用非燃烧材料。介质为易燃物料的设备的承重钢框架、支架、裙座等应覆盖耐火极限不低于</w:t>
      </w:r>
      <w:r>
        <w:rPr>
          <w:rFonts w:cs="Times New Roman"/>
          <w:color w:val="000000"/>
          <w:kern w:val="0"/>
          <w:szCs w:val="24"/>
        </w:rPr>
        <w:t>1.5h</w:t>
      </w:r>
      <w:r>
        <w:rPr>
          <w:rFonts w:hint="eastAsia" w:cs="Times New Roman" w:hAnsiTheme="minorEastAsia"/>
          <w:color w:val="000000"/>
          <w:kern w:val="0"/>
          <w:szCs w:val="24"/>
        </w:rPr>
        <w:t>的耐火层，爆炸危险区域范围内的主管廊的钢管架应覆盖耐火极限不低于</w:t>
      </w:r>
      <w:r>
        <w:rPr>
          <w:rFonts w:cs="Times New Roman"/>
          <w:color w:val="000000"/>
          <w:kern w:val="0"/>
          <w:szCs w:val="24"/>
        </w:rPr>
        <w:t>1.5h</w:t>
      </w:r>
      <w:r>
        <w:rPr>
          <w:rFonts w:hint="eastAsia" w:cs="Times New Roman" w:hAnsiTheme="minorEastAsia"/>
          <w:color w:val="000000"/>
          <w:kern w:val="0"/>
          <w:szCs w:val="24"/>
        </w:rPr>
        <w:t>的耐火层。</w:t>
      </w:r>
    </w:p>
    <w:p>
      <w:pPr>
        <w:pStyle w:val="739"/>
        <w:ind w:firstLine="480"/>
        <w:outlineLvl w:val="0"/>
        <w:rPr>
          <w:kern w:val="0"/>
        </w:rPr>
      </w:pPr>
      <w:bookmarkStart w:id="664" w:name="_Toc518548561"/>
      <w:bookmarkStart w:id="665" w:name="_Toc461955921"/>
      <w:bookmarkStart w:id="666" w:name="_Toc516504768"/>
      <w:bookmarkStart w:id="667" w:name="_Toc449514370"/>
      <w:bookmarkStart w:id="668" w:name="_Toc520218234"/>
      <w:r>
        <w:fldChar w:fldCharType="begin"/>
      </w:r>
      <w:r>
        <w:rPr>
          <w:kern w:val="0"/>
        </w:rPr>
        <w:instrText xml:space="preserve"> = 5 \* GB2 </w:instrText>
      </w:r>
      <w:r>
        <w:fldChar w:fldCharType="separate"/>
      </w:r>
      <w:bookmarkStart w:id="669" w:name="_Toc13760303"/>
      <w:bookmarkStart w:id="670" w:name="_Toc13582275"/>
      <w:r>
        <w:rPr>
          <w:rFonts w:hint="eastAsia" w:hAnsiTheme="minorEastAsia"/>
          <w:kern w:val="0"/>
        </w:rPr>
        <w:t>⑸</w:t>
      </w:r>
      <w:r>
        <w:fldChar w:fldCharType="end"/>
      </w:r>
      <w:r>
        <w:rPr>
          <w:rFonts w:hint="eastAsia" w:hAnsiTheme="minorEastAsia"/>
          <w:kern w:val="0"/>
        </w:rPr>
        <w:t>其他方面</w:t>
      </w:r>
      <w:bookmarkEnd w:id="664"/>
      <w:bookmarkEnd w:id="665"/>
      <w:bookmarkEnd w:id="666"/>
      <w:bookmarkEnd w:id="667"/>
      <w:bookmarkEnd w:id="668"/>
      <w:bookmarkEnd w:id="669"/>
      <w:bookmarkEnd w:id="670"/>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1 \* GB3 </w:instrText>
      </w:r>
      <w:r>
        <w:rPr>
          <w:rFonts w:cs="Times New Roman"/>
          <w:color w:val="000000"/>
          <w:kern w:val="0"/>
          <w:szCs w:val="24"/>
        </w:rPr>
        <w:fldChar w:fldCharType="separate"/>
      </w:r>
      <w:r>
        <w:rPr>
          <w:rFonts w:hint="eastAsia" w:cs="Times New Roman" w:hAnsiTheme="minorEastAsia"/>
          <w:color w:val="000000"/>
          <w:kern w:val="0"/>
          <w:szCs w:val="24"/>
        </w:rPr>
        <w:t>①</w:t>
      </w:r>
      <w:r>
        <w:rPr>
          <w:rFonts w:cs="Times New Roman"/>
          <w:color w:val="000000"/>
          <w:kern w:val="0"/>
          <w:szCs w:val="24"/>
        </w:rPr>
        <w:fldChar w:fldCharType="end"/>
      </w:r>
      <w:r>
        <w:rPr>
          <w:rFonts w:hint="eastAsia" w:cs="Times New Roman" w:hAnsiTheme="minorEastAsia"/>
          <w:color w:val="000000"/>
          <w:kern w:val="0"/>
          <w:szCs w:val="24"/>
        </w:rPr>
        <w:t>生产装置区内设备和管道的布置要要符合相关规范的要求，防火间距符合规定。项目区的总平面布置，应根据项目的生产流程及各组成部分的生产特点和火灾危险性，结合地形、风向等条件，按功能分区集中布置。对危险作业区、罐区、生产装置区、配电等区域要在醒目处设置安全警示标志。并在合适的地点安装风向标。</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2 \* GB3 </w:instrText>
      </w:r>
      <w:r>
        <w:rPr>
          <w:rFonts w:cs="Times New Roman"/>
          <w:color w:val="000000"/>
          <w:kern w:val="0"/>
          <w:szCs w:val="24"/>
        </w:rPr>
        <w:fldChar w:fldCharType="separate"/>
      </w:r>
      <w:r>
        <w:rPr>
          <w:rFonts w:hint="eastAsia" w:cs="Times New Roman" w:hAnsiTheme="minorEastAsia"/>
          <w:color w:val="000000"/>
          <w:kern w:val="0"/>
          <w:szCs w:val="24"/>
        </w:rPr>
        <w:t>②</w:t>
      </w:r>
      <w:r>
        <w:rPr>
          <w:rFonts w:cs="Times New Roman"/>
          <w:color w:val="000000"/>
          <w:kern w:val="0"/>
          <w:szCs w:val="24"/>
        </w:rPr>
        <w:fldChar w:fldCharType="end"/>
      </w:r>
      <w:r>
        <w:rPr>
          <w:rFonts w:hint="eastAsia" w:cs="Times New Roman" w:hAnsiTheme="minorEastAsia"/>
          <w:color w:val="000000"/>
          <w:kern w:val="0"/>
          <w:szCs w:val="24"/>
        </w:rPr>
        <w:t>生产装置、罐区、装卸区宜布置在人员集中场所及明火或散发火花地点的全年最小频率风向的上风侧。</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3 \* GB3 </w:instrText>
      </w:r>
      <w:r>
        <w:rPr>
          <w:rFonts w:cs="Times New Roman"/>
          <w:color w:val="000000"/>
          <w:kern w:val="0"/>
          <w:szCs w:val="24"/>
        </w:rPr>
        <w:fldChar w:fldCharType="separate"/>
      </w:r>
      <w:r>
        <w:rPr>
          <w:rFonts w:hint="eastAsia" w:cs="Times New Roman" w:hAnsiTheme="minorEastAsia"/>
          <w:color w:val="000000"/>
          <w:kern w:val="0"/>
          <w:szCs w:val="24"/>
        </w:rPr>
        <w:t>③</w:t>
      </w:r>
      <w:r>
        <w:rPr>
          <w:rFonts w:cs="Times New Roman"/>
          <w:color w:val="000000"/>
          <w:kern w:val="0"/>
          <w:szCs w:val="24"/>
        </w:rPr>
        <w:fldChar w:fldCharType="end"/>
      </w:r>
      <w:r>
        <w:rPr>
          <w:rFonts w:hint="eastAsia" w:cs="Times New Roman" w:hAnsiTheme="minorEastAsia"/>
          <w:color w:val="000000"/>
          <w:kern w:val="0"/>
          <w:szCs w:val="24"/>
        </w:rPr>
        <w:t>厂区总平面布置应根据生产工艺特点和工业卫生要求，按功能分区布置。分区之间和分区内部的防火符合《建筑设计防火规范》</w:t>
      </w:r>
      <w:r>
        <w:rPr>
          <w:rFonts w:cs="Times New Roman"/>
          <w:color w:val="000000"/>
          <w:kern w:val="0"/>
          <w:szCs w:val="24"/>
        </w:rPr>
        <w:t>(GB50016-2006)</w:t>
      </w:r>
      <w:r>
        <w:rPr>
          <w:rFonts w:hint="eastAsia" w:cs="Times New Roman" w:hAnsiTheme="minorEastAsia"/>
          <w:color w:val="000000"/>
          <w:kern w:val="0"/>
          <w:szCs w:val="24"/>
        </w:rPr>
        <w:t>的要求。</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4 \* GB3 </w:instrText>
      </w:r>
      <w:r>
        <w:rPr>
          <w:rFonts w:cs="Times New Roman"/>
          <w:color w:val="000000"/>
          <w:kern w:val="0"/>
          <w:szCs w:val="24"/>
        </w:rPr>
        <w:fldChar w:fldCharType="separate"/>
      </w:r>
      <w:r>
        <w:rPr>
          <w:rFonts w:hint="eastAsia" w:cs="Times New Roman" w:hAnsiTheme="minorEastAsia"/>
          <w:color w:val="000000"/>
          <w:kern w:val="0"/>
          <w:szCs w:val="24"/>
        </w:rPr>
        <w:t>④</w:t>
      </w:r>
      <w:r>
        <w:rPr>
          <w:rFonts w:cs="Times New Roman"/>
          <w:color w:val="000000"/>
          <w:kern w:val="0"/>
          <w:szCs w:val="24"/>
        </w:rPr>
        <w:fldChar w:fldCharType="end"/>
      </w:r>
      <w:r>
        <w:rPr>
          <w:rFonts w:hint="eastAsia" w:cs="Times New Roman" w:hAnsiTheme="minorEastAsia"/>
          <w:color w:val="000000"/>
          <w:kern w:val="0"/>
          <w:szCs w:val="24"/>
        </w:rPr>
        <w:t>生产区内不得设员工宿舍。</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5 \* GB3 </w:instrText>
      </w:r>
      <w:r>
        <w:rPr>
          <w:rFonts w:cs="Times New Roman"/>
          <w:color w:val="000000"/>
          <w:kern w:val="0"/>
          <w:szCs w:val="24"/>
        </w:rPr>
        <w:fldChar w:fldCharType="separate"/>
      </w:r>
      <w:r>
        <w:rPr>
          <w:rFonts w:hint="eastAsia" w:cs="Times New Roman" w:hAnsiTheme="minorEastAsia"/>
          <w:color w:val="000000"/>
          <w:kern w:val="0"/>
          <w:szCs w:val="24"/>
        </w:rPr>
        <w:t>⑤</w:t>
      </w:r>
      <w:r>
        <w:rPr>
          <w:rFonts w:cs="Times New Roman"/>
          <w:color w:val="000000"/>
          <w:kern w:val="0"/>
          <w:szCs w:val="24"/>
        </w:rPr>
        <w:fldChar w:fldCharType="end"/>
      </w:r>
      <w:r>
        <w:rPr>
          <w:rFonts w:hint="eastAsia" w:cs="Times New Roman" w:hAnsiTheme="minorEastAsia"/>
          <w:color w:val="000000"/>
          <w:kern w:val="0"/>
          <w:szCs w:val="24"/>
        </w:rPr>
        <w:t>厂房、库房的结构、耐火等级、层数、面积和平面布置应按规范设计、符合相应的要求；厂房、库房的防火分区应符合规范要求；生产车间应通风良好，确保空气中有毒、有害物质含量不超标。</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6 \* GB3 </w:instrText>
      </w:r>
      <w:r>
        <w:rPr>
          <w:rFonts w:cs="Times New Roman"/>
          <w:color w:val="000000"/>
          <w:kern w:val="0"/>
          <w:szCs w:val="24"/>
        </w:rPr>
        <w:fldChar w:fldCharType="separate"/>
      </w:r>
      <w:r>
        <w:rPr>
          <w:rFonts w:hint="eastAsia" w:cs="Times New Roman" w:hAnsiTheme="minorEastAsia"/>
          <w:color w:val="000000"/>
          <w:kern w:val="0"/>
          <w:szCs w:val="24"/>
        </w:rPr>
        <w:t>⑥</w:t>
      </w:r>
      <w:r>
        <w:rPr>
          <w:rFonts w:cs="Times New Roman"/>
          <w:color w:val="000000"/>
          <w:kern w:val="0"/>
          <w:szCs w:val="24"/>
        </w:rPr>
        <w:fldChar w:fldCharType="end"/>
      </w:r>
      <w:r>
        <w:rPr>
          <w:rFonts w:hint="eastAsia" w:cs="Times New Roman" w:hAnsiTheme="minorEastAsia"/>
          <w:color w:val="000000"/>
          <w:kern w:val="0"/>
          <w:szCs w:val="24"/>
        </w:rPr>
        <w:t>生产区内的设备、管道、罐区、建构筑物等设施之间的防火距离应符合《建筑设计防火规范》</w:t>
      </w:r>
      <w:r>
        <w:rPr>
          <w:rFonts w:cs="Times New Roman"/>
          <w:color w:val="000000"/>
          <w:kern w:val="0"/>
          <w:szCs w:val="24"/>
        </w:rPr>
        <w:t>(GB50016-2006)</w:t>
      </w:r>
      <w:r>
        <w:rPr>
          <w:rFonts w:hint="eastAsia" w:cs="Times New Roman" w:hAnsiTheme="minorEastAsia"/>
          <w:color w:val="000000"/>
          <w:kern w:val="0"/>
          <w:szCs w:val="24"/>
        </w:rPr>
        <w:t>的规定。</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7 \* GB3 </w:instrText>
      </w:r>
      <w:r>
        <w:rPr>
          <w:rFonts w:cs="Times New Roman"/>
          <w:color w:val="000000"/>
          <w:kern w:val="0"/>
          <w:szCs w:val="24"/>
        </w:rPr>
        <w:fldChar w:fldCharType="separate"/>
      </w:r>
      <w:r>
        <w:rPr>
          <w:rFonts w:hint="eastAsia" w:cs="Times New Roman" w:hAnsiTheme="minorEastAsia"/>
          <w:color w:val="000000"/>
          <w:kern w:val="0"/>
          <w:szCs w:val="24"/>
        </w:rPr>
        <w:t>⑦</w:t>
      </w:r>
      <w:r>
        <w:rPr>
          <w:rFonts w:cs="Times New Roman"/>
          <w:color w:val="000000"/>
          <w:kern w:val="0"/>
          <w:szCs w:val="24"/>
        </w:rPr>
        <w:fldChar w:fldCharType="end"/>
      </w:r>
      <w:r>
        <w:rPr>
          <w:rFonts w:hint="eastAsia" w:cs="Times New Roman" w:hAnsiTheme="minorEastAsia"/>
          <w:color w:val="000000"/>
          <w:kern w:val="0"/>
          <w:szCs w:val="24"/>
        </w:rPr>
        <w:t>生产装置区、储罐区、仓库周围消防车道要畅通，当受地形条件限制时，也可设有回车场的尽头式消防车道。消防道路的路面宽度不应小于</w:t>
      </w:r>
      <w:r>
        <w:rPr>
          <w:rFonts w:cs="Times New Roman"/>
          <w:color w:val="000000"/>
          <w:kern w:val="0"/>
          <w:szCs w:val="24"/>
        </w:rPr>
        <w:t>4m</w:t>
      </w:r>
      <w:r>
        <w:rPr>
          <w:rFonts w:hint="eastAsia" w:cs="Times New Roman" w:hAnsiTheme="minorEastAsia"/>
          <w:color w:val="000000"/>
          <w:kern w:val="0"/>
          <w:szCs w:val="24"/>
        </w:rPr>
        <w:t>，路面上的净空高度不应低于</w:t>
      </w:r>
      <w:r>
        <w:rPr>
          <w:rFonts w:cs="Times New Roman"/>
          <w:color w:val="000000"/>
          <w:kern w:val="0"/>
          <w:szCs w:val="24"/>
        </w:rPr>
        <w:t>4m</w:t>
      </w:r>
      <w:r>
        <w:rPr>
          <w:rFonts w:hint="eastAsia" w:cs="Times New Roman" w:hAnsiTheme="minorEastAsia"/>
          <w:color w:val="000000"/>
          <w:kern w:val="0"/>
          <w:szCs w:val="24"/>
        </w:rPr>
        <w:t>，尽头式消防道应设回车道或回车场，回车场的面积不应小于</w:t>
      </w:r>
      <w:r>
        <w:rPr>
          <w:rFonts w:cs="Times New Roman"/>
          <w:color w:val="000000"/>
          <w:kern w:val="0"/>
          <w:szCs w:val="24"/>
        </w:rPr>
        <w:t>12m×12m</w:t>
      </w:r>
      <w:r>
        <w:rPr>
          <w:rFonts w:hint="eastAsia" w:cs="Times New Roman" w:hAnsiTheme="minorEastAsia"/>
          <w:color w:val="000000"/>
          <w:kern w:val="0"/>
          <w:szCs w:val="24"/>
        </w:rPr>
        <w:t>；供大型消防车使用时，不宜小于</w:t>
      </w:r>
      <w:r>
        <w:rPr>
          <w:rFonts w:cs="Times New Roman"/>
          <w:color w:val="000000"/>
          <w:kern w:val="0"/>
          <w:szCs w:val="24"/>
        </w:rPr>
        <w:t>18m×18m</w:t>
      </w:r>
      <w:r>
        <w:rPr>
          <w:rFonts w:hint="eastAsia" w:cs="Times New Roman" w:hAnsiTheme="minorEastAsia"/>
          <w:color w:val="000000"/>
          <w:kern w:val="0"/>
          <w:szCs w:val="24"/>
        </w:rPr>
        <w:t>。</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8 \* GB3 </w:instrText>
      </w:r>
      <w:r>
        <w:rPr>
          <w:rFonts w:cs="Times New Roman"/>
          <w:color w:val="000000"/>
          <w:kern w:val="0"/>
          <w:szCs w:val="24"/>
        </w:rPr>
        <w:fldChar w:fldCharType="separate"/>
      </w:r>
      <w:r>
        <w:rPr>
          <w:rFonts w:hint="eastAsia" w:cs="Times New Roman" w:hAnsiTheme="minorEastAsia"/>
          <w:color w:val="000000"/>
          <w:kern w:val="0"/>
          <w:szCs w:val="24"/>
        </w:rPr>
        <w:t>⑧</w:t>
      </w:r>
      <w:r>
        <w:rPr>
          <w:rFonts w:cs="Times New Roman"/>
          <w:color w:val="000000"/>
          <w:kern w:val="0"/>
          <w:szCs w:val="24"/>
        </w:rPr>
        <w:fldChar w:fldCharType="end"/>
      </w:r>
      <w:r>
        <w:rPr>
          <w:rFonts w:hint="eastAsia" w:cs="Times New Roman" w:hAnsiTheme="minorEastAsia"/>
          <w:color w:val="000000"/>
          <w:kern w:val="0"/>
          <w:szCs w:val="24"/>
        </w:rPr>
        <w:t>厂区高大建筑物、库区和罐区应按规范要求安装防雷装置。</w:t>
      </w:r>
    </w:p>
    <w:p>
      <w:pPr>
        <w:widowControl/>
        <w:adjustRightInd w:val="0"/>
        <w:snapToGrid w:val="0"/>
        <w:ind w:firstLine="480"/>
        <w:jc w:val="left"/>
        <w:rPr>
          <w:rFonts w:cs="Times New Roman"/>
          <w:color w:val="000000"/>
          <w:kern w:val="0"/>
          <w:szCs w:val="24"/>
        </w:rPr>
      </w:pPr>
      <w:r>
        <w:rPr>
          <w:rFonts w:cs="Times New Roman"/>
          <w:color w:val="000000"/>
          <w:kern w:val="0"/>
          <w:szCs w:val="24"/>
        </w:rPr>
        <w:fldChar w:fldCharType="begin"/>
      </w:r>
      <w:r>
        <w:rPr>
          <w:rFonts w:cs="Times New Roman"/>
          <w:color w:val="000000"/>
          <w:kern w:val="0"/>
          <w:szCs w:val="24"/>
        </w:rPr>
        <w:instrText xml:space="preserve"> = 9 \* GB3 </w:instrText>
      </w:r>
      <w:r>
        <w:rPr>
          <w:rFonts w:cs="Times New Roman"/>
          <w:color w:val="000000"/>
          <w:kern w:val="0"/>
          <w:szCs w:val="24"/>
        </w:rPr>
        <w:fldChar w:fldCharType="separate"/>
      </w:r>
      <w:r>
        <w:rPr>
          <w:rFonts w:hint="eastAsia" w:cs="Times New Roman" w:hAnsiTheme="minorEastAsia"/>
          <w:color w:val="000000"/>
          <w:kern w:val="0"/>
          <w:szCs w:val="24"/>
        </w:rPr>
        <w:t>⑨</w:t>
      </w:r>
      <w:r>
        <w:rPr>
          <w:rFonts w:cs="Times New Roman"/>
          <w:color w:val="000000"/>
          <w:kern w:val="0"/>
          <w:szCs w:val="24"/>
        </w:rPr>
        <w:fldChar w:fldCharType="end"/>
      </w:r>
      <w:r>
        <w:rPr>
          <w:rFonts w:hint="eastAsia" w:cs="Times New Roman" w:hAnsiTheme="minorEastAsia"/>
          <w:color w:val="000000"/>
          <w:kern w:val="0"/>
          <w:szCs w:val="24"/>
        </w:rPr>
        <w:t>生产场所应留有足够的操作空间和检修用地。作业场所应能保证人员有足够的安全活动空间，便于操作和维护。</w:t>
      </w:r>
    </w:p>
    <w:p>
      <w:pPr>
        <w:pStyle w:val="6"/>
        <w:rPr>
          <w:rFonts w:asciiTheme="majorHAnsi" w:hAnsiTheme="majorHAnsi"/>
          <w:kern w:val="0"/>
        </w:rPr>
      </w:pPr>
      <w:r>
        <w:rPr>
          <w:kern w:val="0"/>
        </w:rPr>
        <w:t>8.7.1.2</w:t>
      </w:r>
      <w:r>
        <w:rPr>
          <w:rFonts w:hint="eastAsia" w:ascii="宋体" w:hAnsi="宋体" w:eastAsia="宋体" w:cs="宋体"/>
          <w:kern w:val="0"/>
        </w:rPr>
        <w:t>危险化学品贮运安全防范措施</w:t>
      </w:r>
    </w:p>
    <w:p>
      <w:pPr>
        <w:pStyle w:val="739"/>
        <w:ind w:firstLine="480"/>
        <w:outlineLvl w:val="0"/>
        <w:rPr>
          <w:kern w:val="0"/>
        </w:rPr>
      </w:pPr>
      <w:r>
        <w:rPr>
          <w:kern w:val="0"/>
        </w:rPr>
        <w:fldChar w:fldCharType="begin"/>
      </w:r>
      <w:r>
        <w:rPr>
          <w:kern w:val="0"/>
        </w:rPr>
        <w:instrText xml:space="preserve">= 1 \* GB2</w:instrText>
      </w:r>
      <w:r>
        <w:rPr>
          <w:kern w:val="0"/>
        </w:rPr>
        <w:fldChar w:fldCharType="separate"/>
      </w:r>
      <w:bookmarkStart w:id="671" w:name="_Toc5286443"/>
      <w:bookmarkStart w:id="672" w:name="_Toc13760304"/>
      <w:bookmarkStart w:id="673" w:name="_Toc9403181"/>
      <w:bookmarkStart w:id="674" w:name="_Toc13582276"/>
      <w:r>
        <w:rPr>
          <w:rFonts w:hint="eastAsia"/>
          <w:kern w:val="0"/>
        </w:rPr>
        <w:t>⑴</w:t>
      </w:r>
      <w:r>
        <w:rPr>
          <w:rFonts w:asciiTheme="minorHAnsi" w:hAnsiTheme="minorHAnsi"/>
          <w:sz w:val="21"/>
        </w:rPr>
        <w:fldChar w:fldCharType="end"/>
      </w:r>
      <w:r>
        <w:rPr>
          <w:rFonts w:hint="eastAsia"/>
          <w:kern w:val="0"/>
        </w:rPr>
        <w:t>运输风险</w:t>
      </w:r>
      <w:bookmarkEnd w:id="671"/>
      <w:bookmarkEnd w:id="672"/>
      <w:bookmarkEnd w:id="673"/>
      <w:bookmarkEnd w:id="674"/>
    </w:p>
    <w:p>
      <w:pPr>
        <w:pStyle w:val="739"/>
        <w:ind w:firstLine="480"/>
        <w:rPr>
          <w:kern w:val="0"/>
        </w:rPr>
      </w:pPr>
      <w:r>
        <w:rPr>
          <w:rFonts w:hint="eastAsia"/>
          <w:kern w:val="0"/>
        </w:rPr>
        <w:t>危险货物在运输过程中，从装卸、运输到保管，工序长，参与人员多；运输方式和工具多；运输范围广、行程长；气温、压力、干湿变化范围大，这些复杂众多的外界因素是运输中造成风险的诱发条件。</w:t>
      </w:r>
    </w:p>
    <w:p>
      <w:pPr>
        <w:pStyle w:val="739"/>
        <w:ind w:firstLine="480"/>
        <w:rPr>
          <w:kern w:val="0"/>
        </w:rPr>
      </w:pPr>
      <w:r>
        <w:rPr>
          <w:rFonts w:hint="eastAsia"/>
          <w:kern w:val="0"/>
        </w:rPr>
        <w:t>针对危险货物本身的危险特性，运输危险货物首先要进行危险货物包装，以减少外界环境如雨雪、阳光、潮湿空气和杂质等的影响；减少运输过程中受到的碰撞、震动、摩擦和挤压，以保持相对稳定状态；减少货物泄漏、挥发以及性质相悖的货物直接接触造成事故。</w:t>
      </w:r>
    </w:p>
    <w:p>
      <w:pPr>
        <w:pStyle w:val="739"/>
        <w:ind w:firstLine="480"/>
        <w:rPr>
          <w:kern w:val="0"/>
        </w:rPr>
      </w:pPr>
      <w:r>
        <w:rPr>
          <w:rFonts w:hint="eastAsia"/>
          <w:kern w:val="0"/>
        </w:rPr>
        <w:t>危险货物在其运输过程中托运</w:t>
      </w:r>
      <w:r>
        <w:rPr>
          <w:kern w:val="0"/>
        </w:rPr>
        <w:t>-</w:t>
      </w:r>
      <w:r>
        <w:rPr>
          <w:rFonts w:hint="eastAsia"/>
          <w:kern w:val="0"/>
        </w:rPr>
        <w:t>仓储</w:t>
      </w:r>
      <w:r>
        <w:rPr>
          <w:kern w:val="0"/>
        </w:rPr>
        <w:t>-</w:t>
      </w:r>
      <w:r>
        <w:rPr>
          <w:rFonts w:hint="eastAsia"/>
          <w:kern w:val="0"/>
        </w:rPr>
        <w:t>装货</w:t>
      </w:r>
      <w:r>
        <w:rPr>
          <w:kern w:val="0"/>
        </w:rPr>
        <w:t>-</w:t>
      </w:r>
      <w:r>
        <w:rPr>
          <w:rFonts w:hint="eastAsia"/>
          <w:kern w:val="0"/>
        </w:rPr>
        <w:t>运货</w:t>
      </w:r>
      <w:r>
        <w:rPr>
          <w:kern w:val="0"/>
        </w:rPr>
        <w:t>-</w:t>
      </w:r>
      <w:r>
        <w:rPr>
          <w:rFonts w:hint="eastAsia"/>
          <w:kern w:val="0"/>
        </w:rPr>
        <w:t>卸货</w:t>
      </w:r>
      <w:r>
        <w:rPr>
          <w:kern w:val="0"/>
        </w:rPr>
        <w:t>-</w:t>
      </w:r>
      <w:r>
        <w:rPr>
          <w:rFonts w:hint="eastAsia"/>
          <w:kern w:val="0"/>
        </w:rPr>
        <w:t>仓储</w:t>
      </w:r>
      <w:r>
        <w:rPr>
          <w:kern w:val="0"/>
        </w:rPr>
        <w:t>-</w:t>
      </w:r>
      <w:r>
        <w:rPr>
          <w:rFonts w:hint="eastAsia"/>
          <w:kern w:val="0"/>
        </w:rPr>
        <w:t>收货过程中，装卸、运输和仓储三个环节中均存在造成事故、对环境造成风险的概率。</w:t>
      </w:r>
    </w:p>
    <w:p>
      <w:pPr>
        <w:pStyle w:val="739"/>
        <w:ind w:firstLine="480"/>
        <w:rPr>
          <w:kern w:val="0"/>
          <w:szCs w:val="20"/>
        </w:rPr>
      </w:pPr>
      <w:r>
        <w:rPr>
          <w:rFonts w:hint="eastAsia" w:cs="Times New Roman"/>
          <w:color w:val="000000"/>
          <w:kern w:val="0"/>
          <w:szCs w:val="24"/>
        </w:rPr>
        <w:t>表</w:t>
      </w:r>
      <w:r>
        <w:rPr>
          <w:rFonts w:cs="Times New Roman"/>
          <w:color w:val="000000"/>
          <w:kern w:val="0"/>
          <w:szCs w:val="24"/>
        </w:rPr>
        <w:t>8.7</w:t>
      </w:r>
      <w:r>
        <w:rPr>
          <w:rFonts w:hint="eastAsia" w:cs="Times New Roman"/>
          <w:color w:val="000000"/>
          <w:kern w:val="0"/>
          <w:szCs w:val="24"/>
        </w:rPr>
        <w:t>—</w:t>
      </w:r>
      <w:r>
        <w:rPr>
          <w:rFonts w:cs="Times New Roman"/>
          <w:color w:val="000000"/>
          <w:kern w:val="0"/>
          <w:szCs w:val="24"/>
        </w:rPr>
        <w:t xml:space="preserve">1       </w:t>
      </w:r>
      <w:r>
        <w:rPr>
          <w:rFonts w:hint="eastAsia" w:cs="Times New Roman"/>
          <w:color w:val="000000"/>
          <w:kern w:val="0"/>
          <w:szCs w:val="24"/>
        </w:rPr>
        <w:t>运输过程风险分析</w:t>
      </w:r>
    </w:p>
    <w:tbl>
      <w:tblPr>
        <w:tblStyle w:val="88"/>
        <w:tblW w:w="963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81"/>
        <w:gridCol w:w="661"/>
        <w:gridCol w:w="2157"/>
        <w:gridCol w:w="1221"/>
        <w:gridCol w:w="491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681" w:type="dxa"/>
            <w:tcBorders>
              <w:top w:val="single" w:color="auto" w:sz="12" w:space="0"/>
              <w:left w:val="nil"/>
              <w:bottom w:val="single" w:color="auto" w:sz="12"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序号</w:t>
            </w:r>
          </w:p>
        </w:tc>
        <w:tc>
          <w:tcPr>
            <w:tcW w:w="661" w:type="dxa"/>
            <w:tcBorders>
              <w:top w:val="single" w:color="auto" w:sz="12" w:space="0"/>
              <w:left w:val="dotted" w:color="auto" w:sz="4" w:space="0"/>
              <w:bottom w:val="single" w:color="auto" w:sz="12"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过程</w:t>
            </w:r>
          </w:p>
        </w:tc>
        <w:tc>
          <w:tcPr>
            <w:tcW w:w="2157" w:type="dxa"/>
            <w:tcBorders>
              <w:top w:val="single" w:color="auto" w:sz="12" w:space="0"/>
              <w:left w:val="dotted" w:color="auto" w:sz="4" w:space="0"/>
              <w:bottom w:val="single" w:color="auto" w:sz="12"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项目</w:t>
            </w:r>
          </w:p>
        </w:tc>
        <w:tc>
          <w:tcPr>
            <w:tcW w:w="1221" w:type="dxa"/>
            <w:tcBorders>
              <w:top w:val="single" w:color="auto" w:sz="12" w:space="0"/>
              <w:left w:val="dotted" w:color="auto" w:sz="4" w:space="0"/>
              <w:bottom w:val="single" w:color="auto" w:sz="12"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风险类型</w:t>
            </w:r>
          </w:p>
        </w:tc>
        <w:tc>
          <w:tcPr>
            <w:tcW w:w="4918" w:type="dxa"/>
            <w:tcBorders>
              <w:top w:val="single" w:color="auto" w:sz="12" w:space="0"/>
              <w:left w:val="dotted" w:color="auto" w:sz="4" w:space="0"/>
              <w:bottom w:val="single" w:color="auto" w:sz="12" w:space="0"/>
              <w:right w:val="nil"/>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风险分析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681" w:type="dxa"/>
            <w:vMerge w:val="restart"/>
            <w:tcBorders>
              <w:top w:val="single" w:color="auto" w:sz="12" w:space="0"/>
              <w:left w:val="nil"/>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color w:val="000000"/>
                <w:kern w:val="0"/>
                <w:sz w:val="21"/>
              </w:rPr>
              <w:t>1</w:t>
            </w:r>
          </w:p>
        </w:tc>
        <w:tc>
          <w:tcPr>
            <w:tcW w:w="661" w:type="dxa"/>
            <w:vMerge w:val="restart"/>
            <w:tcBorders>
              <w:top w:val="single" w:color="auto" w:sz="12"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包装</w:t>
            </w:r>
          </w:p>
        </w:tc>
        <w:tc>
          <w:tcPr>
            <w:tcW w:w="2157" w:type="dxa"/>
            <w:tcBorders>
              <w:top w:val="single" w:color="auto" w:sz="12"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爆炸品专用包装</w:t>
            </w:r>
          </w:p>
        </w:tc>
        <w:tc>
          <w:tcPr>
            <w:tcW w:w="1221" w:type="dxa"/>
            <w:tcBorders>
              <w:top w:val="single" w:color="auto" w:sz="12"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火灾</w:t>
            </w:r>
          </w:p>
        </w:tc>
        <w:tc>
          <w:tcPr>
            <w:tcW w:w="4918" w:type="dxa"/>
            <w:tcBorders>
              <w:top w:val="single" w:color="auto" w:sz="12" w:space="0"/>
              <w:left w:val="dotted" w:color="auto" w:sz="4" w:space="0"/>
              <w:bottom w:val="dotted" w:color="auto" w:sz="4" w:space="0"/>
              <w:right w:val="nil"/>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反应速度快、释放热量和气体污染物、财产损失</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681"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661" w:type="dxa"/>
            <w:vMerge w:val="continue"/>
            <w:tcBorders>
              <w:top w:val="single" w:color="auto" w:sz="12"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2157"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腐蚀性物品包装</w:t>
            </w:r>
          </w:p>
        </w:tc>
        <w:tc>
          <w:tcPr>
            <w:tcW w:w="1221"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环境危害</w:t>
            </w:r>
          </w:p>
        </w:tc>
        <w:tc>
          <w:tcPr>
            <w:tcW w:w="4918" w:type="dxa"/>
            <w:tcBorders>
              <w:top w:val="dotted" w:color="auto" w:sz="4" w:space="0"/>
              <w:left w:val="dotted" w:color="auto" w:sz="4" w:space="0"/>
              <w:bottom w:val="dotted" w:color="auto" w:sz="4" w:space="0"/>
              <w:right w:val="nil"/>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水体污染、土壤污染和生态污染</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681" w:type="dxa"/>
            <w:vMerge w:val="restart"/>
            <w:tcBorders>
              <w:top w:val="dotted" w:color="auto" w:sz="4" w:space="0"/>
              <w:left w:val="nil"/>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color w:val="000000"/>
                <w:kern w:val="0"/>
                <w:sz w:val="21"/>
              </w:rPr>
              <w:t>2</w:t>
            </w:r>
          </w:p>
        </w:tc>
        <w:tc>
          <w:tcPr>
            <w:tcW w:w="661" w:type="dxa"/>
            <w:vMerge w:val="restart"/>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运输</w:t>
            </w:r>
          </w:p>
        </w:tc>
        <w:tc>
          <w:tcPr>
            <w:tcW w:w="2157"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物品危险品法规</w:t>
            </w:r>
          </w:p>
        </w:tc>
        <w:tc>
          <w:tcPr>
            <w:tcW w:w="1221"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w:t>
            </w:r>
          </w:p>
        </w:tc>
        <w:tc>
          <w:tcPr>
            <w:tcW w:w="4918" w:type="dxa"/>
            <w:tcBorders>
              <w:top w:val="dotted" w:color="auto" w:sz="4" w:space="0"/>
              <w:left w:val="dotted" w:color="auto" w:sz="4" w:space="0"/>
              <w:bottom w:val="dotted" w:color="auto" w:sz="4" w:space="0"/>
              <w:right w:val="nil"/>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重大风险事故</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681"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66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2157"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运输包装法规</w:t>
            </w:r>
          </w:p>
        </w:tc>
        <w:tc>
          <w:tcPr>
            <w:tcW w:w="1221"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w:t>
            </w:r>
          </w:p>
        </w:tc>
        <w:tc>
          <w:tcPr>
            <w:tcW w:w="4918" w:type="dxa"/>
            <w:tcBorders>
              <w:top w:val="dotted" w:color="auto" w:sz="4" w:space="0"/>
              <w:left w:val="dotted" w:color="auto" w:sz="4" w:space="0"/>
              <w:bottom w:val="dotted" w:color="auto" w:sz="4" w:space="0"/>
              <w:right w:val="nil"/>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重大风险事故</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681"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661"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2157"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运输包装标准法规</w:t>
            </w:r>
          </w:p>
        </w:tc>
        <w:tc>
          <w:tcPr>
            <w:tcW w:w="1221"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w:t>
            </w:r>
          </w:p>
        </w:tc>
        <w:tc>
          <w:tcPr>
            <w:tcW w:w="4918" w:type="dxa"/>
            <w:tcBorders>
              <w:top w:val="dotted" w:color="auto" w:sz="4" w:space="0"/>
              <w:left w:val="dotted" w:color="auto" w:sz="4" w:space="0"/>
              <w:bottom w:val="dotted" w:color="auto" w:sz="4" w:space="0"/>
              <w:right w:val="nil"/>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重大风险事故</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681" w:type="dxa"/>
            <w:vMerge w:val="restart"/>
            <w:tcBorders>
              <w:top w:val="dotted" w:color="auto" w:sz="4" w:space="0"/>
              <w:left w:val="nil"/>
              <w:bottom w:val="single" w:color="auto" w:sz="12"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color w:val="000000"/>
                <w:kern w:val="0"/>
                <w:sz w:val="21"/>
              </w:rPr>
              <w:t>3</w:t>
            </w:r>
          </w:p>
        </w:tc>
        <w:tc>
          <w:tcPr>
            <w:tcW w:w="661" w:type="dxa"/>
            <w:vMerge w:val="restart"/>
            <w:tcBorders>
              <w:top w:val="dotted" w:color="auto" w:sz="4" w:space="0"/>
              <w:left w:val="dotted" w:color="auto" w:sz="4" w:space="0"/>
              <w:bottom w:val="single" w:color="auto" w:sz="12"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装卸</w:t>
            </w:r>
          </w:p>
        </w:tc>
        <w:tc>
          <w:tcPr>
            <w:tcW w:w="2157"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爆炸品专用包装类</w:t>
            </w:r>
          </w:p>
        </w:tc>
        <w:tc>
          <w:tcPr>
            <w:tcW w:w="1221"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火灾</w:t>
            </w:r>
          </w:p>
        </w:tc>
        <w:tc>
          <w:tcPr>
            <w:tcW w:w="4918" w:type="dxa"/>
            <w:tcBorders>
              <w:top w:val="dotted" w:color="auto" w:sz="4" w:space="0"/>
              <w:left w:val="dotted" w:color="auto" w:sz="4" w:space="0"/>
              <w:bottom w:val="dotted" w:color="auto" w:sz="4" w:space="0"/>
              <w:right w:val="nil"/>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反应速度快、释放热量和气体污染物、财产损失</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681" w:type="dxa"/>
            <w:vMerge w:val="continue"/>
            <w:tcBorders>
              <w:top w:val="dotted" w:color="auto" w:sz="4" w:space="0"/>
              <w:left w:val="nil"/>
              <w:bottom w:val="single" w:color="auto" w:sz="12"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661"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2157"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气瓶包装类</w:t>
            </w:r>
          </w:p>
        </w:tc>
        <w:tc>
          <w:tcPr>
            <w:tcW w:w="1221" w:type="dxa"/>
            <w:tcBorders>
              <w:top w:val="dotted" w:color="auto" w:sz="4" w:space="0"/>
              <w:left w:val="dotted" w:color="auto" w:sz="4" w:space="0"/>
              <w:bottom w:val="dotted" w:color="auto" w:sz="4"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火灾</w:t>
            </w:r>
          </w:p>
        </w:tc>
        <w:tc>
          <w:tcPr>
            <w:tcW w:w="4918" w:type="dxa"/>
            <w:tcBorders>
              <w:top w:val="dotted" w:color="auto" w:sz="4" w:space="0"/>
              <w:left w:val="dotted" w:color="auto" w:sz="4" w:space="0"/>
              <w:bottom w:val="dotted" w:color="auto" w:sz="4" w:space="0"/>
              <w:right w:val="nil"/>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反应速度快、释放热量和气体污染物、财产损失</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681" w:type="dxa"/>
            <w:vMerge w:val="continue"/>
            <w:tcBorders>
              <w:top w:val="dotted" w:color="auto" w:sz="4" w:space="0"/>
              <w:left w:val="nil"/>
              <w:bottom w:val="single" w:color="auto" w:sz="12"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661"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tLeast"/>
              <w:ind w:firstLine="0" w:firstLineChars="0"/>
              <w:jc w:val="left"/>
              <w:rPr>
                <w:rFonts w:eastAsiaTheme="minorEastAsia"/>
                <w:color w:val="000000"/>
                <w:kern w:val="0"/>
                <w:sz w:val="21"/>
              </w:rPr>
            </w:pPr>
          </w:p>
        </w:tc>
        <w:tc>
          <w:tcPr>
            <w:tcW w:w="2157" w:type="dxa"/>
            <w:tcBorders>
              <w:top w:val="dotted" w:color="auto" w:sz="4" w:space="0"/>
              <w:left w:val="dotted" w:color="auto" w:sz="4" w:space="0"/>
              <w:bottom w:val="single" w:color="auto" w:sz="12"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腐蚀性物品包装类</w:t>
            </w:r>
          </w:p>
        </w:tc>
        <w:tc>
          <w:tcPr>
            <w:tcW w:w="1221" w:type="dxa"/>
            <w:tcBorders>
              <w:top w:val="dotted" w:color="auto" w:sz="4" w:space="0"/>
              <w:left w:val="dotted" w:color="auto" w:sz="4" w:space="0"/>
              <w:bottom w:val="single" w:color="auto" w:sz="12" w:space="0"/>
              <w:right w:val="dotted" w:color="auto" w:sz="4" w:space="0"/>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环境危害</w:t>
            </w:r>
          </w:p>
        </w:tc>
        <w:tc>
          <w:tcPr>
            <w:tcW w:w="4918" w:type="dxa"/>
            <w:tcBorders>
              <w:top w:val="dotted" w:color="auto" w:sz="4" w:space="0"/>
              <w:left w:val="dotted" w:color="auto" w:sz="4" w:space="0"/>
              <w:bottom w:val="single" w:color="auto" w:sz="12" w:space="0"/>
              <w:right w:val="nil"/>
            </w:tcBorders>
            <w:vAlign w:val="center"/>
          </w:tcPr>
          <w:p>
            <w:pPr>
              <w:widowControl/>
              <w:autoSpaceDE w:val="0"/>
              <w:autoSpaceDN w:val="0"/>
              <w:adjustRightInd w:val="0"/>
              <w:snapToGrid w:val="0"/>
              <w:spacing w:line="240" w:lineRule="atLeast"/>
              <w:ind w:firstLine="0" w:firstLineChars="0"/>
              <w:jc w:val="center"/>
              <w:rPr>
                <w:rFonts w:eastAsiaTheme="minorEastAsia"/>
                <w:color w:val="000000"/>
                <w:kern w:val="0"/>
                <w:sz w:val="21"/>
              </w:rPr>
            </w:pPr>
            <w:r>
              <w:rPr>
                <w:rFonts w:hint="eastAsia"/>
                <w:color w:val="000000"/>
                <w:kern w:val="0"/>
                <w:sz w:val="21"/>
              </w:rPr>
              <w:t>水体污染、土壤污染和生态污染</w:t>
            </w:r>
          </w:p>
        </w:tc>
      </w:tr>
    </w:tbl>
    <w:p>
      <w:pPr>
        <w:widowControl/>
        <w:autoSpaceDE w:val="0"/>
        <w:autoSpaceDN w:val="0"/>
        <w:adjustRightInd w:val="0"/>
        <w:snapToGrid w:val="0"/>
        <w:ind w:firstLine="480"/>
        <w:jc w:val="left"/>
        <w:rPr>
          <w:rFonts w:cs="Times New Roman"/>
          <w:color w:val="000000"/>
          <w:kern w:val="0"/>
          <w:szCs w:val="24"/>
        </w:rPr>
      </w:pPr>
    </w:p>
    <w:p>
      <w:pPr>
        <w:widowControl/>
        <w:autoSpaceDE w:val="0"/>
        <w:autoSpaceDN w:val="0"/>
        <w:adjustRightInd w:val="0"/>
        <w:snapToGrid w:val="0"/>
        <w:ind w:firstLine="480"/>
        <w:jc w:val="left"/>
        <w:rPr>
          <w:rFonts w:cs="Times New Roman" w:eastAsiaTheme="minorEastAsia"/>
          <w:color w:val="000000"/>
          <w:kern w:val="0"/>
          <w:szCs w:val="24"/>
        </w:rPr>
      </w:pPr>
      <w:r>
        <w:rPr>
          <w:rFonts w:hint="eastAsia" w:cs="Times New Roman"/>
          <w:color w:val="000000"/>
          <w:kern w:val="0"/>
          <w:szCs w:val="24"/>
        </w:rPr>
        <w:t>危险货物运输中，由于经受多次搬运装卸，因温度、压力的变化；重装重卸，操作不当；容器多次回收利用，强度下降，桶盖垫圈失落没有拧紧，安全阀开启，阀门变形断裂等原因，均易造成气体扩散、液体滴漏、固体散落，出现不同程度的渗漏，甚至可能引起火灾、爆炸或污染环境等事故。对这类事故的应急，按照应急就近的原则，运输操作人员首先采取相应的应急措施，进行渗漏处理，防止危险物质扩散至环境。</w:t>
      </w:r>
    </w:p>
    <w:p>
      <w:pPr>
        <w:widowControl/>
        <w:autoSpaceDE w:val="0"/>
        <w:autoSpaceDN w:val="0"/>
        <w:adjustRightInd w:val="0"/>
        <w:snapToGrid w:val="0"/>
        <w:ind w:firstLine="480"/>
        <w:jc w:val="left"/>
        <w:rPr>
          <w:rFonts w:cs="Times New Roman"/>
          <w:color w:val="000000"/>
          <w:kern w:val="0"/>
          <w:szCs w:val="24"/>
        </w:rPr>
      </w:pPr>
      <w:r>
        <w:rPr>
          <w:rFonts w:hint="eastAsia" w:cs="Times New Roman"/>
          <w:color w:val="000000"/>
          <w:kern w:val="0"/>
          <w:szCs w:val="24"/>
        </w:rPr>
        <w:t>在运输途中，由于各种意外原因，产生汽车翻等，危险货物有可能散落、抛出至大气、水体或陆域，造成重大环境灾害，对于这类风险事故，要求采取应急措施，包括工程应急措施和社会救援应急预案。</w:t>
      </w:r>
    </w:p>
    <w:p>
      <w:pPr>
        <w:widowControl/>
        <w:autoSpaceDE w:val="0"/>
        <w:autoSpaceDN w:val="0"/>
        <w:adjustRightInd w:val="0"/>
        <w:snapToGrid w:val="0"/>
        <w:ind w:firstLine="480"/>
        <w:jc w:val="left"/>
        <w:rPr>
          <w:rFonts w:cs="Times New Roman"/>
          <w:color w:val="000000"/>
          <w:kern w:val="0"/>
          <w:szCs w:val="24"/>
        </w:rPr>
      </w:pPr>
      <w:r>
        <w:rPr>
          <w:rFonts w:hint="eastAsia" w:cs="Times New Roman"/>
          <w:color w:val="000000"/>
          <w:kern w:val="0"/>
          <w:szCs w:val="24"/>
        </w:rPr>
        <w:t>包装过程要求包装材料与危险物相适应、包装封口与危险物相适应；包装标志执行</w:t>
      </w:r>
      <w:r>
        <w:rPr>
          <w:rFonts w:cs="Times New Roman"/>
          <w:color w:val="000000"/>
          <w:kern w:val="0"/>
          <w:szCs w:val="24"/>
        </w:rPr>
        <w:t>GB190-85</w:t>
      </w:r>
      <w:r>
        <w:rPr>
          <w:rFonts w:hint="eastAsia" w:cs="Times New Roman"/>
          <w:color w:val="000000"/>
          <w:kern w:val="0"/>
          <w:szCs w:val="24"/>
        </w:rPr>
        <w:t>《危险货物包装标志》和</w:t>
      </w:r>
      <w:r>
        <w:rPr>
          <w:rFonts w:cs="Times New Roman"/>
          <w:color w:val="000000"/>
          <w:kern w:val="0"/>
          <w:szCs w:val="24"/>
        </w:rPr>
        <w:t>GB191-85</w:t>
      </w:r>
      <w:r>
        <w:rPr>
          <w:rFonts w:hint="eastAsia" w:cs="Times New Roman"/>
          <w:color w:val="000000"/>
          <w:kern w:val="0"/>
          <w:szCs w:val="24"/>
        </w:rPr>
        <w:t>《危险货物运输图示标志》。</w:t>
      </w:r>
    </w:p>
    <w:p>
      <w:pPr>
        <w:widowControl/>
        <w:autoSpaceDE w:val="0"/>
        <w:autoSpaceDN w:val="0"/>
        <w:adjustRightInd w:val="0"/>
        <w:snapToGrid w:val="0"/>
        <w:ind w:firstLine="480"/>
        <w:jc w:val="left"/>
        <w:rPr>
          <w:rFonts w:cs="Times New Roman"/>
          <w:color w:val="000000"/>
          <w:kern w:val="0"/>
          <w:szCs w:val="24"/>
        </w:rPr>
      </w:pPr>
      <w:r>
        <w:rPr>
          <w:rFonts w:hint="eastAsia" w:cs="Times New Roman"/>
          <w:color w:val="000000"/>
          <w:kern w:val="0"/>
          <w:szCs w:val="24"/>
        </w:rPr>
        <w:t>运输过程应执行</w:t>
      </w:r>
      <w:r>
        <w:rPr>
          <w:rFonts w:cs="Times New Roman"/>
          <w:color w:val="000000"/>
          <w:kern w:val="0"/>
          <w:szCs w:val="24"/>
        </w:rPr>
        <w:t>GB12465-90</w:t>
      </w:r>
      <w:r>
        <w:rPr>
          <w:rFonts w:hint="eastAsia" w:cs="Times New Roman"/>
          <w:color w:val="000000"/>
          <w:kern w:val="0"/>
          <w:szCs w:val="24"/>
        </w:rPr>
        <w:t>《危险货物运输包装通用技术条件》和各种运输方式的《危险货物运输规则》。</w:t>
      </w:r>
    </w:p>
    <w:p>
      <w:pPr>
        <w:widowControl/>
        <w:adjustRightInd w:val="0"/>
        <w:snapToGrid w:val="0"/>
        <w:ind w:firstLine="480"/>
        <w:jc w:val="left"/>
        <w:rPr>
          <w:rFonts w:cs="Times New Roman"/>
          <w:color w:val="000000"/>
          <w:kern w:val="0"/>
          <w:szCs w:val="24"/>
        </w:rPr>
      </w:pPr>
      <w:r>
        <w:rPr>
          <w:rFonts w:hint="eastAsia" w:cs="Times New Roman"/>
          <w:color w:val="000000"/>
          <w:kern w:val="0"/>
          <w:szCs w:val="24"/>
        </w:rPr>
        <w:t>装卸过程要求防震、防撞、防倾斜；断火源、禁火种；通风和降温。</w:t>
      </w:r>
    </w:p>
    <w:p>
      <w:pPr>
        <w:pStyle w:val="739"/>
        <w:ind w:firstLine="480"/>
        <w:outlineLvl w:val="0"/>
        <w:rPr>
          <w:kern w:val="0"/>
        </w:rPr>
      </w:pPr>
      <w:bookmarkStart w:id="675" w:name="_Toc518548563"/>
      <w:bookmarkStart w:id="676" w:name="_Toc396948614"/>
      <w:bookmarkStart w:id="677" w:name="_Toc516504770"/>
      <w:bookmarkStart w:id="678" w:name="_Toc520218236"/>
      <w:bookmarkStart w:id="679" w:name="_Toc449514371"/>
      <w:r>
        <w:fldChar w:fldCharType="begin"/>
      </w:r>
      <w:r>
        <w:rPr>
          <w:kern w:val="0"/>
        </w:rPr>
        <w:instrText xml:space="preserve">= 2 \* GB2</w:instrText>
      </w:r>
      <w:r>
        <w:fldChar w:fldCharType="separate"/>
      </w:r>
      <w:bookmarkStart w:id="680" w:name="_Toc13582277"/>
      <w:bookmarkStart w:id="681" w:name="_Toc9403182"/>
      <w:bookmarkStart w:id="682" w:name="_Toc13760305"/>
      <w:bookmarkStart w:id="683" w:name="_Toc5286444"/>
      <w:r>
        <w:rPr>
          <w:rFonts w:hint="eastAsia"/>
          <w:kern w:val="0"/>
        </w:rPr>
        <w:t>⑵</w:t>
      </w:r>
      <w:r>
        <w:fldChar w:fldCharType="end"/>
      </w:r>
      <w:r>
        <w:rPr>
          <w:rFonts w:hint="eastAsia"/>
          <w:kern w:val="0"/>
        </w:rPr>
        <w:t>储罐区安全防范措施</w:t>
      </w:r>
      <w:bookmarkEnd w:id="675"/>
      <w:bookmarkEnd w:id="676"/>
      <w:bookmarkEnd w:id="677"/>
      <w:bookmarkEnd w:id="678"/>
      <w:bookmarkEnd w:id="679"/>
      <w:bookmarkEnd w:id="680"/>
      <w:bookmarkEnd w:id="681"/>
      <w:bookmarkEnd w:id="682"/>
      <w:bookmarkEnd w:id="683"/>
    </w:p>
    <w:p>
      <w:pPr>
        <w:pStyle w:val="739"/>
        <w:ind w:firstLine="480"/>
        <w:rPr>
          <w:kern w:val="0"/>
        </w:rPr>
      </w:pPr>
      <w:r>
        <w:rPr>
          <w:rFonts w:hint="eastAsia" w:ascii="宋体" w:hAnsi="宋体" w:cs="宋体"/>
          <w:kern w:val="0"/>
        </w:rPr>
        <w:t>①</w:t>
      </w:r>
      <w:r>
        <w:rPr>
          <w:rFonts w:hint="eastAsia"/>
          <w:kern w:val="0"/>
        </w:rPr>
        <w:t>贮罐在投入使用前必须经验收合格，包括贮罐外形尺寸、焊缝检测、充水实验、基础沉降等项目。使用前应清除杂物，吹扫、清洗经检测分析合格，仪表及安全附件齐备、准确。一切完好，方可投入使用。</w:t>
      </w:r>
    </w:p>
    <w:p>
      <w:pPr>
        <w:pStyle w:val="739"/>
        <w:ind w:firstLine="480"/>
        <w:rPr>
          <w:kern w:val="0"/>
        </w:rPr>
      </w:pPr>
      <w:r>
        <w:rPr>
          <w:rFonts w:hint="eastAsia" w:ascii="宋体" w:hAnsi="宋体" w:cs="宋体"/>
          <w:kern w:val="0"/>
        </w:rPr>
        <w:t>②</w:t>
      </w:r>
      <w:r>
        <w:rPr>
          <w:rFonts w:hint="eastAsia"/>
          <w:kern w:val="0"/>
        </w:rPr>
        <w:t>物料储存应专罐专用，未经许可，不得储存其他物料。</w:t>
      </w:r>
    </w:p>
    <w:p>
      <w:pPr>
        <w:pStyle w:val="739"/>
        <w:ind w:firstLine="480"/>
        <w:rPr>
          <w:kern w:val="0"/>
        </w:rPr>
      </w:pPr>
      <w:r>
        <w:rPr>
          <w:rFonts w:hint="eastAsia" w:ascii="宋体" w:hAnsi="宋体" w:cs="宋体"/>
          <w:kern w:val="0"/>
        </w:rPr>
        <w:t>③</w:t>
      </w:r>
      <w:r>
        <w:rPr>
          <w:rFonts w:hint="eastAsia"/>
          <w:kern w:val="0"/>
        </w:rPr>
        <w:t>管线使用：新建及日后拆修后管线投入使用，必须满足输送物料的工艺要求。管线附件齐全，吹扫、清洗、置换、试压等项目验收合格并有记录；管线防腐、保温完整；管线、阀门有编号；物料名称流向有标记。</w:t>
      </w:r>
    </w:p>
    <w:p>
      <w:pPr>
        <w:pStyle w:val="739"/>
        <w:ind w:firstLine="480"/>
        <w:rPr>
          <w:kern w:val="0"/>
        </w:rPr>
      </w:pPr>
      <w:r>
        <w:rPr>
          <w:rFonts w:hint="eastAsia"/>
          <w:kern w:val="0"/>
        </w:rPr>
        <w:t>新装或变换的管道首次输送物料，初速不宜大于</w:t>
      </w:r>
      <w:r>
        <w:rPr>
          <w:kern w:val="0"/>
        </w:rPr>
        <w:t>1m/s</w:t>
      </w:r>
      <w:r>
        <w:rPr>
          <w:rFonts w:hint="eastAsia"/>
          <w:kern w:val="0"/>
        </w:rPr>
        <w:t>，最大流速不大于</w:t>
      </w:r>
      <w:r>
        <w:rPr>
          <w:kern w:val="0"/>
        </w:rPr>
        <w:t>3m/s</w:t>
      </w:r>
      <w:r>
        <w:rPr>
          <w:rFonts w:hint="eastAsia"/>
          <w:kern w:val="0"/>
        </w:rPr>
        <w:t>；输送过程中操作人员应沿线巡视，检查管线法兰、焊缝、地点排空、管托等附件有否泄漏并及时处理；管线维修动火，应进行隔离、置换、吹扫、清洗，经检测合格，落实各项安全措施后方可动火维修，符合中华人民共和国化工行业</w:t>
      </w:r>
      <w:r>
        <w:rPr>
          <w:kern w:val="0"/>
        </w:rPr>
        <w:t>HG23011</w:t>
      </w:r>
      <w:r>
        <w:rPr>
          <w:rFonts w:hint="eastAsia"/>
          <w:kern w:val="0"/>
        </w:rPr>
        <w:t>～</w:t>
      </w:r>
      <w:r>
        <w:rPr>
          <w:kern w:val="0"/>
        </w:rPr>
        <w:t>23018-1999</w:t>
      </w:r>
      <w:r>
        <w:rPr>
          <w:rFonts w:hint="eastAsia"/>
          <w:kern w:val="0"/>
        </w:rPr>
        <w:t>标准的动火作业规程要求。</w:t>
      </w:r>
    </w:p>
    <w:p>
      <w:pPr>
        <w:pStyle w:val="739"/>
        <w:ind w:firstLine="480"/>
        <w:rPr>
          <w:kern w:val="0"/>
        </w:rPr>
      </w:pPr>
      <w:r>
        <w:rPr>
          <w:rFonts w:hint="eastAsia" w:ascii="宋体" w:hAnsi="宋体" w:cs="宋体"/>
          <w:kern w:val="0"/>
        </w:rPr>
        <w:t>④</w:t>
      </w:r>
      <w:r>
        <w:rPr>
          <w:rFonts w:hint="eastAsia"/>
          <w:kern w:val="0"/>
        </w:rPr>
        <w:t>物料泄漏、跑、冒、串料是罐区最常见、首要的事故隐患，是造成事故的主要原因之一，因此预防泄漏是安全工作的重要措施。</w:t>
      </w:r>
    </w:p>
    <w:p>
      <w:pPr>
        <w:pStyle w:val="739"/>
        <w:ind w:firstLine="480"/>
        <w:rPr>
          <w:kern w:val="0"/>
        </w:rPr>
      </w:pPr>
      <w:r>
        <w:rPr>
          <w:rFonts w:hint="eastAsia"/>
          <w:kern w:val="0"/>
        </w:rPr>
        <w:t>物料泄漏、跑、冒、串料其主要原因有：灌装跑料</w:t>
      </w:r>
      <w:r>
        <w:rPr>
          <w:kern w:val="0"/>
        </w:rPr>
        <w:t>(</w:t>
      </w:r>
      <w:r>
        <w:rPr>
          <w:rFonts w:hint="eastAsia"/>
          <w:kern w:val="0"/>
        </w:rPr>
        <w:t>槽车下卸口阀门未关；违章作业、控制不及时；液面自控失灵；物料流速快、压力高等</w:t>
      </w:r>
      <w:r>
        <w:rPr>
          <w:kern w:val="0"/>
        </w:rPr>
        <w:t>)</w:t>
      </w:r>
      <w:r>
        <w:rPr>
          <w:rFonts w:hint="eastAsia"/>
          <w:kern w:val="0"/>
        </w:rPr>
        <w:t>；设备、管线、阀门管件等跑料</w:t>
      </w:r>
      <w:r>
        <w:rPr>
          <w:kern w:val="0"/>
        </w:rPr>
        <w:t>(</w:t>
      </w:r>
      <w:r>
        <w:rPr>
          <w:rFonts w:hint="eastAsia"/>
          <w:kern w:val="0"/>
        </w:rPr>
        <w:t>设备、管线、阀门故障或损坏；使用材料不合格，如有砂眼等缺陷；管线或容器等长期使用，腐蚀，穿孔；垫片填料等密封、老化、失效；焊接质量不合格，存在焊接缺陷；违反操作规程，发生人为损坏等</w:t>
      </w:r>
      <w:r>
        <w:rPr>
          <w:kern w:val="0"/>
        </w:rPr>
        <w:t>)</w:t>
      </w:r>
      <w:r>
        <w:rPr>
          <w:rFonts w:hint="eastAsia"/>
          <w:kern w:val="0"/>
        </w:rPr>
        <w:t>；冒罐、串料</w:t>
      </w:r>
      <w:r>
        <w:rPr>
          <w:kern w:val="0"/>
        </w:rPr>
        <w:t>(</w:t>
      </w:r>
      <w:r>
        <w:rPr>
          <w:rFonts w:hint="eastAsia"/>
          <w:kern w:val="0"/>
        </w:rPr>
        <w:t>开错阀门；换错料罐；错误计量、超装；仪表失灵等</w:t>
      </w:r>
      <w:r>
        <w:rPr>
          <w:kern w:val="0"/>
        </w:rPr>
        <w:t>)</w:t>
      </w:r>
      <w:r>
        <w:rPr>
          <w:rFonts w:hint="eastAsia"/>
          <w:kern w:val="0"/>
        </w:rPr>
        <w:t>。</w:t>
      </w:r>
    </w:p>
    <w:p>
      <w:pPr>
        <w:pStyle w:val="739"/>
        <w:ind w:firstLine="480"/>
        <w:rPr>
          <w:kern w:val="0"/>
        </w:rPr>
      </w:pPr>
      <w:r>
        <w:rPr>
          <w:rFonts w:hint="eastAsia"/>
          <w:kern w:val="0"/>
        </w:rPr>
        <w:t>针对上述原因，在贮罐、设备及管线上应严把材质采购件质量关、施工安装质量关、验收关；储运、灌装过程应严格执行工序操作程序、安全技术操作规程，杜绝违章作业；严密监控贮罐中的物料温度、压力、液位指示，发现问题及时采取处理、应急措施。</w:t>
      </w:r>
    </w:p>
    <w:p>
      <w:pPr>
        <w:pStyle w:val="739"/>
        <w:ind w:firstLine="480"/>
        <w:rPr>
          <w:kern w:val="0"/>
        </w:rPr>
      </w:pPr>
      <w:bookmarkStart w:id="684" w:name="_Toc516504771"/>
      <w:bookmarkStart w:id="685" w:name="_Toc520218237"/>
      <w:bookmarkStart w:id="686" w:name="_Toc518548564"/>
      <w:r>
        <w:rPr>
          <w:rFonts w:hint="eastAsia" w:ascii="宋体" w:hAnsi="宋体" w:cs="宋体"/>
          <w:kern w:val="0"/>
        </w:rPr>
        <w:t>⑤</w:t>
      </w:r>
      <w:r>
        <w:rPr>
          <w:rFonts w:hint="eastAsia"/>
          <w:kern w:val="0"/>
        </w:rPr>
        <w:t>应急堵漏措施</w:t>
      </w:r>
      <w:bookmarkEnd w:id="684"/>
      <w:bookmarkEnd w:id="685"/>
      <w:bookmarkEnd w:id="686"/>
    </w:p>
    <w:p>
      <w:pPr>
        <w:pStyle w:val="739"/>
        <w:ind w:firstLine="480"/>
        <w:rPr>
          <w:kern w:val="0"/>
        </w:rPr>
      </w:pPr>
      <w:r>
        <w:rPr>
          <w:rFonts w:hint="eastAsia"/>
          <w:kern w:val="0"/>
        </w:rPr>
        <w:t>当设备发生泄漏时，应及时查明泄漏原因及泄漏程度，并采取相应措施。如大量泄漏，或是设备普遍性腐蚀减薄甚至失去机械强度时，则必须停用、更换设备。如停用设备难度大，或泄漏量不大，采取措施可以消除，则可由维修或专业技术人员进行消漏。其方法有：调整消漏法；机械堵漏法；赛孔堵漏法；焊补堵漏法；粘补堵漏法；胶封密封法。</w:t>
      </w:r>
    </w:p>
    <w:p>
      <w:pPr>
        <w:pStyle w:val="739"/>
        <w:ind w:firstLine="480"/>
        <w:rPr>
          <w:kern w:val="0"/>
        </w:rPr>
      </w:pPr>
      <w:r>
        <w:rPr>
          <w:rFonts w:hint="eastAsia"/>
          <w:kern w:val="0"/>
        </w:rPr>
        <w:t>贮罐根阀是造成泄漏的事故多发点之一，如因法兰垫片损坏、罐根阀冻裂或密封处内漏、开关不灵与不严等往往泄漏发生时较难处理，危害较大。处理措施：大量泄漏时，应立即设法堵封泄漏点，将罐内物料转移至它处后严格执行各项作业程序、安全技术操作规程，严防溢料、滴漏。</w:t>
      </w:r>
    </w:p>
    <w:p>
      <w:pPr>
        <w:pStyle w:val="739"/>
        <w:ind w:firstLine="480"/>
        <w:rPr>
          <w:kern w:val="0"/>
        </w:rPr>
      </w:pPr>
      <w:bookmarkStart w:id="687" w:name="_Toc520218238"/>
      <w:bookmarkStart w:id="688" w:name="_Toc518548565"/>
      <w:bookmarkStart w:id="689" w:name="_Toc516504772"/>
      <w:r>
        <w:rPr>
          <w:rFonts w:hint="eastAsia" w:ascii="宋体" w:hAnsi="宋体" w:cs="宋体"/>
          <w:kern w:val="0"/>
        </w:rPr>
        <w:t>⑥</w:t>
      </w:r>
      <w:r>
        <w:rPr>
          <w:rFonts w:hint="eastAsia"/>
          <w:kern w:val="0"/>
        </w:rPr>
        <w:t>注重膨胀损坏管线及设备</w:t>
      </w:r>
      <w:bookmarkEnd w:id="687"/>
      <w:bookmarkEnd w:id="688"/>
      <w:bookmarkEnd w:id="689"/>
    </w:p>
    <w:p>
      <w:pPr>
        <w:pStyle w:val="739"/>
        <w:ind w:firstLine="480"/>
        <w:rPr>
          <w:kern w:val="0"/>
        </w:rPr>
      </w:pPr>
      <w:r>
        <w:rPr>
          <w:rFonts w:hint="eastAsia"/>
          <w:kern w:val="0"/>
        </w:rPr>
        <w:t>由于储运物料为液体，具有一定的热胀冷缩特性。管线输送物料后，如不及时排空或采取泄压措施，当环境温度发生变化时，可能造成设备的胀裂、泄漏或吸瘪等事故，应采取以下对策：管线输料后，及时开好膨胀流程，或吹扫管线内介质；呼吸阀、安全阀等定时定期检查，保证完好；加强巡检，及时发现问题进行处理；及时更换垫片、更新设备。</w:t>
      </w:r>
    </w:p>
    <w:p>
      <w:pPr>
        <w:pStyle w:val="739"/>
        <w:ind w:firstLine="480"/>
        <w:rPr>
          <w:kern w:val="0"/>
        </w:rPr>
      </w:pPr>
      <w:r>
        <w:rPr>
          <w:rFonts w:hint="eastAsia"/>
          <w:kern w:val="0"/>
        </w:rPr>
        <w:t>输料泵的安全运行：泵的基础牢固，运行中不得有振动，轴向及径向振动应符合要求；对中测试时防止振动过大及联轴节异常磨损的有效方法，偏差要求</w:t>
      </w:r>
      <w:r>
        <w:rPr>
          <w:kern w:val="0"/>
        </w:rPr>
        <w:t>0.01</w:t>
      </w:r>
      <w:r>
        <w:rPr>
          <w:rFonts w:hint="eastAsia"/>
          <w:kern w:val="0"/>
        </w:rPr>
        <w:t>～</w:t>
      </w:r>
      <w:r>
        <w:rPr>
          <w:kern w:val="0"/>
        </w:rPr>
        <w:t>0.10mm</w:t>
      </w:r>
      <w:r>
        <w:rPr>
          <w:rFonts w:hint="eastAsia"/>
          <w:kern w:val="0"/>
        </w:rPr>
        <w:t>；检查轴承的运转状态，是否异常声响；壳体有否损坏及泄漏，壳体与叶片间隙有否摩擦；机械密封运行状态、松紧程度，密封液是否正常；检查出口压力是否正常；电机的启动电流及运行电流及热保护装置是否正常；泵前过滤器、滤网是否损坏，及时清洗。</w:t>
      </w:r>
    </w:p>
    <w:p>
      <w:pPr>
        <w:pStyle w:val="739"/>
        <w:ind w:firstLine="480"/>
        <w:rPr>
          <w:kern w:val="0"/>
        </w:rPr>
      </w:pPr>
      <w:r>
        <w:rPr>
          <w:rFonts w:hint="eastAsia"/>
          <w:kern w:val="0"/>
        </w:rPr>
        <w:t>阀门的检查保养。罐区的阀门很多，有的经常启闭，有的经常不启闭。为了保证阀门处于完好状态、确保安全应做到以下几点：阀门阀杆的螺纹部分应经常保持润滑，以减少摩擦，防止咬住，保证启闭灵活，每周应擦拭后加油</w:t>
      </w:r>
      <w:r>
        <w:rPr>
          <w:kern w:val="0"/>
        </w:rPr>
        <w:t>1</w:t>
      </w:r>
      <w:r>
        <w:rPr>
          <w:rFonts w:hint="eastAsia"/>
          <w:kern w:val="0"/>
        </w:rPr>
        <w:t>～</w:t>
      </w:r>
      <w:r>
        <w:rPr>
          <w:kern w:val="0"/>
        </w:rPr>
        <w:t>2</w:t>
      </w:r>
      <w:r>
        <w:rPr>
          <w:rFonts w:hint="eastAsia"/>
          <w:kern w:val="0"/>
        </w:rPr>
        <w:t>次，保持无尘土粘结，做好记录；对不经常启闭的阀门，要定期转动首轮，并在丝杆上抹适量的黄油，一般每月进行一次，做好记录；启闭阀门，禁止使用长杆或过分家常的阀门扳手，防止扳断手轮、手柄及扳弯丝杆和损坏密封面；阀门经常擦拭干净，保持清洁、无油渍，便于检修；每半年解体检修一次，清除闸楔口槽内积渣，同时更换阀门内垫，以确保阀门开启、关闭到位；经常检查盘根压块松紧是否合适，每年更换盘根一次，确保无渗漏；经常检查阀门法兰接口是否渗漏，即使更换损坏、失效的法兰密封垫圈；在阀门比较集中的主管进出管道、泵的进出管道标明输送介质名称和流向。</w:t>
      </w:r>
    </w:p>
    <w:p>
      <w:pPr>
        <w:pStyle w:val="739"/>
        <w:ind w:firstLine="480"/>
        <w:rPr>
          <w:kern w:val="0"/>
        </w:rPr>
      </w:pPr>
      <w:bookmarkStart w:id="690" w:name="_Toc520218239"/>
      <w:bookmarkStart w:id="691" w:name="_Toc516504773"/>
      <w:bookmarkStart w:id="692" w:name="_Toc518548566"/>
      <w:r>
        <w:rPr>
          <w:rFonts w:hint="eastAsia" w:ascii="宋体" w:hAnsi="宋体" w:cs="宋体"/>
          <w:kern w:val="0"/>
        </w:rPr>
        <w:t>⑦</w:t>
      </w:r>
      <w:r>
        <w:rPr>
          <w:rFonts w:hint="eastAsia"/>
          <w:kern w:val="0"/>
        </w:rPr>
        <w:t>储罐及管线、附件的防腐蚀对象</w:t>
      </w:r>
      <w:bookmarkEnd w:id="690"/>
      <w:bookmarkEnd w:id="691"/>
      <w:bookmarkEnd w:id="692"/>
    </w:p>
    <w:p>
      <w:pPr>
        <w:pStyle w:val="739"/>
        <w:ind w:firstLine="480"/>
        <w:rPr>
          <w:kern w:val="0"/>
        </w:rPr>
      </w:pPr>
      <w:r>
        <w:rPr>
          <w:rFonts w:hint="eastAsia"/>
          <w:kern w:val="0"/>
        </w:rPr>
        <w:t>企业的储罐、管线等在使用过程中会受到物料的腐蚀、大气腐蚀、土壤腐蚀等危害。防止腐蚀的主要措施有：合理选材，选取在实际环境条件下耐腐蚀并符合生产要求、效果好的金属或非金属材料。因材质质量缺陷或老化而破损，应定期检查，到期更换；正确设计，正确的生产工艺设计和结构设计既能满足生产的需求又使设备的腐蚀减小到最小程度；电化学保护；涂料保护及进行金属磷化、氧化处理；日常进行设备腐蚀程度检测，进行日常巡查和委托有资质单位进行定期检查，并判断设备、管线等的腐蚀速度。</w:t>
      </w:r>
    </w:p>
    <w:p>
      <w:pPr>
        <w:pStyle w:val="739"/>
        <w:ind w:firstLine="480"/>
        <w:outlineLvl w:val="0"/>
        <w:rPr>
          <w:kern w:val="0"/>
        </w:rPr>
      </w:pPr>
      <w:bookmarkStart w:id="693" w:name="_Toc516504774"/>
      <w:bookmarkStart w:id="694" w:name="_Toc520218240"/>
      <w:bookmarkStart w:id="695" w:name="_Toc396948615"/>
      <w:bookmarkStart w:id="696" w:name="_Toc449514372"/>
      <w:bookmarkStart w:id="697" w:name="_Toc518548567"/>
      <w:r>
        <w:fldChar w:fldCharType="begin"/>
      </w:r>
      <w:r>
        <w:rPr>
          <w:kern w:val="0"/>
        </w:rPr>
        <w:instrText xml:space="preserve">= 3 \* GB2</w:instrText>
      </w:r>
      <w:r>
        <w:fldChar w:fldCharType="separate"/>
      </w:r>
      <w:bookmarkStart w:id="698" w:name="_Toc5286445"/>
      <w:bookmarkStart w:id="699" w:name="_Toc9403183"/>
      <w:bookmarkStart w:id="700" w:name="_Toc13582278"/>
      <w:bookmarkStart w:id="701" w:name="_Toc13760306"/>
      <w:r>
        <w:rPr>
          <w:rFonts w:hint="eastAsia"/>
          <w:kern w:val="0"/>
        </w:rPr>
        <w:t>⑶</w:t>
      </w:r>
      <w:r>
        <w:fldChar w:fldCharType="end"/>
      </w:r>
      <w:r>
        <w:rPr>
          <w:rFonts w:hint="eastAsia"/>
          <w:kern w:val="0"/>
        </w:rPr>
        <w:t>危险品仓库的安全防范措施</w:t>
      </w:r>
      <w:bookmarkEnd w:id="693"/>
      <w:bookmarkEnd w:id="694"/>
      <w:bookmarkEnd w:id="695"/>
      <w:bookmarkEnd w:id="696"/>
      <w:bookmarkEnd w:id="697"/>
      <w:bookmarkEnd w:id="698"/>
      <w:bookmarkEnd w:id="699"/>
      <w:bookmarkEnd w:id="700"/>
      <w:bookmarkEnd w:id="701"/>
    </w:p>
    <w:p>
      <w:pPr>
        <w:pStyle w:val="739"/>
        <w:ind w:firstLine="480"/>
        <w:rPr>
          <w:kern w:val="0"/>
        </w:rPr>
      </w:pPr>
      <w:r>
        <w:rPr>
          <w:rFonts w:hint="eastAsia" w:ascii="宋体" w:hAnsi="宋体" w:cs="宋体"/>
          <w:kern w:val="0"/>
        </w:rPr>
        <w:t>①</w:t>
      </w:r>
      <w:r>
        <w:rPr>
          <w:rFonts w:hint="eastAsia"/>
          <w:kern w:val="0"/>
        </w:rPr>
        <w:t>贮存条件：各种化学品隔离储存；储存于阴凉、通风仓库内；远离火种、热源；仓库内温度不宜超过</w:t>
      </w:r>
      <w:r>
        <w:rPr>
          <w:kern w:val="0"/>
        </w:rPr>
        <w:t>30</w:t>
      </w:r>
      <w:r>
        <w:rPr>
          <w:rFonts w:hint="eastAsia" w:ascii="宋体" w:hAnsi="宋体" w:cs="宋体"/>
          <w:kern w:val="0"/>
        </w:rPr>
        <w:t>℃</w:t>
      </w:r>
      <w:r>
        <w:rPr>
          <w:rFonts w:hint="eastAsia"/>
          <w:kern w:val="0"/>
        </w:rPr>
        <w:t>，相对湿度在</w:t>
      </w:r>
      <w:r>
        <w:rPr>
          <w:kern w:val="0"/>
        </w:rPr>
        <w:t>80%</w:t>
      </w:r>
      <w:r>
        <w:rPr>
          <w:rFonts w:hint="eastAsia"/>
          <w:kern w:val="0"/>
        </w:rPr>
        <w:t>以下；防止曝晒、应符合《易燃易爆性商品储藏养护技术条件》、《腐蚀性商品储藏养护技术条件》《毒害性商品储藏养护技术条件》要求。</w:t>
      </w:r>
    </w:p>
    <w:p>
      <w:pPr>
        <w:pStyle w:val="739"/>
        <w:ind w:firstLine="480"/>
        <w:rPr>
          <w:kern w:val="0"/>
        </w:rPr>
      </w:pPr>
      <w:r>
        <w:rPr>
          <w:rFonts w:hint="eastAsia" w:ascii="宋体" w:hAnsi="宋体" w:cs="宋体"/>
          <w:kern w:val="0"/>
        </w:rPr>
        <w:t>②</w:t>
      </w:r>
      <w:r>
        <w:rPr>
          <w:rFonts w:hint="eastAsia"/>
          <w:kern w:val="0"/>
        </w:rPr>
        <w:t>仓储场所应设置醒目的安全标志，严禁各类火种。</w:t>
      </w:r>
    </w:p>
    <w:p>
      <w:pPr>
        <w:pStyle w:val="739"/>
        <w:ind w:firstLine="480"/>
        <w:rPr>
          <w:kern w:val="0"/>
        </w:rPr>
      </w:pPr>
      <w:r>
        <w:rPr>
          <w:rFonts w:hint="eastAsia" w:ascii="宋体" w:hAnsi="宋体" w:cs="宋体"/>
          <w:kern w:val="0"/>
        </w:rPr>
        <w:t>③</w:t>
      </w:r>
      <w:r>
        <w:rPr>
          <w:rFonts w:hint="eastAsia"/>
          <w:kern w:val="0"/>
        </w:rPr>
        <w:t>根据物料的特性确定其类别实行隔离储存。仓储物料应实行定置管理，包装容器标识应清楚。项目储存中无禁忌类物料。</w:t>
      </w:r>
    </w:p>
    <w:p>
      <w:pPr>
        <w:pStyle w:val="739"/>
        <w:ind w:firstLine="480"/>
        <w:rPr>
          <w:kern w:val="0"/>
        </w:rPr>
      </w:pPr>
      <w:r>
        <w:rPr>
          <w:rFonts w:hint="eastAsia" w:ascii="宋体" w:hAnsi="宋体" w:cs="宋体"/>
          <w:kern w:val="0"/>
        </w:rPr>
        <w:t>④</w:t>
      </w:r>
      <w:r>
        <w:rPr>
          <w:rFonts w:hint="eastAsia"/>
          <w:kern w:val="0"/>
        </w:rPr>
        <w:t>贮存危险化学品建筑物、区域内严禁吸烟和使用明火。</w:t>
      </w:r>
    </w:p>
    <w:p>
      <w:pPr>
        <w:pStyle w:val="739"/>
        <w:ind w:firstLine="480"/>
        <w:rPr>
          <w:kern w:val="0"/>
        </w:rPr>
      </w:pPr>
      <w:r>
        <w:rPr>
          <w:rFonts w:hint="eastAsia" w:ascii="宋体" w:hAnsi="宋体" w:cs="宋体"/>
          <w:kern w:val="0"/>
        </w:rPr>
        <w:t>⑤</w:t>
      </w:r>
      <w:r>
        <w:rPr>
          <w:rFonts w:hint="eastAsia"/>
          <w:kern w:val="0"/>
        </w:rPr>
        <w:t>危险化学品入库时，应严格检验物品质量、数量、包装情况、有无泄漏，并建立严格的出入库管理制度。加强对包装容器的检查，必须使用定点资质单位生产的包装容器。</w:t>
      </w:r>
    </w:p>
    <w:p>
      <w:pPr>
        <w:pStyle w:val="739"/>
        <w:ind w:firstLine="480"/>
        <w:rPr>
          <w:kern w:val="0"/>
        </w:rPr>
      </w:pPr>
      <w:r>
        <w:rPr>
          <w:rFonts w:hint="eastAsia" w:ascii="宋体" w:hAnsi="宋体" w:cs="宋体"/>
          <w:kern w:val="0"/>
        </w:rPr>
        <w:t>⑥</w:t>
      </w:r>
      <w:r>
        <w:rPr>
          <w:rFonts w:hint="eastAsia"/>
          <w:kern w:val="0"/>
        </w:rPr>
        <w:t>危险化学品的运输，项目应委托具备相应资质单位承运。厂区内物料的搬运应注意谨慎操作，不得摔、碰、撞、击、拖拉和滚动等，防止包装容器破损、物料泄漏而导致的事故。</w:t>
      </w:r>
    </w:p>
    <w:p>
      <w:pPr>
        <w:pStyle w:val="739"/>
        <w:ind w:firstLine="480"/>
        <w:rPr>
          <w:kern w:val="0"/>
        </w:rPr>
      </w:pPr>
      <w:r>
        <w:rPr>
          <w:rFonts w:hint="eastAsia" w:ascii="宋体" w:hAnsi="宋体" w:cs="宋体"/>
          <w:kern w:val="0"/>
        </w:rPr>
        <w:t>⑦</w:t>
      </w:r>
      <w:r>
        <w:rPr>
          <w:rFonts w:hint="eastAsia"/>
          <w:kern w:val="0"/>
        </w:rPr>
        <w:t>储罐等设有计量级的液位计，万一达到高液位时，</w:t>
      </w:r>
      <w:r>
        <w:rPr>
          <w:kern w:val="0"/>
        </w:rPr>
        <w:t>DCS</w:t>
      </w:r>
      <w:r>
        <w:rPr>
          <w:rFonts w:hint="eastAsia"/>
          <w:kern w:val="0"/>
        </w:rPr>
        <w:t>报警并自动关闭储罐进口阀门，以保证罐区及整个工厂的安全。储罐外壁涂隔热涂料；设有就地温度计、远传温度计，在现场和中央控制室监测储罐温度的变化。罐区均设固定泡沫灭火系统、固定水喷淋系统及干粉灭火器；罐区周围设环形消防道。</w:t>
      </w:r>
    </w:p>
    <w:p>
      <w:pPr>
        <w:pStyle w:val="739"/>
        <w:ind w:firstLine="480"/>
        <w:rPr>
          <w:kern w:val="0"/>
        </w:rPr>
      </w:pPr>
      <w:r>
        <w:rPr>
          <w:rFonts w:hint="eastAsia" w:ascii="宋体" w:hAnsi="宋体" w:cs="宋体"/>
          <w:kern w:val="0"/>
        </w:rPr>
        <w:t>⑧</w:t>
      </w:r>
      <w:r>
        <w:rPr>
          <w:rFonts w:hint="eastAsia"/>
          <w:kern w:val="0"/>
        </w:rPr>
        <w:t>参照《石油化工企业设计防火规范》（</w:t>
      </w:r>
      <w:r>
        <w:rPr>
          <w:kern w:val="0"/>
        </w:rPr>
        <w:t>GB50160-2008</w:t>
      </w:r>
      <w:r>
        <w:rPr>
          <w:rFonts w:hint="eastAsia"/>
          <w:kern w:val="0"/>
        </w:rPr>
        <w:t>）第</w:t>
      </w:r>
      <w:r>
        <w:rPr>
          <w:kern w:val="0"/>
        </w:rPr>
        <w:t>5.3.7</w:t>
      </w:r>
      <w:r>
        <w:rPr>
          <w:rFonts w:hint="eastAsia"/>
          <w:kern w:val="0"/>
        </w:rPr>
        <w:t>条低温常压储罐应设围堰，有效容积应为一个最大罐容积的</w:t>
      </w:r>
      <w:r>
        <w:rPr>
          <w:kern w:val="0"/>
        </w:rPr>
        <w:t>60%</w:t>
      </w:r>
      <w:r>
        <w:rPr>
          <w:rFonts w:hint="eastAsia"/>
          <w:kern w:val="0"/>
        </w:rPr>
        <w:t>。</w:t>
      </w:r>
    </w:p>
    <w:p>
      <w:pPr>
        <w:pStyle w:val="739"/>
        <w:ind w:firstLine="480"/>
        <w:rPr>
          <w:kern w:val="0"/>
        </w:rPr>
      </w:pPr>
      <w:r>
        <w:rPr>
          <w:rFonts w:hint="eastAsia" w:ascii="宋体" w:hAnsi="宋体" w:cs="宋体"/>
          <w:kern w:val="0"/>
        </w:rPr>
        <w:t>⑨</w:t>
      </w:r>
      <w:r>
        <w:rPr>
          <w:rFonts w:hint="eastAsia"/>
          <w:kern w:val="0"/>
        </w:rPr>
        <w:t>参照《石油化工企业设计防火规范》规定，罐区四周应设导液沟，使泄漏液体能顺利地流出罐区并自流入应急池内；事故应急池距储罐不应小于</w:t>
      </w:r>
      <w:r>
        <w:rPr>
          <w:kern w:val="0"/>
        </w:rPr>
        <w:t>30m</w:t>
      </w:r>
      <w:r>
        <w:rPr>
          <w:rFonts w:hint="eastAsia"/>
          <w:kern w:val="0"/>
        </w:rPr>
        <w:t>；事故应急池和导液沟距明火地点不应小于</w:t>
      </w:r>
      <w:r>
        <w:rPr>
          <w:kern w:val="0"/>
        </w:rPr>
        <w:t>30m</w:t>
      </w:r>
      <w:r>
        <w:rPr>
          <w:rFonts w:hint="eastAsia"/>
          <w:kern w:val="0"/>
        </w:rPr>
        <w:t>；事故应急池应有排水措施等。</w:t>
      </w:r>
    </w:p>
    <w:p>
      <w:pPr>
        <w:pStyle w:val="739"/>
        <w:ind w:firstLine="480"/>
        <w:rPr>
          <w:kern w:val="0"/>
        </w:rPr>
      </w:pPr>
      <w:r>
        <w:rPr>
          <w:rFonts w:hint="eastAsia"/>
          <w:kern w:val="0"/>
        </w:rPr>
        <w:t>危险化学品运输采用相应的安全防护措施：</w:t>
      </w:r>
    </w:p>
    <w:p>
      <w:pPr>
        <w:pStyle w:val="739"/>
        <w:ind w:firstLine="480"/>
        <w:rPr>
          <w:rFonts w:cs="Times New Roman"/>
          <w:kern w:val="0"/>
        </w:rPr>
      </w:pPr>
      <w:r>
        <w:rPr>
          <w:rFonts w:cs="Times New Roman"/>
          <w:kern w:val="0"/>
        </w:rPr>
        <w:fldChar w:fldCharType="begin"/>
      </w:r>
      <w:r>
        <w:rPr>
          <w:rFonts w:cs="Times New Roman"/>
          <w:kern w:val="0"/>
        </w:rPr>
        <w:instrText xml:space="preserve"> = 1 \* roman </w:instrText>
      </w:r>
      <w:r>
        <w:rPr>
          <w:rFonts w:cs="Times New Roman"/>
          <w:kern w:val="0"/>
        </w:rPr>
        <w:fldChar w:fldCharType="separate"/>
      </w:r>
      <w:r>
        <w:rPr>
          <w:rFonts w:cs="Times New Roman"/>
          <w:kern w:val="0"/>
        </w:rPr>
        <w:t>i</w:t>
      </w:r>
      <w:r>
        <w:rPr>
          <w:rFonts w:cs="Times New Roman"/>
          <w:kern w:val="0"/>
        </w:rPr>
        <w:fldChar w:fldCharType="end"/>
      </w:r>
      <w:r>
        <w:rPr>
          <w:rFonts w:cs="Times New Roman"/>
          <w:kern w:val="0"/>
        </w:rPr>
        <w:t>.</w:t>
      </w:r>
      <w:r>
        <w:rPr>
          <w:rFonts w:hint="eastAsia" w:cs="Times New Roman"/>
          <w:kern w:val="0"/>
        </w:rPr>
        <w:t>委托有危险化学品运输资质的运输企业承运。</w:t>
      </w:r>
    </w:p>
    <w:p>
      <w:pPr>
        <w:pStyle w:val="739"/>
        <w:ind w:firstLine="480"/>
        <w:rPr>
          <w:rFonts w:cs="Times New Roman"/>
          <w:kern w:val="0"/>
        </w:rPr>
      </w:pPr>
      <w:r>
        <w:rPr>
          <w:rFonts w:cs="Times New Roman"/>
          <w:kern w:val="0"/>
        </w:rPr>
        <w:fldChar w:fldCharType="begin"/>
      </w:r>
      <w:r>
        <w:rPr>
          <w:rFonts w:cs="Times New Roman"/>
          <w:kern w:val="0"/>
        </w:rPr>
        <w:instrText xml:space="preserve"> = 2 \* roman </w:instrText>
      </w:r>
      <w:r>
        <w:rPr>
          <w:rFonts w:cs="Times New Roman"/>
          <w:kern w:val="0"/>
        </w:rPr>
        <w:fldChar w:fldCharType="separate"/>
      </w:r>
      <w:r>
        <w:rPr>
          <w:rFonts w:cs="Times New Roman"/>
          <w:kern w:val="0"/>
        </w:rPr>
        <w:t>ii</w:t>
      </w:r>
      <w:r>
        <w:rPr>
          <w:rFonts w:cs="Times New Roman"/>
          <w:kern w:val="0"/>
        </w:rPr>
        <w:fldChar w:fldCharType="end"/>
      </w:r>
      <w:r>
        <w:rPr>
          <w:rFonts w:cs="Times New Roman"/>
          <w:kern w:val="0"/>
        </w:rPr>
        <w:t>.</w:t>
      </w:r>
      <w:r>
        <w:rPr>
          <w:rFonts w:hint="eastAsia" w:cs="Times New Roman"/>
          <w:kern w:val="0"/>
        </w:rPr>
        <w:t>运输车辆必须由专业生产企业定点生产，并经检测、检验合格，方可使用。运输危险化学品的驾驶员、船员、装卸人员和押运人员必须了解所运载的危险化学品的性质、危害特性、使用特性和发生意外时的应急措施。运输危险化学品，必须配备必要的应急处理器材和防护用品。</w:t>
      </w:r>
    </w:p>
    <w:p>
      <w:pPr>
        <w:pStyle w:val="739"/>
        <w:ind w:firstLine="480"/>
        <w:rPr>
          <w:rFonts w:cs="Times New Roman"/>
          <w:kern w:val="0"/>
        </w:rPr>
      </w:pPr>
      <w:r>
        <w:rPr>
          <w:rFonts w:cs="Times New Roman"/>
          <w:kern w:val="0"/>
        </w:rPr>
        <w:fldChar w:fldCharType="begin"/>
      </w:r>
      <w:r>
        <w:rPr>
          <w:rFonts w:cs="Times New Roman"/>
          <w:kern w:val="0"/>
        </w:rPr>
        <w:instrText xml:space="preserve"> = 3 \* roman </w:instrText>
      </w:r>
      <w:r>
        <w:rPr>
          <w:rFonts w:cs="Times New Roman"/>
          <w:kern w:val="0"/>
        </w:rPr>
        <w:fldChar w:fldCharType="separate"/>
      </w:r>
      <w:r>
        <w:rPr>
          <w:rFonts w:cs="Times New Roman"/>
          <w:kern w:val="0"/>
        </w:rPr>
        <w:t>iii</w:t>
      </w:r>
      <w:r>
        <w:rPr>
          <w:rFonts w:cs="Times New Roman"/>
          <w:kern w:val="0"/>
        </w:rPr>
        <w:fldChar w:fldCharType="end"/>
      </w:r>
      <w:r>
        <w:rPr>
          <w:rFonts w:cs="Times New Roman"/>
          <w:kern w:val="0"/>
        </w:rPr>
        <w:t>.</w:t>
      </w:r>
      <w:r>
        <w:rPr>
          <w:rFonts w:hint="eastAsia" w:cs="Times New Roman"/>
          <w:kern w:val="0"/>
        </w:rPr>
        <w:t>向承运人说明运输的危险化学品的品名、数量、危害、应急措施等情况。</w:t>
      </w:r>
    </w:p>
    <w:p>
      <w:pPr>
        <w:pStyle w:val="739"/>
        <w:ind w:firstLine="480"/>
        <w:rPr>
          <w:rFonts w:cs="Times New Roman"/>
          <w:kern w:val="0"/>
        </w:rPr>
      </w:pPr>
      <w:r>
        <w:rPr>
          <w:rFonts w:cs="Times New Roman"/>
          <w:kern w:val="0"/>
        </w:rPr>
        <w:fldChar w:fldCharType="begin"/>
      </w:r>
      <w:r>
        <w:rPr>
          <w:rFonts w:cs="Times New Roman"/>
          <w:kern w:val="0"/>
        </w:rPr>
        <w:instrText xml:space="preserve"> = 4 \* roman </w:instrText>
      </w:r>
      <w:r>
        <w:rPr>
          <w:rFonts w:cs="Times New Roman"/>
          <w:kern w:val="0"/>
        </w:rPr>
        <w:fldChar w:fldCharType="separate"/>
      </w:r>
      <w:r>
        <w:rPr>
          <w:rFonts w:cs="Times New Roman"/>
          <w:kern w:val="0"/>
        </w:rPr>
        <w:t>iv</w:t>
      </w:r>
      <w:r>
        <w:rPr>
          <w:rFonts w:cs="Times New Roman"/>
          <w:kern w:val="0"/>
        </w:rPr>
        <w:fldChar w:fldCharType="end"/>
      </w:r>
      <w:r>
        <w:rPr>
          <w:rFonts w:cs="Times New Roman"/>
          <w:kern w:val="0"/>
        </w:rPr>
        <w:t>.</w:t>
      </w:r>
      <w:r>
        <w:rPr>
          <w:rFonts w:hint="eastAsia" w:cs="Times New Roman"/>
          <w:kern w:val="0"/>
        </w:rPr>
        <w:t>在公路运输途中发生被盗、丢失、流散、泄漏等情况时，立即向当地公安部门报告，并采取一切可能的警示措施。</w:t>
      </w:r>
    </w:p>
    <w:p>
      <w:pPr>
        <w:pStyle w:val="739"/>
        <w:ind w:firstLine="480"/>
        <w:rPr>
          <w:rFonts w:cs="Times New Roman"/>
          <w:kern w:val="0"/>
        </w:rPr>
      </w:pPr>
      <w:bookmarkStart w:id="702" w:name="_Toc520218241"/>
      <w:bookmarkStart w:id="703" w:name="_Toc516504775"/>
      <w:bookmarkStart w:id="704" w:name="_Toc518548568"/>
      <w:r>
        <w:fldChar w:fldCharType="begin"/>
      </w:r>
      <w:r>
        <w:rPr>
          <w:rFonts w:cs="Times New Roman"/>
          <w:kern w:val="0"/>
        </w:rPr>
        <w:instrText xml:space="preserve"> = 5 \* roman </w:instrText>
      </w:r>
      <w:r>
        <w:fldChar w:fldCharType="separate"/>
      </w:r>
      <w:r>
        <w:rPr>
          <w:rFonts w:cs="Times New Roman"/>
          <w:kern w:val="0"/>
        </w:rPr>
        <w:t>v</w:t>
      </w:r>
      <w:r>
        <w:fldChar w:fldCharType="end"/>
      </w:r>
      <w:r>
        <w:rPr>
          <w:rFonts w:cs="Times New Roman"/>
          <w:kern w:val="0"/>
        </w:rPr>
        <w:t>.</w:t>
      </w:r>
      <w:r>
        <w:rPr>
          <w:rFonts w:hint="eastAsia" w:cs="Times New Roman"/>
          <w:kern w:val="0"/>
        </w:rPr>
        <w:t>事故应急救援</w:t>
      </w:r>
      <w:bookmarkEnd w:id="702"/>
      <w:bookmarkEnd w:id="703"/>
      <w:bookmarkEnd w:id="704"/>
    </w:p>
    <w:p>
      <w:pPr>
        <w:pStyle w:val="739"/>
        <w:ind w:firstLine="480"/>
        <w:rPr>
          <w:kern w:val="0"/>
        </w:rPr>
      </w:pPr>
      <w:r>
        <w:rPr>
          <w:rFonts w:hint="eastAsia"/>
          <w:kern w:val="0"/>
        </w:rPr>
        <w:t>在运输过程中发生事故，单位主要负责人应当按照本单位制定的应急救援预案，立即组织救援。</w:t>
      </w:r>
    </w:p>
    <w:p>
      <w:pPr>
        <w:pStyle w:val="6"/>
        <w:rPr>
          <w:rFonts w:asciiTheme="majorHAnsi" w:hAnsiTheme="majorHAnsi"/>
          <w:kern w:val="0"/>
        </w:rPr>
      </w:pPr>
      <w:r>
        <w:rPr>
          <w:kern w:val="0"/>
        </w:rPr>
        <w:t>8.7.1.3</w:t>
      </w:r>
      <w:r>
        <w:rPr>
          <w:rFonts w:hint="eastAsia" w:ascii="宋体" w:hAnsi="宋体" w:eastAsia="宋体" w:cs="宋体"/>
          <w:kern w:val="0"/>
        </w:rPr>
        <w:t>工艺技术设计安全防范措施</w:t>
      </w:r>
    </w:p>
    <w:p>
      <w:pPr>
        <w:pStyle w:val="183"/>
        <w:snapToGrid w:val="0"/>
        <w:rPr>
          <w:rFonts w:ascii="Times New Roman"/>
          <w:kern w:val="0"/>
        </w:rPr>
      </w:pPr>
      <w:r>
        <w:rPr>
          <w:rFonts w:ascii="Times New Roman"/>
          <w:kern w:val="0"/>
        </w:rPr>
        <w:t>(1)</w:t>
      </w:r>
      <w:r>
        <w:rPr>
          <w:rFonts w:hint="eastAsia" w:ascii="Times New Roman"/>
          <w:kern w:val="0"/>
        </w:rPr>
        <w:t>散发有毒气体车间等应注意通风和安装集气罩和排气扇，减少有害物质的积累和对操作人员的伤害，有利于有毒气体的扩散。</w:t>
      </w:r>
    </w:p>
    <w:p>
      <w:pPr>
        <w:pStyle w:val="183"/>
        <w:snapToGrid w:val="0"/>
        <w:rPr>
          <w:rFonts w:ascii="Times New Roman"/>
          <w:kern w:val="0"/>
        </w:rPr>
      </w:pPr>
      <w:r>
        <w:rPr>
          <w:rFonts w:ascii="Times New Roman"/>
          <w:kern w:val="0"/>
        </w:rPr>
        <w:t>(2)</w:t>
      </w:r>
      <w:r>
        <w:rPr>
          <w:rFonts w:hint="eastAsia" w:ascii="Times New Roman"/>
          <w:kern w:val="0"/>
        </w:rPr>
        <w:t>选用转速小的低噪音设备，增设消音、隔声设施。如空气鼓风机等进口管道加设消音器，从而降低噪声对人体的危害。</w:t>
      </w:r>
    </w:p>
    <w:p>
      <w:pPr>
        <w:pStyle w:val="183"/>
        <w:snapToGrid w:val="0"/>
        <w:rPr>
          <w:rFonts w:ascii="Times New Roman"/>
          <w:kern w:val="0"/>
        </w:rPr>
      </w:pPr>
      <w:r>
        <w:rPr>
          <w:rFonts w:ascii="Times New Roman"/>
          <w:kern w:val="0"/>
        </w:rPr>
        <w:t>(3)</w:t>
      </w:r>
      <w:r>
        <w:rPr>
          <w:rFonts w:hint="eastAsia" w:ascii="Times New Roman"/>
          <w:kern w:val="0"/>
        </w:rPr>
        <w:t>为防止蒸汽等对人体的灼伤。在必要的位置设置冲洗管、洗眼器，万一出现有毒化学品泄漏，喷射伤人时可及时应急冲洗处理。</w:t>
      </w:r>
    </w:p>
    <w:p>
      <w:pPr>
        <w:pStyle w:val="183"/>
        <w:snapToGrid w:val="0"/>
        <w:rPr>
          <w:rFonts w:ascii="Times New Roman"/>
          <w:kern w:val="0"/>
        </w:rPr>
      </w:pPr>
      <w:r>
        <w:rPr>
          <w:rFonts w:ascii="Times New Roman"/>
          <w:kern w:val="0"/>
        </w:rPr>
        <w:t>(4)</w:t>
      </w:r>
      <w:r>
        <w:rPr>
          <w:rFonts w:hint="eastAsia" w:ascii="Times New Roman"/>
          <w:kern w:val="0"/>
        </w:rPr>
        <w:t>对运转设备、阀门、管道材质的选型选用先进、可靠的产品。对压力容器的设计制造严格遵守有关规范、规定执行。</w:t>
      </w:r>
    </w:p>
    <w:p>
      <w:pPr>
        <w:pStyle w:val="183"/>
        <w:snapToGrid w:val="0"/>
        <w:rPr>
          <w:rFonts w:ascii="Times New Roman"/>
          <w:kern w:val="0"/>
        </w:rPr>
      </w:pPr>
      <w:r>
        <w:rPr>
          <w:rFonts w:ascii="Times New Roman"/>
          <w:kern w:val="0"/>
        </w:rPr>
        <w:t>(5)</w:t>
      </w:r>
      <w:r>
        <w:rPr>
          <w:rFonts w:hint="eastAsia" w:ascii="Times New Roman"/>
          <w:kern w:val="0"/>
        </w:rPr>
        <w:t>在各危险地点和危险设备处，设置防护罩、防护栏等隔离设施，并设立安全标志或涂刷相应的安全色。</w:t>
      </w:r>
    </w:p>
    <w:p>
      <w:pPr>
        <w:pStyle w:val="183"/>
        <w:snapToGrid w:val="0"/>
        <w:rPr>
          <w:rFonts w:ascii="Times New Roman"/>
          <w:kern w:val="0"/>
        </w:rPr>
      </w:pPr>
      <w:r>
        <w:rPr>
          <w:rFonts w:ascii="Times New Roman"/>
          <w:kern w:val="0"/>
        </w:rPr>
        <w:t>(6)</w:t>
      </w:r>
      <w:r>
        <w:rPr>
          <w:rFonts w:hint="eastAsia" w:ascii="Times New Roman"/>
          <w:kern w:val="0"/>
        </w:rPr>
        <w:t>对产生高温的设备、管道，均采取保温隔热措施。在一些温度较高的岗位设置机械通风，在一般休息室、生活室设电风扇，控制室设空调系统。凡高温</w:t>
      </w:r>
      <w:r>
        <w:rPr>
          <w:rFonts w:ascii="Times New Roman"/>
          <w:kern w:val="0"/>
        </w:rPr>
        <w:t>(</w:t>
      </w:r>
      <w:r>
        <w:rPr>
          <w:rFonts w:hint="eastAsia" w:ascii="Times New Roman"/>
          <w:kern w:val="0"/>
        </w:rPr>
        <w:t>外表面温度超过</w:t>
      </w:r>
      <w:r>
        <w:rPr>
          <w:rFonts w:ascii="Times New Roman"/>
          <w:kern w:val="0"/>
        </w:rPr>
        <w:t>60</w:t>
      </w:r>
      <w:r>
        <w:rPr>
          <w:rFonts w:hint="eastAsia" w:ascii="Times New Roman"/>
          <w:kern w:val="0"/>
        </w:rPr>
        <w:t>℃</w:t>
      </w:r>
      <w:r>
        <w:rPr>
          <w:rFonts w:ascii="Times New Roman"/>
          <w:kern w:val="0"/>
        </w:rPr>
        <w:t>)</w:t>
      </w:r>
      <w:r>
        <w:rPr>
          <w:rFonts w:hint="eastAsia" w:ascii="Times New Roman"/>
          <w:kern w:val="0"/>
        </w:rPr>
        <w:t>的设备及管道在行人可能触及的地方一律采用隔热材料隔离，以防高温烫伤。</w:t>
      </w:r>
    </w:p>
    <w:p>
      <w:pPr>
        <w:pStyle w:val="183"/>
        <w:snapToGrid w:val="0"/>
        <w:rPr>
          <w:rFonts w:ascii="Times New Roman"/>
          <w:kern w:val="0"/>
        </w:rPr>
      </w:pPr>
      <w:r>
        <w:rPr>
          <w:rFonts w:ascii="Times New Roman"/>
          <w:kern w:val="0"/>
        </w:rPr>
        <w:t>(7)</w:t>
      </w:r>
      <w:r>
        <w:rPr>
          <w:rFonts w:hint="eastAsia" w:ascii="Times New Roman"/>
          <w:kern w:val="0"/>
        </w:rPr>
        <w:t>在有可能泄漏危废的地方设置事故洗眼淋浴器。生产现场配置防毒面具、耐酸手套和胶靴、安全帽、防护眼镜和胶皮手套，进入高浓度作业区时应戴防毒面具，车间常备救护用具及药品。</w:t>
      </w:r>
    </w:p>
    <w:p>
      <w:pPr>
        <w:pStyle w:val="183"/>
        <w:snapToGrid w:val="0"/>
        <w:rPr>
          <w:rFonts w:ascii="Times New Roman"/>
          <w:kern w:val="0"/>
        </w:rPr>
      </w:pPr>
      <w:r>
        <w:rPr>
          <w:rFonts w:ascii="Times New Roman"/>
          <w:kern w:val="0"/>
        </w:rPr>
        <w:t>(8)</w:t>
      </w:r>
      <w:r>
        <w:rPr>
          <w:rFonts w:hint="eastAsia" w:ascii="Times New Roman"/>
          <w:kern w:val="0"/>
        </w:rPr>
        <w:t>所有转动设备的传动部分，均有安全可行的保护设施。防止机械运动而发生意外人身伤害，如皮带、联轴器等均加安全罩。</w:t>
      </w:r>
    </w:p>
    <w:p>
      <w:pPr>
        <w:pStyle w:val="183"/>
        <w:snapToGrid w:val="0"/>
        <w:rPr>
          <w:rFonts w:ascii="Times New Roman"/>
          <w:kern w:val="0"/>
        </w:rPr>
      </w:pPr>
      <w:r>
        <w:rPr>
          <w:rFonts w:ascii="Times New Roman"/>
          <w:kern w:val="0"/>
        </w:rPr>
        <w:t>(9)</w:t>
      </w:r>
      <w:r>
        <w:rPr>
          <w:rFonts w:hint="eastAsia" w:ascii="Times New Roman"/>
          <w:kern w:val="0"/>
        </w:rPr>
        <w:t>为满足运输、消防、检修的要求，凡穿越道路的管架净空设计不得小于</w:t>
      </w:r>
      <w:r>
        <w:rPr>
          <w:rFonts w:ascii="Times New Roman"/>
          <w:kern w:val="0"/>
        </w:rPr>
        <w:t>5.0m</w:t>
      </w:r>
      <w:r>
        <w:rPr>
          <w:rFonts w:hint="eastAsia" w:ascii="Times New Roman"/>
          <w:kern w:val="0"/>
        </w:rPr>
        <w:t>。新建主要道路呈环型布置，主要运输道路宽度取</w:t>
      </w:r>
      <w:r>
        <w:rPr>
          <w:rFonts w:ascii="Times New Roman"/>
          <w:kern w:val="0"/>
        </w:rPr>
        <w:t>7m</w:t>
      </w:r>
      <w:r>
        <w:rPr>
          <w:rFonts w:hint="eastAsia" w:ascii="Times New Roman"/>
          <w:kern w:val="0"/>
        </w:rPr>
        <w:t>，其他的取</w:t>
      </w:r>
      <w:r>
        <w:rPr>
          <w:rFonts w:ascii="Times New Roman"/>
          <w:kern w:val="0"/>
        </w:rPr>
        <w:t>5m</w:t>
      </w:r>
      <w:r>
        <w:rPr>
          <w:rFonts w:hint="eastAsia" w:ascii="Times New Roman"/>
          <w:kern w:val="0"/>
        </w:rPr>
        <w:t>，道路面层采用混凝土面层。</w:t>
      </w:r>
    </w:p>
    <w:p>
      <w:pPr>
        <w:pStyle w:val="183"/>
        <w:snapToGrid w:val="0"/>
        <w:rPr>
          <w:rFonts w:ascii="Times New Roman"/>
          <w:kern w:val="0"/>
        </w:rPr>
      </w:pPr>
      <w:r>
        <w:rPr>
          <w:rFonts w:ascii="Times New Roman"/>
          <w:kern w:val="0"/>
        </w:rPr>
        <w:t>(10)</w:t>
      </w:r>
      <w:r>
        <w:rPr>
          <w:rFonts w:hint="eastAsia" w:ascii="Times New Roman"/>
          <w:kern w:val="0"/>
        </w:rPr>
        <w:t>在装置区设置安全防火标志，对各类消防设施涂刷相应的安全色。</w:t>
      </w:r>
    </w:p>
    <w:p>
      <w:pPr>
        <w:pStyle w:val="183"/>
        <w:snapToGrid w:val="0"/>
        <w:rPr>
          <w:rFonts w:ascii="Times New Roman"/>
          <w:kern w:val="0"/>
        </w:rPr>
      </w:pPr>
      <w:r>
        <w:rPr>
          <w:rFonts w:ascii="Times New Roman"/>
          <w:kern w:val="0"/>
        </w:rPr>
        <w:t>(11)</w:t>
      </w:r>
      <w:r>
        <w:rPr>
          <w:rFonts w:hint="eastAsia" w:ascii="Times New Roman"/>
          <w:kern w:val="0"/>
        </w:rPr>
        <w:t>在装置区内储罐及沿道路设置消火栓和消防管网，并按规定在装置区内设置一定数量的手提式灭火器。</w:t>
      </w:r>
    </w:p>
    <w:p>
      <w:pPr>
        <w:pStyle w:val="739"/>
        <w:ind w:firstLine="480"/>
        <w:rPr>
          <w:kern w:val="0"/>
          <w:szCs w:val="21"/>
        </w:rPr>
      </w:pPr>
      <w:r>
        <w:rPr>
          <w:kern w:val="0"/>
          <w:szCs w:val="21"/>
        </w:rPr>
        <w:t>(12)</w:t>
      </w:r>
      <w:r>
        <w:rPr>
          <w:rFonts w:hint="eastAsia"/>
          <w:kern w:val="0"/>
          <w:szCs w:val="21"/>
        </w:rPr>
        <w:t>装置钢框架及设备裙座均采用相应的耐腐蚀材料。</w:t>
      </w:r>
    </w:p>
    <w:p>
      <w:pPr>
        <w:pStyle w:val="6"/>
        <w:rPr>
          <w:kern w:val="0"/>
        </w:rPr>
      </w:pPr>
      <w:r>
        <w:rPr>
          <w:kern w:val="0"/>
        </w:rPr>
        <w:t>8.7.1.</w:t>
      </w:r>
      <w:r>
        <w:rPr>
          <w:rFonts w:hint="eastAsia"/>
          <w:kern w:val="0"/>
        </w:rPr>
        <w:t>4储存系统风险防范措施</w:t>
      </w:r>
    </w:p>
    <w:p>
      <w:pPr>
        <w:snapToGrid w:val="0"/>
        <w:ind w:firstLine="480"/>
      </w:pPr>
      <w:r>
        <w:t>(1)</w:t>
      </w:r>
      <w:r>
        <w:rPr>
          <w:rFonts w:hint="eastAsia"/>
        </w:rPr>
        <w:t>防火、防爆、火灾报警系统</w:t>
      </w:r>
    </w:p>
    <w:p>
      <w:pPr>
        <w:snapToGrid w:val="0"/>
        <w:ind w:firstLine="480"/>
      </w:pPr>
      <w:r>
        <w:rPr>
          <w:rFonts w:hint="eastAsia" w:cs="宋体"/>
        </w:rPr>
        <w:t>①</w:t>
      </w:r>
      <w:r>
        <w:rPr>
          <w:rFonts w:hint="eastAsia"/>
        </w:rPr>
        <w:t>项目中的焚烧炉、余热锅炉、空压机及管道等，属于压力容器，设计选用均符合国家规定的压力容器标准，在设计、施工安装和运行过程中要严格按国家有关规定执行。</w:t>
      </w:r>
    </w:p>
    <w:p>
      <w:pPr>
        <w:snapToGrid w:val="0"/>
        <w:ind w:firstLine="480"/>
      </w:pPr>
      <w:r>
        <w:rPr>
          <w:rFonts w:hint="eastAsia" w:cs="宋体"/>
        </w:rPr>
        <w:t>②</w:t>
      </w:r>
      <w:r>
        <w:rPr>
          <w:rFonts w:hint="eastAsia"/>
        </w:rPr>
        <w:t>在工艺设计中，依据设计规范，考虑了各项安全措施，根据介质压力和温度，在设备、管道的材质和壁厚选择、阀门及各种管件的选择上，要有足够的安全裕度；锅炉给水保证水质，整个焚烧处理工艺采用完善的自控监测系统，对避免发生压力爆炸起到很好的保证作用。</w:t>
      </w:r>
    </w:p>
    <w:p>
      <w:pPr>
        <w:snapToGrid w:val="0"/>
        <w:ind w:firstLine="480"/>
      </w:pPr>
      <w:r>
        <w:rPr>
          <w:rFonts w:hint="eastAsia" w:cs="宋体"/>
        </w:rPr>
        <w:t>③</w:t>
      </w:r>
      <w:r>
        <w:rPr>
          <w:rFonts w:hint="eastAsia"/>
        </w:rPr>
        <w:t>火灾报警系统</w:t>
      </w:r>
    </w:p>
    <w:p>
      <w:pPr>
        <w:snapToGrid w:val="0"/>
        <w:ind w:firstLine="480"/>
      </w:pPr>
      <w:r>
        <w:rPr>
          <w:rFonts w:hint="eastAsia" w:cs="宋体"/>
        </w:rPr>
        <w:t>①</w:t>
      </w:r>
      <w:r>
        <w:rPr>
          <w:rFonts w:hint="eastAsia"/>
        </w:rPr>
        <w:t>工艺装置、储运设施的控制室应设火灾报警专用电话。</w:t>
      </w:r>
    </w:p>
    <w:p>
      <w:pPr>
        <w:snapToGrid w:val="0"/>
        <w:ind w:firstLine="480"/>
      </w:pPr>
      <w:r>
        <w:rPr>
          <w:rFonts w:hint="eastAsia" w:cs="宋体"/>
        </w:rPr>
        <w:t>②</w:t>
      </w:r>
      <w:r>
        <w:rPr>
          <w:rFonts w:hint="eastAsia"/>
        </w:rPr>
        <w:t>感烟、感温、火焰等自动报警器的信号装置应设置在其保护区的控制室或操作室内。</w:t>
      </w:r>
    </w:p>
    <w:p>
      <w:pPr>
        <w:snapToGrid w:val="0"/>
        <w:ind w:firstLine="480"/>
      </w:pPr>
      <w:r>
        <w:t>(2)</w:t>
      </w:r>
      <w:r>
        <w:rPr>
          <w:rFonts w:hint="eastAsia"/>
        </w:rPr>
        <w:t>危险化学品及危险废物贮存安全防范措施</w:t>
      </w:r>
    </w:p>
    <w:p>
      <w:pPr>
        <w:pStyle w:val="739"/>
        <w:ind w:firstLine="480"/>
        <w:outlineLvl w:val="0"/>
      </w:pPr>
      <w:bookmarkStart w:id="705" w:name="_Toc13760307"/>
      <w:bookmarkStart w:id="706" w:name="_Toc13582279"/>
      <w:r>
        <w:rPr>
          <w:rFonts w:hint="eastAsia" w:cs="宋体"/>
        </w:rPr>
        <w:t>①</w:t>
      </w:r>
      <w:r>
        <w:rPr>
          <w:rFonts w:hint="eastAsia"/>
        </w:rPr>
        <w:t>贮存场所的要求</w:t>
      </w:r>
      <w:bookmarkEnd w:id="705"/>
      <w:bookmarkEnd w:id="706"/>
    </w:p>
    <w:p>
      <w:pPr>
        <w:snapToGrid w:val="0"/>
        <w:ind w:firstLine="480"/>
      </w:pPr>
      <w:r>
        <w:rPr>
          <w:rFonts w:hint="eastAsia"/>
        </w:rPr>
        <w:t>为了保证废物运输和处置安全，各废物的贮存条件和设施必须严格按照有关文件中的要求执行，并要严格管理。</w:t>
      </w:r>
    </w:p>
    <w:p>
      <w:pPr>
        <w:snapToGrid w:val="0"/>
        <w:ind w:firstLine="480"/>
      </w:pPr>
      <w:r>
        <w:rPr>
          <w:rFonts w:hint="eastAsia"/>
        </w:rPr>
        <w:t>综合仓库、危废暂存库其耐火等级、层数、占地面积、安全疏散和防火间距，应符合国家有关规定。</w:t>
      </w:r>
    </w:p>
    <w:p>
      <w:pPr>
        <w:snapToGrid w:val="0"/>
        <w:ind w:firstLine="480"/>
      </w:pPr>
      <w:r>
        <w:rPr>
          <w:rFonts w:hint="eastAsia"/>
        </w:rPr>
        <w:t>危险化学品贮存建筑物、场所消防用电设备应能充分满足消防用电的需要；并符合《建筑设计防火规范》</w:t>
      </w:r>
      <w:r>
        <w:t>(GBJ16-87)(2001</w:t>
      </w:r>
      <w:r>
        <w:rPr>
          <w:rFonts w:hint="eastAsia"/>
        </w:rPr>
        <w:t>年版</w:t>
      </w:r>
      <w:r>
        <w:t>)</w:t>
      </w:r>
      <w:r>
        <w:rPr>
          <w:rFonts w:hint="eastAsia"/>
        </w:rPr>
        <w:t>的有关规定。</w:t>
      </w:r>
    </w:p>
    <w:p>
      <w:pPr>
        <w:snapToGrid w:val="0"/>
        <w:ind w:firstLine="480"/>
      </w:pPr>
      <w:r>
        <w:rPr>
          <w:rFonts w:hint="eastAsia"/>
        </w:rPr>
        <w:t>危险化学品贮存区域或建筑物内输配电线路、灯具、火灾事故照明和疏散指示标志，都应符合安全要求。</w:t>
      </w:r>
    </w:p>
    <w:p>
      <w:pPr>
        <w:snapToGrid w:val="0"/>
        <w:ind w:firstLine="480"/>
      </w:pPr>
      <w:r>
        <w:rPr>
          <w:rFonts w:hint="eastAsia"/>
        </w:rPr>
        <w:t>贮存危险化学品的建筑必须安装通风设备，并注意设备的防护措施；贮存危险化学品的建筑通排风系统应设有导除静电的接地装置；通风管应采用非燃烧材料制作；通风管道不宜穿过防火墙等防火分隔物，如必须穿过时应用非燃烧材料分隔；采暖管道和设备的保温材料，必须采用非燃烧材料。</w:t>
      </w:r>
    </w:p>
    <w:p>
      <w:pPr>
        <w:snapToGrid w:val="0"/>
        <w:ind w:firstLine="480"/>
      </w:pPr>
      <w:r>
        <w:rPr>
          <w:rFonts w:hint="eastAsia"/>
        </w:rPr>
        <w:t>对于进入厂区的危险废物进行暂存时，危险废物的暂存库要严格按照《危险废物贮存污染控制标准》中的有关规范进行设计和施工。</w:t>
      </w:r>
    </w:p>
    <w:p>
      <w:pPr>
        <w:snapToGrid w:val="0"/>
        <w:ind w:firstLine="480"/>
      </w:pPr>
      <w:r>
        <w:rPr>
          <w:rFonts w:hint="eastAsia"/>
        </w:rPr>
        <w:t>危险废物储存车间位于相对独立的小区，并在各小区之间采用道路相隔；车间地表进行严格的防渗处理，以防止盛装容器不慎破漏情况下不会外流进入环境。盛装危险废物的容器选取防倾倒泄漏容器，盛装粉末状废物的容器选取防吹散容器。</w:t>
      </w:r>
    </w:p>
    <w:p>
      <w:pPr>
        <w:snapToGrid w:val="0"/>
        <w:ind w:firstLine="480"/>
      </w:pPr>
      <w:r>
        <w:rPr>
          <w:rFonts w:hint="eastAsia"/>
        </w:rPr>
        <w:t>在各储罐四周均设置</w:t>
      </w:r>
      <w:r>
        <w:t>1m</w:t>
      </w:r>
      <w:r>
        <w:rPr>
          <w:rFonts w:hint="eastAsia"/>
        </w:rPr>
        <w:t>高的围堰。</w:t>
      </w:r>
    </w:p>
    <w:p>
      <w:pPr>
        <w:snapToGrid w:val="0"/>
        <w:ind w:firstLine="480"/>
      </w:pPr>
      <w:r>
        <w:rPr>
          <w:rFonts w:hint="eastAsia"/>
        </w:rPr>
        <w:t>生产装置、贮存区等附近场所以及需要提醒人员注意的地点均应按标准设置各种安全标志，凡需要迅速发现并引起注意以防止发生事故的场所、部位，均应按要求涂安全色。</w:t>
      </w:r>
    </w:p>
    <w:p>
      <w:pPr>
        <w:snapToGrid w:val="0"/>
        <w:ind w:firstLine="480"/>
      </w:pPr>
      <w:r>
        <w:rPr>
          <w:rFonts w:hint="eastAsia"/>
        </w:rPr>
        <w:t>企业在最高建筑物上应设立“风向标”。如有泄漏等重大事故发生时，根据风向对需要疏散的人员进行疏散至当时的上风向的安全点。</w:t>
      </w:r>
    </w:p>
    <w:p>
      <w:pPr>
        <w:pStyle w:val="739"/>
        <w:ind w:firstLine="480"/>
        <w:outlineLvl w:val="0"/>
      </w:pPr>
      <w:bookmarkStart w:id="707" w:name="_Toc13582280"/>
      <w:bookmarkStart w:id="708" w:name="_Toc13760308"/>
      <w:r>
        <w:rPr>
          <w:rFonts w:hint="eastAsia" w:cs="宋体"/>
        </w:rPr>
        <w:t>②</w:t>
      </w:r>
      <w:r>
        <w:rPr>
          <w:rFonts w:hint="eastAsia"/>
        </w:rPr>
        <w:t>贮存安排及贮存量限制</w:t>
      </w:r>
      <w:bookmarkEnd w:id="707"/>
      <w:bookmarkEnd w:id="708"/>
    </w:p>
    <w:p>
      <w:pPr>
        <w:snapToGrid w:val="0"/>
        <w:ind w:firstLine="480"/>
      </w:pPr>
      <w:r>
        <w:rPr>
          <w:rFonts w:hint="eastAsia"/>
        </w:rPr>
        <w:t>遇火、遇热、遇潮能引起燃烧、爆炸或发生化学反应，产生有毒气体的危险化学品不得在露天或在潮湿、积水的建筑物中贮存。</w:t>
      </w:r>
    </w:p>
    <w:p>
      <w:pPr>
        <w:snapToGrid w:val="0"/>
        <w:ind w:firstLine="480"/>
      </w:pPr>
      <w:r>
        <w:rPr>
          <w:rFonts w:hint="eastAsia"/>
        </w:rPr>
        <w:t>受日光照射能发生化学反应引起燃烧、爆炸、分解、化合或能产生有毒气体的危险化学品应贮存在一级建筑物中。其包装应采取避光措施。</w:t>
      </w:r>
    </w:p>
    <w:p>
      <w:pPr>
        <w:snapToGrid w:val="0"/>
        <w:ind w:firstLine="480"/>
      </w:pPr>
      <w:r>
        <w:rPr>
          <w:rFonts w:hint="eastAsia"/>
        </w:rPr>
        <w:t>易燃液体、遇湿易燃物品、易燃固体不得与氧化剂混合贮存，具有还原性氧化剂应单独存放。</w:t>
      </w:r>
    </w:p>
    <w:p>
      <w:pPr>
        <w:snapToGrid w:val="0"/>
        <w:ind w:firstLine="480"/>
      </w:pPr>
      <w:r>
        <w:rPr>
          <w:rFonts w:hint="eastAsia"/>
        </w:rPr>
        <w:t>有毒物品应贮存在阴凉、通风、干燥的场所，不要露天存放，不要接近酸类物质。</w:t>
      </w:r>
    </w:p>
    <w:p>
      <w:pPr>
        <w:snapToGrid w:val="0"/>
        <w:ind w:firstLine="480"/>
      </w:pPr>
      <w:r>
        <w:rPr>
          <w:rFonts w:hint="eastAsia"/>
        </w:rPr>
        <w:t>腐蚀性物品，包装必须严密，不允许泄漏，严禁与液化气体和其他物品共存。</w:t>
      </w:r>
    </w:p>
    <w:p>
      <w:pPr>
        <w:pStyle w:val="739"/>
        <w:ind w:firstLine="480"/>
        <w:outlineLvl w:val="0"/>
      </w:pPr>
      <w:bookmarkStart w:id="709" w:name="_Toc13760309"/>
      <w:bookmarkStart w:id="710" w:name="_Toc13582281"/>
      <w:r>
        <w:rPr>
          <w:rFonts w:hint="eastAsia" w:cs="宋体"/>
        </w:rPr>
        <w:t>③</w:t>
      </w:r>
      <w:r>
        <w:rPr>
          <w:rFonts w:hint="eastAsia"/>
        </w:rPr>
        <w:t>消防措施</w:t>
      </w:r>
      <w:bookmarkEnd w:id="709"/>
      <w:bookmarkEnd w:id="710"/>
    </w:p>
    <w:p>
      <w:pPr>
        <w:snapToGrid w:val="0"/>
        <w:ind w:firstLine="480"/>
      </w:pPr>
      <w:r>
        <w:rPr>
          <w:rFonts w:hint="eastAsia"/>
        </w:rPr>
        <w:t>根据危险品特性和仓库条件，必须配置相应的消防设备、设施和灭火药剂。并配备经过培训的兼职和专职的消防人员。</w:t>
      </w:r>
    </w:p>
    <w:p>
      <w:pPr>
        <w:snapToGrid w:val="0"/>
        <w:ind w:firstLine="480"/>
      </w:pPr>
      <w:r>
        <w:rPr>
          <w:rFonts w:hint="eastAsia"/>
        </w:rPr>
        <w:t>贮存危险化学品建筑物内应根据仓库条件安装自动监测和火灾报警系统。</w:t>
      </w:r>
    </w:p>
    <w:p>
      <w:pPr>
        <w:snapToGrid w:val="0"/>
        <w:ind w:firstLine="480"/>
      </w:pPr>
      <w:r>
        <w:rPr>
          <w:rFonts w:hint="eastAsia"/>
        </w:rPr>
        <w:t>贮存危险化学品的建筑物内，如条件允许，应安装灭火喷淋系统</w:t>
      </w:r>
      <w:r>
        <w:t>(</w:t>
      </w:r>
      <w:r>
        <w:rPr>
          <w:rFonts w:hint="eastAsia"/>
        </w:rPr>
        <w:t>遇水燃烧化学危险品，不可用水扑救的火灾除外</w:t>
      </w:r>
      <w:r>
        <w:t>)</w:t>
      </w:r>
      <w:r>
        <w:rPr>
          <w:rFonts w:hint="eastAsia"/>
        </w:rPr>
        <w:t>，其喷淋强度和供水时间如下：喷淋强度</w:t>
      </w:r>
      <w:r>
        <w:t>15L/(min•m</w:t>
      </w:r>
      <w:r>
        <w:rPr>
          <w:vertAlign w:val="superscript"/>
        </w:rPr>
        <w:t>2</w:t>
      </w:r>
      <w:r>
        <w:t>)</w:t>
      </w:r>
      <w:r>
        <w:rPr>
          <w:rFonts w:hint="eastAsia"/>
        </w:rPr>
        <w:t>；持续时间</w:t>
      </w:r>
      <w:r>
        <w:t>90min</w:t>
      </w:r>
      <w:r>
        <w:rPr>
          <w:rFonts w:hint="eastAsia"/>
        </w:rPr>
        <w:t>。</w:t>
      </w:r>
    </w:p>
    <w:p>
      <w:pPr>
        <w:pStyle w:val="739"/>
        <w:ind w:firstLine="480"/>
        <w:outlineLvl w:val="0"/>
      </w:pPr>
      <w:bookmarkStart w:id="711" w:name="_Toc13760310"/>
      <w:bookmarkStart w:id="712" w:name="_Toc13582282"/>
      <w:r>
        <w:rPr>
          <w:rFonts w:hint="eastAsia" w:cs="宋体"/>
        </w:rPr>
        <w:t>④</w:t>
      </w:r>
      <w:r>
        <w:rPr>
          <w:rFonts w:hint="eastAsia"/>
        </w:rPr>
        <w:t>防泄漏措施</w:t>
      </w:r>
      <w:bookmarkEnd w:id="711"/>
      <w:bookmarkEnd w:id="712"/>
    </w:p>
    <w:p>
      <w:pPr>
        <w:snapToGrid w:val="0"/>
        <w:ind w:firstLine="480"/>
      </w:pPr>
      <w:r>
        <w:rPr>
          <w:rFonts w:hint="eastAsia"/>
        </w:rPr>
        <w:t>暂存库应设置防止液体流散的设施，可在库房门修筑慢坡，或在库门口砌高门槛，再在门槛两边填沙土，形成慢坡，便于装卸。</w:t>
      </w:r>
    </w:p>
    <w:p>
      <w:pPr>
        <w:snapToGrid w:val="0"/>
        <w:ind w:firstLine="480"/>
      </w:pPr>
      <w:r>
        <w:rPr>
          <w:rFonts w:hint="eastAsia"/>
        </w:rPr>
        <w:t>可燃性液体的罐组应设防火堤。</w:t>
      </w:r>
    </w:p>
    <w:p>
      <w:pPr>
        <w:snapToGrid w:val="0"/>
        <w:ind w:firstLine="480"/>
      </w:pPr>
      <w:r>
        <w:rPr>
          <w:rFonts w:hint="eastAsia"/>
        </w:rPr>
        <w:t>有可燃液体设备的多层建筑物的楼板，应采取防止可燃液体渗透至下层的措施。</w:t>
      </w:r>
    </w:p>
    <w:p>
      <w:pPr>
        <w:snapToGrid w:val="0"/>
        <w:ind w:firstLine="480"/>
      </w:pPr>
      <w:r>
        <w:rPr>
          <w:rFonts w:hint="eastAsia"/>
        </w:rPr>
        <w:t>在暂存库外设一事故池。一旦液体废物泄漏量较大时，可将废物引入事故池，同时用便携式潜污泵将其泵至盛装危险废物的容器中或废水处理车间。</w:t>
      </w:r>
    </w:p>
    <w:p>
      <w:pPr>
        <w:snapToGrid w:val="0"/>
        <w:ind w:firstLine="480"/>
      </w:pPr>
      <w:r>
        <w:rPr>
          <w:rFonts w:hint="eastAsia"/>
        </w:rPr>
        <w:t>凡在开停工、检修过程中，可能有可燃液体泄漏、漫流的设备区周围，应设置不低于</w:t>
      </w:r>
      <w:r>
        <w:t>150mm</w:t>
      </w:r>
      <w:r>
        <w:rPr>
          <w:rFonts w:hint="eastAsia"/>
        </w:rPr>
        <w:t>的围堰和导液设施。</w:t>
      </w:r>
    </w:p>
    <w:p>
      <w:pPr>
        <w:pStyle w:val="739"/>
        <w:ind w:firstLine="480"/>
        <w:outlineLvl w:val="0"/>
      </w:pPr>
      <w:bookmarkStart w:id="713" w:name="_Toc13760311"/>
      <w:bookmarkStart w:id="714" w:name="_Toc13582283"/>
      <w:r>
        <w:rPr>
          <w:rFonts w:hint="eastAsia"/>
        </w:rPr>
        <w:t>⑤液态固废泄漏事故应急措施</w:t>
      </w:r>
      <w:bookmarkEnd w:id="713"/>
      <w:bookmarkEnd w:id="714"/>
    </w:p>
    <w:p>
      <w:pPr>
        <w:snapToGrid w:val="0"/>
        <w:ind w:firstLine="480"/>
      </w:pPr>
      <w:r>
        <w:rPr>
          <w:rFonts w:hint="eastAsia"/>
        </w:rPr>
        <w:t>若发生泄漏，则所有排液应尽可能收集，集中进行妥善处理，防止随意流散。企业应经常检查管道，定期系统试压、定期检漏。管道施工应按规范要求进行。</w:t>
      </w:r>
    </w:p>
    <w:p>
      <w:pPr>
        <w:snapToGrid w:val="0"/>
        <w:ind w:firstLine="480"/>
      </w:pPr>
      <w:r>
        <w:t>a.</w:t>
      </w:r>
      <w:r>
        <w:rPr>
          <w:rFonts w:hint="eastAsia"/>
        </w:rPr>
        <w:t>进入泄漏现场进行处理时，应注意安全防护</w:t>
      </w:r>
    </w:p>
    <w:p>
      <w:pPr>
        <w:snapToGrid w:val="0"/>
        <w:ind w:firstLine="480"/>
      </w:pPr>
      <w:r>
        <w:rPr>
          <w:rFonts w:hint="eastAsia"/>
        </w:rPr>
        <w:t>进入现场救援人员必须配备必要的个人防护器具。</w:t>
      </w:r>
    </w:p>
    <w:p>
      <w:pPr>
        <w:snapToGrid w:val="0"/>
        <w:ind w:firstLine="480"/>
      </w:pPr>
      <w:r>
        <w:rPr>
          <w:rFonts w:hint="eastAsia"/>
        </w:rPr>
        <w:t>如果泄漏物是易燃易爆的，事故中心区应严禁火种、切断电源、禁止车辆进入、立即在边界设置警戒线。根据事故情况和事故发展，确定事故波及区人员的撤离。</w:t>
      </w:r>
    </w:p>
    <w:p>
      <w:pPr>
        <w:snapToGrid w:val="0"/>
        <w:ind w:firstLine="480"/>
      </w:pPr>
      <w:r>
        <w:rPr>
          <w:rFonts w:hint="eastAsia"/>
        </w:rPr>
        <w:t>如果泄漏物是有毒的，应使用专用防护服、隔绝式空气面具。为了在现场上能正确使用和适应，平时应进行严格的适应性训练。立即在事故中心区边界设置警戒线。根据事故情况和事故发展，确定事故波及区人员的撤离。</w:t>
      </w:r>
    </w:p>
    <w:p>
      <w:pPr>
        <w:snapToGrid w:val="0"/>
        <w:ind w:firstLine="480"/>
      </w:pPr>
      <w:r>
        <w:rPr>
          <w:rFonts w:hint="eastAsia"/>
        </w:rPr>
        <w:t>应急处理时严禁单独行动，要有监控人，必要时用水枪、水炮掩护。</w:t>
      </w:r>
    </w:p>
    <w:p>
      <w:pPr>
        <w:snapToGrid w:val="0"/>
        <w:ind w:firstLine="480"/>
      </w:pPr>
      <w:r>
        <w:t>b.</w:t>
      </w:r>
      <w:r>
        <w:rPr>
          <w:rFonts w:hint="eastAsia"/>
        </w:rPr>
        <w:t>泄漏源控制</w:t>
      </w:r>
    </w:p>
    <w:p>
      <w:pPr>
        <w:snapToGrid w:val="0"/>
        <w:ind w:firstLine="480"/>
      </w:pPr>
      <w:r>
        <w:rPr>
          <w:rFonts w:hint="eastAsia"/>
        </w:rPr>
        <w:t>正在发生堵漏的，采用合适的材料和技术手段堵住泄漏处。</w:t>
      </w:r>
    </w:p>
    <w:p>
      <w:pPr>
        <w:snapToGrid w:val="0"/>
        <w:ind w:firstLine="480"/>
      </w:pPr>
      <w:r>
        <w:rPr>
          <w:rFonts w:hint="eastAsia"/>
        </w:rPr>
        <w:t>已经发生泄露的，用砂土或者生石灰在泄露处四周堵住防止再扩大。</w:t>
      </w:r>
    </w:p>
    <w:p>
      <w:pPr>
        <w:snapToGrid w:val="0"/>
        <w:ind w:firstLine="480"/>
      </w:pPr>
      <w:r>
        <w:t>c.</w:t>
      </w:r>
      <w:r>
        <w:rPr>
          <w:rFonts w:hint="eastAsia"/>
        </w:rPr>
        <w:t>泄漏物处理</w:t>
      </w:r>
    </w:p>
    <w:p>
      <w:pPr>
        <w:snapToGrid w:val="0"/>
        <w:ind w:firstLine="480"/>
      </w:pPr>
      <w:r>
        <w:rPr>
          <w:rFonts w:hint="eastAsia"/>
        </w:rPr>
        <w:t>围堤堵截：筑堤堵截泄漏液体或者引流到安全地点。贮区发生液体泄漏时，要及时关闭雨水阀，防止物料沿明沟外流。</w:t>
      </w:r>
    </w:p>
    <w:p>
      <w:pPr>
        <w:snapToGrid w:val="0"/>
        <w:ind w:firstLine="480"/>
      </w:pPr>
      <w:r>
        <w:rPr>
          <w:rFonts w:hint="eastAsia"/>
        </w:rPr>
        <w:t>稀释与覆盖：向有害物蒸汽云喷射雾状水，加速气体向高空扩散。对于可燃物，也可以在现场施放大量水蒸汽或氮气，破坏燃烧条件。对于液体泄漏，为降低物料向大气中的蒸发速度，可用泡沫或某他覆盖物品覆盖外泄的物料，在其表面形成覆盖层，抑制其蒸发。</w:t>
      </w:r>
    </w:p>
    <w:p>
      <w:pPr>
        <w:snapToGrid w:val="0"/>
        <w:ind w:firstLine="480"/>
      </w:pPr>
      <w:r>
        <w:rPr>
          <w:rFonts w:hint="eastAsia"/>
        </w:rPr>
        <w:t>收容</w:t>
      </w:r>
      <w:r>
        <w:t>(</w:t>
      </w:r>
      <w:r>
        <w:rPr>
          <w:rFonts w:hint="eastAsia"/>
        </w:rPr>
        <w:t>集</w:t>
      </w:r>
      <w:r>
        <w:t>)</w:t>
      </w:r>
      <w:r>
        <w:rPr>
          <w:rFonts w:hint="eastAsia"/>
        </w:rPr>
        <w:t>：对于大型泄漏，可选择用隔膜泵将泄漏出的物料抽入容器内或槽车内；当泄漏量小时，可用沙子、吸附材料、中和材料等吸收中和。</w:t>
      </w:r>
    </w:p>
    <w:p>
      <w:pPr>
        <w:snapToGrid w:val="0"/>
        <w:ind w:firstLine="480"/>
      </w:pPr>
      <w:r>
        <w:rPr>
          <w:rFonts w:hint="eastAsia"/>
        </w:rPr>
        <w:t>废弃：将收集的泄漏物运至废物处理场所处置。用消防水冲洗剩下的少量物料，冲洗水排入污水系统处理。</w:t>
      </w:r>
    </w:p>
    <w:p>
      <w:pPr>
        <w:snapToGrid w:val="0"/>
        <w:ind w:firstLine="480"/>
        <w:outlineLvl w:val="0"/>
      </w:pPr>
      <w:r>
        <w:rPr>
          <w:rFonts w:hint="eastAsia"/>
        </w:rPr>
        <w:t>⑥固态和半固态固废泄漏事故应急措施</w:t>
      </w:r>
    </w:p>
    <w:p>
      <w:pPr>
        <w:snapToGrid w:val="0"/>
        <w:ind w:firstLine="480"/>
      </w:pPr>
      <w:r>
        <w:rPr>
          <w:rFonts w:hint="eastAsia"/>
        </w:rPr>
        <w:t>储存过程中一旦出现储存容器破漏等事故，相应清理人员需采取如下措施：</w:t>
      </w:r>
    </w:p>
    <w:p>
      <w:pPr>
        <w:snapToGrid w:val="0"/>
        <w:ind w:firstLine="480"/>
      </w:pPr>
      <w:r>
        <w:t>a.</w:t>
      </w:r>
      <w:r>
        <w:rPr>
          <w:rFonts w:hint="eastAsia"/>
        </w:rPr>
        <w:t>立即设立隔离区，禁止其他车辆和行人穿过，避免污染物扩散和对行人造成伤害。</w:t>
      </w:r>
    </w:p>
    <w:p>
      <w:pPr>
        <w:snapToGrid w:val="0"/>
        <w:ind w:firstLine="480"/>
      </w:pPr>
      <w:r>
        <w:t>b.</w:t>
      </w:r>
      <w:r>
        <w:rPr>
          <w:rFonts w:hint="eastAsia"/>
        </w:rPr>
        <w:t>对溢出、散落的危险废物迅速进行收集、清理和消毒处理。对于液体溢出物采用吸附材料吸收处理。</w:t>
      </w:r>
    </w:p>
    <w:p>
      <w:pPr>
        <w:snapToGrid w:val="0"/>
        <w:ind w:firstLine="480"/>
      </w:pPr>
      <w:r>
        <w:t>c.</w:t>
      </w:r>
      <w:r>
        <w:rPr>
          <w:rFonts w:hint="eastAsia"/>
        </w:rPr>
        <w:t>清理人员在进行清理工作时须穿戴防护服、手套、口罩、靴等防护用品，清理工作结束后，用具和防护用品均须进行消毒处理。</w:t>
      </w:r>
    </w:p>
    <w:p>
      <w:pPr>
        <w:snapToGrid w:val="0"/>
        <w:ind w:firstLine="480"/>
      </w:pPr>
      <w:r>
        <w:t>d.</w:t>
      </w:r>
      <w:r>
        <w:rPr>
          <w:rFonts w:hint="eastAsia"/>
        </w:rPr>
        <w:t>如果在操作中，清理人员的身体</w:t>
      </w:r>
      <w:r>
        <w:t>(</w:t>
      </w:r>
      <w:r>
        <w:rPr>
          <w:rFonts w:hint="eastAsia"/>
        </w:rPr>
        <w:t>皮肤</w:t>
      </w:r>
      <w:r>
        <w:t>)</w:t>
      </w:r>
      <w:r>
        <w:rPr>
          <w:rFonts w:hint="eastAsia"/>
        </w:rPr>
        <w:t>不慎受到伤害，将及时采取处理措施，并到医院接受救治。</w:t>
      </w:r>
    </w:p>
    <w:p>
      <w:pPr>
        <w:pStyle w:val="739"/>
        <w:ind w:firstLine="480"/>
        <w:rPr>
          <w:kern w:val="0"/>
        </w:rPr>
      </w:pPr>
      <w:r>
        <w:t>e.</w:t>
      </w:r>
      <w:r>
        <w:rPr>
          <w:rFonts w:hint="eastAsia"/>
        </w:rPr>
        <w:t>清洁人员还须对被污染的现场地面进行消毒和清洁处理。</w:t>
      </w:r>
    </w:p>
    <w:p>
      <w:pPr>
        <w:pStyle w:val="6"/>
        <w:rPr>
          <w:rFonts w:asciiTheme="majorHAnsi" w:hAnsiTheme="majorHAnsi"/>
          <w:kern w:val="0"/>
        </w:rPr>
      </w:pPr>
      <w:r>
        <w:rPr>
          <w:kern w:val="0"/>
        </w:rPr>
        <w:t>8.7.1.</w:t>
      </w:r>
      <w:r>
        <w:rPr>
          <w:rFonts w:hint="eastAsia"/>
          <w:kern w:val="0"/>
        </w:rPr>
        <w:t>5</w:t>
      </w:r>
      <w:r>
        <w:rPr>
          <w:rFonts w:hint="eastAsia" w:ascii="宋体" w:hAnsi="宋体" w:eastAsia="宋体" w:cs="宋体"/>
          <w:kern w:val="0"/>
        </w:rPr>
        <w:t>物料泄漏事故的防范措施</w:t>
      </w:r>
    </w:p>
    <w:p>
      <w:pPr>
        <w:widowControl/>
        <w:autoSpaceDE w:val="0"/>
        <w:autoSpaceDN w:val="0"/>
        <w:adjustRightInd w:val="0"/>
        <w:snapToGrid w:val="0"/>
        <w:ind w:firstLine="480"/>
        <w:jc w:val="left"/>
        <w:rPr>
          <w:color w:val="000000"/>
          <w:kern w:val="0"/>
          <w:szCs w:val="24"/>
        </w:rPr>
      </w:pPr>
      <w:r>
        <w:rPr>
          <w:rFonts w:hint="eastAsia"/>
          <w:color w:val="000000"/>
          <w:kern w:val="0"/>
          <w:szCs w:val="24"/>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物料泄漏事故的预防：</w:t>
      </w:r>
    </w:p>
    <w:p>
      <w:pPr>
        <w:widowControl/>
        <w:adjustRightInd w:val="0"/>
        <w:snapToGrid w:val="0"/>
        <w:ind w:firstLine="480"/>
        <w:jc w:val="left"/>
        <w:rPr>
          <w:color w:val="000000"/>
          <w:kern w:val="0"/>
          <w:szCs w:val="24"/>
        </w:rPr>
      </w:pPr>
      <w:r>
        <w:rPr>
          <w:color w:val="000000"/>
          <w:kern w:val="0"/>
          <w:szCs w:val="24"/>
        </w:rPr>
        <w:fldChar w:fldCharType="begin"/>
      </w:r>
      <w:r>
        <w:rPr>
          <w:color w:val="000000"/>
          <w:kern w:val="0"/>
          <w:szCs w:val="24"/>
        </w:rPr>
        <w:instrText xml:space="preserve">= 1 \* GB2</w:instrText>
      </w:r>
      <w:r>
        <w:rPr>
          <w:color w:val="000000"/>
          <w:kern w:val="0"/>
          <w:szCs w:val="24"/>
        </w:rPr>
        <w:fldChar w:fldCharType="separate"/>
      </w:r>
      <w:r>
        <w:rPr>
          <w:rFonts w:hint="eastAsia"/>
          <w:color w:val="000000"/>
          <w:kern w:val="0"/>
          <w:szCs w:val="24"/>
        </w:rPr>
        <w:t>⑴</w:t>
      </w:r>
      <w:r>
        <w:rPr>
          <w:color w:val="000000"/>
          <w:kern w:val="0"/>
          <w:szCs w:val="24"/>
        </w:rPr>
        <w:fldChar w:fldCharType="end"/>
      </w:r>
      <w:r>
        <w:rPr>
          <w:rFonts w:hint="eastAsia"/>
          <w:color w:val="000000"/>
          <w:kern w:val="0"/>
          <w:szCs w:val="24"/>
          <w:lang w:val="zh-CN"/>
        </w:rPr>
        <w:t>装卸设备、照明设施、通讯设备均应使用防爆型设备。</w:t>
      </w:r>
    </w:p>
    <w:p>
      <w:pPr>
        <w:widowControl/>
        <w:adjustRightInd w:val="0"/>
        <w:snapToGrid w:val="0"/>
        <w:ind w:firstLine="480"/>
        <w:jc w:val="left"/>
        <w:rPr>
          <w:color w:val="000000"/>
          <w:kern w:val="0"/>
          <w:szCs w:val="24"/>
        </w:rPr>
      </w:pPr>
      <w:r>
        <w:rPr>
          <w:color w:val="000000"/>
          <w:kern w:val="0"/>
          <w:szCs w:val="24"/>
        </w:rPr>
        <w:fldChar w:fldCharType="begin"/>
      </w:r>
      <w:r>
        <w:rPr>
          <w:color w:val="000000"/>
          <w:kern w:val="0"/>
          <w:szCs w:val="24"/>
        </w:rPr>
        <w:instrText xml:space="preserve">= 2 \* GB2</w:instrText>
      </w:r>
      <w:r>
        <w:rPr>
          <w:color w:val="000000"/>
          <w:kern w:val="0"/>
          <w:szCs w:val="24"/>
        </w:rPr>
        <w:fldChar w:fldCharType="separate"/>
      </w:r>
      <w:r>
        <w:rPr>
          <w:rFonts w:hint="eastAsia"/>
          <w:color w:val="000000"/>
          <w:kern w:val="0"/>
          <w:szCs w:val="24"/>
        </w:rPr>
        <w:t>⑵</w:t>
      </w:r>
      <w:r>
        <w:rPr>
          <w:color w:val="000000"/>
          <w:kern w:val="0"/>
          <w:szCs w:val="24"/>
        </w:rPr>
        <w:fldChar w:fldCharType="end"/>
      </w:r>
      <w:r>
        <w:rPr>
          <w:rFonts w:hint="eastAsia"/>
          <w:color w:val="000000"/>
          <w:kern w:val="0"/>
          <w:szCs w:val="24"/>
          <w:lang w:val="zh-CN"/>
        </w:rPr>
        <w:t>在有易燃易爆物料可能泄漏的区域安装可燃气体探查仪，以便及早发现泄漏、及早处理；</w:t>
      </w:r>
    </w:p>
    <w:p>
      <w:pPr>
        <w:widowControl/>
        <w:adjustRightInd w:val="0"/>
        <w:snapToGrid w:val="0"/>
        <w:ind w:firstLine="480"/>
        <w:jc w:val="left"/>
        <w:rPr>
          <w:color w:val="000000"/>
          <w:kern w:val="0"/>
          <w:szCs w:val="24"/>
        </w:rPr>
      </w:pPr>
      <w:r>
        <w:rPr>
          <w:color w:val="000000"/>
          <w:kern w:val="0"/>
          <w:szCs w:val="24"/>
        </w:rPr>
        <w:fldChar w:fldCharType="begin"/>
      </w:r>
      <w:r>
        <w:rPr>
          <w:color w:val="000000"/>
          <w:kern w:val="0"/>
          <w:szCs w:val="24"/>
        </w:rPr>
        <w:instrText xml:space="preserve">= 3 \* GB2</w:instrText>
      </w:r>
      <w:r>
        <w:rPr>
          <w:color w:val="000000"/>
          <w:kern w:val="0"/>
          <w:szCs w:val="24"/>
        </w:rPr>
        <w:fldChar w:fldCharType="separate"/>
      </w:r>
      <w:r>
        <w:rPr>
          <w:rFonts w:hint="eastAsia"/>
          <w:color w:val="000000"/>
          <w:kern w:val="0"/>
          <w:szCs w:val="24"/>
        </w:rPr>
        <w:t>⑶</w:t>
      </w:r>
      <w:r>
        <w:rPr>
          <w:color w:val="000000"/>
          <w:kern w:val="0"/>
          <w:szCs w:val="24"/>
        </w:rPr>
        <w:fldChar w:fldCharType="end"/>
      </w:r>
      <w:r>
        <w:rPr>
          <w:rFonts w:hint="eastAsia"/>
          <w:color w:val="000000"/>
          <w:kern w:val="0"/>
          <w:szCs w:val="24"/>
          <w:lang w:val="zh-CN"/>
        </w:rPr>
        <w:t>在装卸液体化工品作业时，要严格管理，按章操作，尽量避免事故的发生；罐区设防火堤，以防止含油污水进入雨水管网，同时设污水集水池，污水经隔油预处理，接管至污水处理厂集中处理后达标排放。</w:t>
      </w:r>
    </w:p>
    <w:p>
      <w:pPr>
        <w:widowControl/>
        <w:adjustRightInd w:val="0"/>
        <w:snapToGrid w:val="0"/>
        <w:ind w:firstLine="480"/>
        <w:jc w:val="left"/>
        <w:rPr>
          <w:color w:val="000000"/>
          <w:kern w:val="0"/>
          <w:szCs w:val="24"/>
        </w:rPr>
      </w:pPr>
      <w:r>
        <w:rPr>
          <w:color w:val="000000"/>
          <w:kern w:val="0"/>
          <w:szCs w:val="24"/>
        </w:rPr>
        <w:fldChar w:fldCharType="begin"/>
      </w:r>
      <w:r>
        <w:rPr>
          <w:color w:val="000000"/>
          <w:kern w:val="0"/>
          <w:szCs w:val="24"/>
        </w:rPr>
        <w:instrText xml:space="preserve">= 4 \* GB2</w:instrText>
      </w:r>
      <w:r>
        <w:rPr>
          <w:color w:val="000000"/>
          <w:kern w:val="0"/>
          <w:szCs w:val="24"/>
        </w:rPr>
        <w:fldChar w:fldCharType="separate"/>
      </w:r>
      <w:r>
        <w:rPr>
          <w:rFonts w:hint="eastAsia"/>
          <w:color w:val="000000"/>
          <w:kern w:val="0"/>
          <w:szCs w:val="24"/>
        </w:rPr>
        <w:t>⑷</w:t>
      </w:r>
      <w:r>
        <w:rPr>
          <w:color w:val="000000"/>
          <w:kern w:val="0"/>
          <w:szCs w:val="24"/>
        </w:rPr>
        <w:fldChar w:fldCharType="end"/>
      </w:r>
      <w:r>
        <w:rPr>
          <w:rFonts w:hint="eastAsia"/>
          <w:color w:val="000000"/>
          <w:kern w:val="0"/>
          <w:szCs w:val="24"/>
          <w:lang w:val="zh-CN"/>
        </w:rPr>
        <w:t>经常检查管道接头和阀门处的密封情况，地上管道应防止汽车碰撞，并控制管道支撑的磨损。定期系统试压、定期检漏。</w:t>
      </w:r>
    </w:p>
    <w:p>
      <w:pPr>
        <w:widowControl/>
        <w:adjustRightInd w:val="0"/>
        <w:snapToGrid w:val="0"/>
        <w:ind w:firstLine="480"/>
        <w:jc w:val="left"/>
        <w:rPr>
          <w:color w:val="000000"/>
          <w:kern w:val="0"/>
          <w:szCs w:val="24"/>
          <w:lang w:val="zh-CN"/>
        </w:rPr>
      </w:pPr>
      <w:r>
        <w:rPr>
          <w:color w:val="000000"/>
          <w:kern w:val="0"/>
          <w:szCs w:val="24"/>
        </w:rPr>
        <w:fldChar w:fldCharType="begin"/>
      </w:r>
      <w:r>
        <w:rPr>
          <w:color w:val="000000"/>
          <w:kern w:val="0"/>
          <w:szCs w:val="24"/>
        </w:rPr>
        <w:instrText xml:space="preserve">= 5 \* GB2</w:instrText>
      </w:r>
      <w:r>
        <w:rPr>
          <w:color w:val="000000"/>
          <w:kern w:val="0"/>
          <w:szCs w:val="24"/>
        </w:rPr>
        <w:fldChar w:fldCharType="separate"/>
      </w:r>
      <w:r>
        <w:rPr>
          <w:rFonts w:hint="eastAsia"/>
          <w:color w:val="000000"/>
          <w:kern w:val="0"/>
          <w:szCs w:val="24"/>
        </w:rPr>
        <w:t>⑸</w:t>
      </w:r>
      <w:r>
        <w:rPr>
          <w:color w:val="000000"/>
          <w:kern w:val="0"/>
          <w:szCs w:val="24"/>
        </w:rPr>
        <w:fldChar w:fldCharType="end"/>
      </w:r>
      <w:r>
        <w:rPr>
          <w:rFonts w:hint="eastAsia"/>
          <w:color w:val="000000"/>
          <w:kern w:val="0"/>
          <w:szCs w:val="24"/>
          <w:lang w:val="zh-CN"/>
        </w:rPr>
        <w:t>对于小型跑冒滴漏，应有相应的预防及堵漏措施，防止泄漏事故的扩大。</w:t>
      </w:r>
    </w:p>
    <w:p>
      <w:pPr>
        <w:widowControl/>
        <w:adjustRightInd w:val="0"/>
        <w:snapToGrid w:val="0"/>
        <w:ind w:firstLine="480"/>
        <w:jc w:val="left"/>
        <w:rPr>
          <w:color w:val="000000"/>
          <w:kern w:val="0"/>
          <w:szCs w:val="24"/>
          <w:lang w:val="zh-CN"/>
        </w:rPr>
      </w:pPr>
      <w:r>
        <w:rPr>
          <w:color w:val="000000"/>
          <w:kern w:val="0"/>
          <w:szCs w:val="24"/>
        </w:rPr>
        <w:fldChar w:fldCharType="begin"/>
      </w:r>
      <w:r>
        <w:rPr>
          <w:color w:val="000000"/>
          <w:kern w:val="0"/>
          <w:szCs w:val="24"/>
        </w:rPr>
        <w:instrText xml:space="preserve">= 6 \* GB2</w:instrText>
      </w:r>
      <w:r>
        <w:rPr>
          <w:color w:val="000000"/>
          <w:kern w:val="0"/>
          <w:szCs w:val="24"/>
        </w:rPr>
        <w:fldChar w:fldCharType="separate"/>
      </w:r>
      <w:r>
        <w:rPr>
          <w:rFonts w:hint="eastAsia"/>
          <w:color w:val="000000"/>
          <w:kern w:val="0"/>
          <w:szCs w:val="24"/>
        </w:rPr>
        <w:t>⑹</w:t>
      </w:r>
      <w:r>
        <w:rPr>
          <w:color w:val="000000"/>
          <w:kern w:val="0"/>
          <w:szCs w:val="24"/>
        </w:rPr>
        <w:fldChar w:fldCharType="end"/>
      </w:r>
      <w:r>
        <w:rPr>
          <w:rFonts w:hint="eastAsia"/>
          <w:color w:val="000000"/>
          <w:kern w:val="0"/>
          <w:szCs w:val="24"/>
        </w:rPr>
        <w:t>储罐区应设立围堰，以收集事故泄漏的化学品和防止化学品的蔓延，将</w:t>
      </w:r>
      <w:r>
        <w:rPr>
          <w:rFonts w:hint="eastAsia"/>
          <w:color w:val="000000"/>
          <w:kern w:val="0"/>
          <w:szCs w:val="24"/>
          <w:lang w:val="zh-CN"/>
        </w:rPr>
        <w:t>事故影响降低为最低。</w:t>
      </w:r>
    </w:p>
    <w:p>
      <w:pPr>
        <w:pStyle w:val="6"/>
        <w:rPr>
          <w:rFonts w:asciiTheme="majorHAnsi" w:hAnsiTheme="majorHAnsi"/>
          <w:kern w:val="0"/>
          <w:lang w:val="zh-CN"/>
        </w:rPr>
      </w:pPr>
      <w:r>
        <w:rPr>
          <w:kern w:val="0"/>
          <w:lang w:val="zh-CN"/>
        </w:rPr>
        <w:t>8.7.1.</w:t>
      </w:r>
      <w:r>
        <w:rPr>
          <w:rFonts w:hint="eastAsia"/>
          <w:kern w:val="0"/>
          <w:lang w:val="zh-CN"/>
        </w:rPr>
        <w:t>6</w:t>
      </w:r>
      <w:r>
        <w:rPr>
          <w:rFonts w:hint="eastAsia" w:ascii="宋体" w:hAnsi="宋体" w:eastAsia="宋体" w:cs="宋体"/>
          <w:kern w:val="0"/>
          <w:lang w:val="zh-CN"/>
        </w:rPr>
        <w:t>焚烧系统风险防范措施</w:t>
      </w:r>
    </w:p>
    <w:p>
      <w:pPr>
        <w:snapToGrid w:val="0"/>
        <w:ind w:firstLine="480"/>
      </w:pPr>
      <w:r>
        <w:rPr>
          <w:rFonts w:cs="宋体"/>
        </w:rPr>
        <w:t>(1)</w:t>
      </w:r>
      <w:r>
        <w:rPr>
          <w:rFonts w:hint="eastAsia"/>
        </w:rPr>
        <w:t>严格执行分类鉴别和焚烧采样制度，杜绝不明特性废弃物进入焚烧炉，场内废物必须检查、检验和鉴别后分类暂存，防止不相容废物因不当暂存和发生危险。</w:t>
      </w:r>
    </w:p>
    <w:p>
      <w:pPr>
        <w:snapToGrid w:val="0"/>
        <w:ind w:firstLine="480"/>
      </w:pPr>
      <w:r>
        <w:rPr>
          <w:rFonts w:cs="宋体"/>
        </w:rPr>
        <w:t>(2)</w:t>
      </w:r>
      <w:r>
        <w:rPr>
          <w:rFonts w:hint="eastAsia"/>
        </w:rPr>
        <w:t>定期检修和大修是减少事故发生的重要措施。</w:t>
      </w:r>
    </w:p>
    <w:p>
      <w:pPr>
        <w:snapToGrid w:val="0"/>
        <w:ind w:firstLine="480"/>
      </w:pPr>
      <w:r>
        <w:rPr>
          <w:rFonts w:cs="宋体"/>
        </w:rPr>
        <w:t>(3)</w:t>
      </w:r>
      <w:r>
        <w:rPr>
          <w:rFonts w:hint="eastAsia"/>
        </w:rPr>
        <w:t>配备自动控制系统，在线显示运行工况，并自动反馈，对进料速率、引风机转速、一二次风量、焚烧温度等参数进行自动调节；在烟囱上设置尾气监测系统，实时监测向大气中排放的经过焚烧处理的废气的成分，如</w:t>
      </w:r>
      <w:r>
        <w:t>NOx</w:t>
      </w:r>
      <w:r>
        <w:rPr>
          <w:rFonts w:hint="eastAsia"/>
        </w:rPr>
        <w:t>、</w:t>
      </w:r>
      <w:r>
        <w:t>CO</w:t>
      </w:r>
      <w:r>
        <w:rPr>
          <w:rFonts w:hint="eastAsia"/>
        </w:rPr>
        <w:t>、</w:t>
      </w:r>
      <w:r>
        <w:t>CO</w:t>
      </w:r>
      <w:r>
        <w:rPr>
          <w:vertAlign w:val="subscript"/>
        </w:rPr>
        <w:t>2</w:t>
      </w:r>
      <w:r>
        <w:rPr>
          <w:rFonts w:hint="eastAsia"/>
        </w:rPr>
        <w:t>、</w:t>
      </w:r>
      <w:r>
        <w:t>SO</w:t>
      </w:r>
      <w:r>
        <w:rPr>
          <w:vertAlign w:val="subscript"/>
        </w:rPr>
        <w:t>2</w:t>
      </w:r>
      <w:r>
        <w:rPr>
          <w:rFonts w:hint="eastAsia"/>
        </w:rPr>
        <w:t>、</w:t>
      </w:r>
      <w:r>
        <w:t>HCl</w:t>
      </w:r>
      <w:r>
        <w:rPr>
          <w:rFonts w:hint="eastAsia"/>
        </w:rPr>
        <w:t>、烟尘等，当其中某项指标超限时，在控制室产生声光报警，同时启动联锁保护程序，使整个焚烧系统处于正常工作状态。</w:t>
      </w:r>
    </w:p>
    <w:p>
      <w:pPr>
        <w:snapToGrid w:val="0"/>
        <w:ind w:firstLine="480"/>
      </w:pPr>
      <w:r>
        <w:rPr>
          <w:rFonts w:cs="宋体"/>
        </w:rPr>
        <w:t>(4)</w:t>
      </w:r>
      <w:r>
        <w:rPr>
          <w:rFonts w:hint="eastAsia"/>
        </w:rPr>
        <w:t>焚烧炉一燃室内的温度达到</w:t>
      </w:r>
      <w:r>
        <w:t>850</w:t>
      </w:r>
      <w:r>
        <w:rPr>
          <w:rFonts w:hint="eastAsia" w:cs="宋体"/>
        </w:rPr>
        <w:t>℃</w:t>
      </w:r>
      <w:r>
        <w:rPr>
          <w:rFonts w:hint="eastAsia"/>
        </w:rPr>
        <w:t>以上才能进料，运营过程中炉内温度低于该温度时，启动助燃系统使温度上升后再进料；</w:t>
      </w:r>
    </w:p>
    <w:p>
      <w:pPr>
        <w:snapToGrid w:val="0"/>
        <w:ind w:firstLine="480"/>
      </w:pPr>
      <w:r>
        <w:rPr>
          <w:rFonts w:cs="宋体"/>
        </w:rPr>
        <w:t>(5)</w:t>
      </w:r>
      <w:r>
        <w:rPr>
          <w:rFonts w:hint="eastAsia"/>
        </w:rPr>
        <w:t>二燃室温度须高于</w:t>
      </w:r>
      <w:r>
        <w:t>1100</w:t>
      </w:r>
      <w:r>
        <w:rPr>
          <w:rFonts w:hint="eastAsia" w:cs="宋体"/>
        </w:rPr>
        <w:t>℃</w:t>
      </w:r>
      <w:r>
        <w:rPr>
          <w:rFonts w:hint="eastAsia"/>
        </w:rPr>
        <w:t>，且在足够供氧情况下烟气停留时间大于</w:t>
      </w:r>
      <w:r>
        <w:t>2</w:t>
      </w:r>
      <w:r>
        <w:rPr>
          <w:rFonts w:hint="eastAsia"/>
        </w:rPr>
        <w:t>秒。</w:t>
      </w:r>
    </w:p>
    <w:p>
      <w:pPr>
        <w:snapToGrid w:val="0"/>
        <w:ind w:firstLine="480"/>
      </w:pPr>
      <w:r>
        <w:rPr>
          <w:rFonts w:cs="宋体"/>
        </w:rPr>
        <w:t>(6)</w:t>
      </w:r>
      <w:r>
        <w:rPr>
          <w:rFonts w:hint="eastAsia"/>
        </w:rPr>
        <w:t>急冷脱酸塔保证水喷淋系统的安全运行，确保烟气在</w:t>
      </w:r>
      <w:r>
        <w:t>200~500</w:t>
      </w:r>
      <w:r>
        <w:rPr>
          <w:rFonts w:hint="eastAsia" w:cs="宋体"/>
        </w:rPr>
        <w:t>℃</w:t>
      </w:r>
      <w:r>
        <w:rPr>
          <w:rFonts w:hint="eastAsia"/>
        </w:rPr>
        <w:t>的停留时间小于</w:t>
      </w:r>
      <w:r>
        <w:t>1</w:t>
      </w:r>
      <w:r>
        <w:rPr>
          <w:rFonts w:hint="eastAsia"/>
        </w:rPr>
        <w:t>秒。</w:t>
      </w:r>
    </w:p>
    <w:p>
      <w:pPr>
        <w:snapToGrid w:val="0"/>
        <w:ind w:firstLine="480"/>
      </w:pPr>
      <w:r>
        <w:rPr>
          <w:rFonts w:cs="宋体"/>
        </w:rPr>
        <w:t>(7)</w:t>
      </w:r>
      <w:r>
        <w:rPr>
          <w:rFonts w:hint="eastAsia"/>
        </w:rPr>
        <w:t>干式反应器内喷入活性炭吸附，确保正常量的喷入，以吸附二噁英类物质。</w:t>
      </w:r>
    </w:p>
    <w:p>
      <w:pPr>
        <w:snapToGrid w:val="0"/>
        <w:ind w:firstLine="480"/>
      </w:pPr>
      <w:r>
        <w:rPr>
          <w:rFonts w:cs="宋体"/>
        </w:rPr>
        <w:t>(8)</w:t>
      </w:r>
      <w:r>
        <w:rPr>
          <w:rFonts w:hint="eastAsia"/>
        </w:rPr>
        <w:t>布袋除尘器在破袋、糊袋情况下，应强行停炉检修，保证正常排放。</w:t>
      </w:r>
    </w:p>
    <w:p>
      <w:pPr>
        <w:snapToGrid w:val="0"/>
        <w:ind w:firstLine="480"/>
      </w:pPr>
      <w:r>
        <w:rPr>
          <w:rFonts w:cs="宋体"/>
        </w:rPr>
        <w:t>(9)</w:t>
      </w:r>
      <w:r>
        <w:rPr>
          <w:rFonts w:hint="eastAsia"/>
        </w:rPr>
        <w:t>焚烧系统</w:t>
      </w:r>
      <w:r>
        <w:rPr>
          <w:rFonts w:hint="eastAsia"/>
          <w:szCs w:val="24"/>
        </w:rPr>
        <w:t>事故及应变措施见下表</w:t>
      </w:r>
      <w:r>
        <w:rPr>
          <w:rFonts w:hint="eastAsia"/>
        </w:rPr>
        <w:t>。</w:t>
      </w:r>
    </w:p>
    <w:p>
      <w:pPr>
        <w:snapToGrid w:val="0"/>
        <w:ind w:firstLine="480"/>
      </w:pPr>
      <w:r>
        <w:rPr>
          <w:rFonts w:hint="eastAsia"/>
        </w:rPr>
        <w:t>表8.7—</w:t>
      </w:r>
      <w:r>
        <w:t xml:space="preserve">1             </w:t>
      </w:r>
      <w:r>
        <w:rPr>
          <w:rFonts w:hint="eastAsia"/>
        </w:rPr>
        <w:t>焚烧系统故障及应变措施表</w:t>
      </w:r>
    </w:p>
    <w:tbl>
      <w:tblPr>
        <w:tblStyle w:val="181"/>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429"/>
        <w:gridCol w:w="1991"/>
        <w:gridCol w:w="2921"/>
        <w:gridCol w:w="4297"/>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single" w:color="000000" w:sz="12" w:space="0"/>
              <w:left w:val="nil"/>
              <w:bottom w:val="single" w:color="auto" w:sz="12" w:space="0"/>
              <w:right w:val="dotted" w:color="auto" w:sz="4" w:space="0"/>
              <w:insideV w:val="dotted" w:sz="4" w:space="0"/>
              <w:tl2br w:val="nil"/>
              <w:tr2bl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序号</w:t>
            </w:r>
          </w:p>
        </w:tc>
        <w:tc>
          <w:tcPr>
            <w:tcW w:w="1991" w:type="dxa"/>
            <w:tcBorders>
              <w:top w:val="single" w:color="000000" w:sz="12" w:space="0"/>
              <w:bottom w:val="single" w:color="auto" w:sz="12" w:space="0"/>
              <w:right w:val="dotted" w:color="auto" w:sz="4" w:space="0"/>
              <w:insideV w:val="dotted" w:sz="4" w:space="0"/>
              <w:tl2br w:val="nil"/>
              <w:tr2bl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失常现象</w:t>
            </w:r>
          </w:p>
        </w:tc>
        <w:tc>
          <w:tcPr>
            <w:tcW w:w="2921" w:type="dxa"/>
            <w:tcBorders>
              <w:top w:val="single" w:color="000000" w:sz="12" w:space="0"/>
              <w:bottom w:val="single" w:color="auto" w:sz="12" w:space="0"/>
              <w:right w:val="dotted" w:color="auto" w:sz="4" w:space="0"/>
              <w:insideV w:val="dotted" w:sz="4" w:space="0"/>
              <w:tl2br w:val="nil"/>
              <w:tr2bl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失常的指示讯号</w:t>
            </w:r>
          </w:p>
        </w:tc>
        <w:tc>
          <w:tcPr>
            <w:tcW w:w="4297" w:type="dxa"/>
            <w:tcBorders>
              <w:top w:val="single" w:color="000000" w:sz="12" w:space="0"/>
              <w:bottom w:val="single" w:color="auto" w:sz="12" w:space="0"/>
              <w:right w:val="nil"/>
              <w:insideV w:val="dotted" w:sz="4" w:space="0"/>
              <w:tl2br w:val="nil"/>
              <w:tr2bl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应变措施</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single" w:color="auto" w:sz="12"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1</w:t>
            </w:r>
          </w:p>
        </w:tc>
        <w:tc>
          <w:tcPr>
            <w:tcW w:w="1991" w:type="dxa"/>
            <w:tcBorders>
              <w:top w:val="single" w:color="auto" w:sz="12"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部分</w:t>
            </w:r>
            <w:r>
              <w:rPr>
                <w:rFonts w:ascii="Times New Roman" w:hAnsi="Times New Roman" w:cs="Times New Roman"/>
                <w:kern w:val="2"/>
                <w:sz w:val="21"/>
                <w:szCs w:val="21"/>
              </w:rPr>
              <w:t>(</w:t>
            </w:r>
            <w:r>
              <w:rPr>
                <w:rFonts w:hint="eastAsia" w:ascii="Times New Roman" w:cs="Times New Roman"/>
                <w:kern w:val="2"/>
                <w:sz w:val="21"/>
                <w:szCs w:val="21"/>
              </w:rPr>
              <w:t>或全部</w:t>
            </w:r>
            <w:r>
              <w:rPr>
                <w:rFonts w:ascii="Times New Roman" w:hAnsi="Times New Roman" w:cs="Times New Roman"/>
                <w:kern w:val="2"/>
                <w:sz w:val="21"/>
                <w:szCs w:val="21"/>
              </w:rPr>
              <w:t>)</w:t>
            </w:r>
            <w:r>
              <w:rPr>
                <w:rFonts w:hint="eastAsia" w:ascii="Times New Roman" w:cs="Times New Roman"/>
                <w:kern w:val="2"/>
                <w:sz w:val="21"/>
                <w:szCs w:val="21"/>
              </w:rPr>
              <w:t>的废物输入中断，停止进料</w:t>
            </w:r>
          </w:p>
        </w:tc>
        <w:tc>
          <w:tcPr>
            <w:tcW w:w="2921" w:type="dxa"/>
            <w:tcBorders>
              <w:top w:val="single" w:color="auto" w:sz="12"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燃烧室内温度低；进料系统运行出现故障</w:t>
            </w:r>
          </w:p>
        </w:tc>
        <w:tc>
          <w:tcPr>
            <w:tcW w:w="4297" w:type="dxa"/>
            <w:tcBorders>
              <w:top w:val="single" w:color="auto" w:sz="12"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寻找失常原因；增加辅助燃料，以维持温度；继续维持排气处理系统的运营</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2</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黑烟有燃烧室内逸出</w:t>
            </w:r>
            <w:r>
              <w:rPr>
                <w:rFonts w:ascii="Times New Roman" w:hAnsi="Times New Roman" w:cs="Times New Roman"/>
                <w:kern w:val="2"/>
                <w:sz w:val="21"/>
                <w:szCs w:val="21"/>
              </w:rPr>
              <w:t>(</w:t>
            </w:r>
            <w:r>
              <w:rPr>
                <w:rFonts w:hint="eastAsia" w:ascii="Times New Roman" w:cs="Times New Roman"/>
                <w:kern w:val="2"/>
                <w:sz w:val="21"/>
                <w:szCs w:val="21"/>
              </w:rPr>
              <w:t>燃烧情况不稳定或气密性不良</w:t>
            </w:r>
            <w:r>
              <w:rPr>
                <w:rFonts w:ascii="Times New Roman" w:hAnsi="Times New Roman" w:cs="Times New Roman"/>
                <w:kern w:val="2"/>
                <w:sz w:val="21"/>
                <w:szCs w:val="21"/>
              </w:rPr>
              <w:t>)</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压差变化；黑烟逸出</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停止固体废物的进料</w:t>
            </w:r>
            <w:r>
              <w:rPr>
                <w:rFonts w:ascii="Times New Roman" w:hAnsi="Times New Roman" w:cs="Times New Roman"/>
                <w:kern w:val="2"/>
                <w:sz w:val="21"/>
                <w:szCs w:val="21"/>
              </w:rPr>
              <w:t>10~30</w:t>
            </w:r>
            <w:r>
              <w:rPr>
                <w:rFonts w:hint="eastAsia" w:ascii="Times New Roman" w:cs="Times New Roman"/>
                <w:kern w:val="2"/>
                <w:sz w:val="21"/>
                <w:szCs w:val="21"/>
              </w:rPr>
              <w:t>分钟，但继续维持炉内温度及燃烧；将工作人员迅速撤离失常现场；进料前评估废物的特性；</w:t>
            </w:r>
            <w:r>
              <w:rPr>
                <w:rFonts w:ascii="Times New Roman" w:hAnsi="Times New Roman" w:cs="Times New Roman"/>
                <w:kern w:val="2"/>
                <w:sz w:val="21"/>
                <w:szCs w:val="21"/>
              </w:rPr>
              <w:t> </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3</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燃烧器强制送风中止</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流量计指示超出范围；自动火焰检测器发出警示讯号；一次风机失常</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及时停止废物的进料；检视失常原因；继续排气粗粒系统的运转，但降低抽风量</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4</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燃烧温度高</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温度示讯号，高温警示讯号</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检查燃料及废物的输入量是否正常；检视温度感应器；检查是都其他位置的温度指示亦发生同样的变化；打开燃烧室顶的紧急排放口</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5</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燃烧温度太低</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温度指示讯号；低温警示讯号</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检查是否其他位置的温度指示；检查是否燃料及废物输入量低；检查温度传感器准确性</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6</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耐火砖剥落</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发生很高的噪音；燃烧室温度降低，粉尘量增加，炉壁发生过热现象</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停机</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7</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烟囱排气黑度增加</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目视或昏暗检测器的指示超出安全运转的上限</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检查燃烧情况，</w:t>
            </w:r>
            <w:r>
              <w:rPr>
                <w:rFonts w:ascii="Times New Roman" w:hAnsi="Times New Roman" w:cs="Times New Roman"/>
                <w:kern w:val="2"/>
                <w:sz w:val="21"/>
                <w:szCs w:val="21"/>
              </w:rPr>
              <w:t>O</w:t>
            </w:r>
            <w:r>
              <w:rPr>
                <w:rFonts w:ascii="Times New Roman" w:hAnsi="Times New Roman" w:cs="Times New Roman"/>
                <w:kern w:val="2"/>
                <w:sz w:val="21"/>
                <w:szCs w:val="21"/>
                <w:vertAlign w:val="subscript"/>
              </w:rPr>
              <w:t>2</w:t>
            </w:r>
            <w:r>
              <w:rPr>
                <w:rFonts w:hint="eastAsia" w:ascii="Times New Roman" w:cs="Times New Roman"/>
                <w:kern w:val="2"/>
                <w:sz w:val="21"/>
                <w:szCs w:val="21"/>
              </w:rPr>
              <w:t>及</w:t>
            </w:r>
            <w:r>
              <w:rPr>
                <w:rFonts w:ascii="Times New Roman" w:hAnsi="Times New Roman" w:cs="Times New Roman"/>
                <w:kern w:val="2"/>
                <w:sz w:val="21"/>
                <w:szCs w:val="21"/>
              </w:rPr>
              <w:t>CO</w:t>
            </w:r>
            <w:r>
              <w:rPr>
                <w:rFonts w:hint="eastAsia" w:ascii="Times New Roman" w:cs="Times New Roman"/>
                <w:kern w:val="2"/>
                <w:sz w:val="21"/>
                <w:szCs w:val="21"/>
              </w:rPr>
              <w:t>检测器；检查排气处理系统；检查是否废物进料速率过高，造成燃烧不良，废物是否含高挥发性物质或密封容器内的气液体突然受热爆炸</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8</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排气总</w:t>
            </w:r>
            <w:r>
              <w:rPr>
                <w:rFonts w:ascii="Times New Roman" w:hAnsi="Times New Roman" w:cs="Times New Roman"/>
                <w:kern w:val="2"/>
                <w:sz w:val="21"/>
                <w:szCs w:val="21"/>
              </w:rPr>
              <w:t>CO</w:t>
            </w:r>
            <w:r>
              <w:rPr>
                <w:rFonts w:hint="eastAsia" w:ascii="Times New Roman" w:cs="Times New Roman"/>
                <w:kern w:val="2"/>
                <w:sz w:val="21"/>
                <w:szCs w:val="21"/>
              </w:rPr>
              <w:t>浓度超过排放标准</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一氧化碳侦测器</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检查并调整条件</w:t>
            </w:r>
            <w:r>
              <w:rPr>
                <w:rFonts w:ascii="Times New Roman" w:hAnsi="Times New Roman" w:cs="Times New Roman"/>
                <w:kern w:val="2"/>
                <w:sz w:val="21"/>
                <w:szCs w:val="21"/>
              </w:rPr>
              <w:t>(</w:t>
            </w:r>
            <w:r>
              <w:rPr>
                <w:rFonts w:hint="eastAsia" w:ascii="Times New Roman" w:cs="Times New Roman"/>
                <w:kern w:val="2"/>
                <w:sz w:val="21"/>
                <w:szCs w:val="21"/>
              </w:rPr>
              <w:t>温度、过剩空气量</w:t>
            </w:r>
            <w:r>
              <w:rPr>
                <w:rFonts w:ascii="Times New Roman" w:hAns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9</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抽风机失常</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抽风马达过热；抽风机供电指示零或超出范围；风扇停止转动；抽风机的气体进出口压差降低</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使用备用抽风机；失常抽风机检修；如仅有一抽风机则必须紧急停止焚烧系统的操作</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10</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急冷室排气温度上升，影响排气处理设备的效率</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冷却水供应中断或不足；燃烧温度升</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检查冷却水流量，降低焚烧处理量直到水供应正常为止；检查燃烧状况</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11</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洗气塔内固体结垢而堵塞</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压差上升；填料或盘板的存水量增加，造成泛溢现象；液面指示高</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停机，检修内部</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12</w:t>
            </w:r>
          </w:p>
        </w:tc>
        <w:tc>
          <w:tcPr>
            <w:tcW w:w="199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循环水酸碱度不在正常操作范围之内</w:t>
            </w:r>
          </w:p>
        </w:tc>
        <w:tc>
          <w:tcPr>
            <w:tcW w:w="2921" w:type="dxa"/>
            <w:tcBorders>
              <w:top w:val="dotted" w:color="auto" w:sz="4" w:space="0"/>
              <w:left w:val="dotted" w:color="auto" w:sz="4" w:space="0"/>
              <w:bottom w:val="dotted" w:color="auto" w:sz="4"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PH</w:t>
            </w:r>
            <w:r>
              <w:rPr>
                <w:rFonts w:hint="eastAsia" w:ascii="Times New Roman" w:cs="Times New Roman"/>
                <w:kern w:val="2"/>
                <w:sz w:val="21"/>
                <w:szCs w:val="21"/>
              </w:rPr>
              <w:t>测定计指示超出正常范围；洗气塔效率降低，烟气中酸气增加；附近居民或工作人眼抱怨眼睛有刺痛感</w:t>
            </w:r>
          </w:p>
        </w:tc>
        <w:tc>
          <w:tcPr>
            <w:tcW w:w="4297" w:type="dxa"/>
            <w:tcBorders>
              <w:top w:val="dotted" w:color="auto" w:sz="4" w:space="0"/>
              <w:left w:val="dotted" w:color="auto" w:sz="4" w:space="0"/>
              <w:bottom w:val="dotted" w:color="auto" w:sz="4"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检查碱性中和剂的供应；检查</w:t>
            </w:r>
            <w:r>
              <w:rPr>
                <w:rFonts w:ascii="Times New Roman" w:hAnsi="Times New Roman" w:cs="Times New Roman"/>
                <w:kern w:val="2"/>
                <w:sz w:val="21"/>
                <w:szCs w:val="21"/>
              </w:rPr>
              <w:t>PH</w:t>
            </w:r>
            <w:r>
              <w:rPr>
                <w:rFonts w:hint="eastAsia" w:ascii="Times New Roman" w:cs="Times New Roman"/>
                <w:kern w:val="2"/>
                <w:sz w:val="21"/>
                <w:szCs w:val="21"/>
              </w:rPr>
              <w:t>检测仪及测量及计量泵量</w:t>
            </w:r>
            <w:r>
              <w:rPr>
                <w:rFonts w:ascii="Times New Roman" w:hAnsi="Times New Roman" w:cs="Times New Roman"/>
                <w:kern w:val="2"/>
                <w:sz w:val="21"/>
                <w:szCs w:val="21"/>
              </w:rPr>
              <w:t>(</w:t>
            </w:r>
            <w:r>
              <w:rPr>
                <w:rFonts w:hint="eastAsia" w:ascii="Times New Roman" w:cs="Times New Roman"/>
                <w:kern w:val="2"/>
                <w:sz w:val="21"/>
                <w:szCs w:val="21"/>
              </w:rPr>
              <w:t>碱性剂的供应</w:t>
            </w:r>
            <w:r>
              <w:rPr>
                <w:rFonts w:ascii="Times New Roman" w:hAnsi="Times New Roman" w:cs="Times New Roman"/>
                <w:kern w:val="2"/>
                <w:sz w:val="21"/>
                <w:szCs w:val="21"/>
              </w:rPr>
              <w:t>)</w:t>
            </w:r>
            <w:r>
              <w:rPr>
                <w:rFonts w:hint="eastAsia" w:ascii="Times New Roman" w:cs="Times New Roman"/>
                <w:kern w:val="2"/>
                <w:sz w:val="21"/>
                <w:szCs w:val="21"/>
              </w:rPr>
              <w:t>的运转情况</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c>
          <w:tcPr>
            <w:tcW w:w="429" w:type="dxa"/>
            <w:tcBorders>
              <w:top w:val="dotted" w:color="auto" w:sz="4" w:space="0"/>
              <w:left w:val="nil"/>
              <w:bottom w:val="single" w:color="000000" w:sz="12"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ascii="Times New Roman" w:hAnsi="Times New Roman" w:cs="Times New Roman"/>
                <w:kern w:val="2"/>
                <w:sz w:val="21"/>
                <w:szCs w:val="21"/>
              </w:rPr>
              <w:t>13</w:t>
            </w:r>
          </w:p>
        </w:tc>
        <w:tc>
          <w:tcPr>
            <w:tcW w:w="1991" w:type="dxa"/>
            <w:tcBorders>
              <w:top w:val="dotted" w:color="auto" w:sz="4" w:space="0"/>
              <w:left w:val="dotted" w:color="auto" w:sz="4" w:space="0"/>
              <w:bottom w:val="single" w:color="000000" w:sz="12"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滤袋破裂</w:t>
            </w:r>
          </w:p>
        </w:tc>
        <w:tc>
          <w:tcPr>
            <w:tcW w:w="2921" w:type="dxa"/>
            <w:tcBorders>
              <w:top w:val="dotted" w:color="auto" w:sz="4" w:space="0"/>
              <w:left w:val="dotted" w:color="auto" w:sz="4" w:space="0"/>
              <w:bottom w:val="single" w:color="000000" w:sz="12" w:space="0"/>
              <w:right w:val="dotted" w:color="auto" w:sz="4" w:space="0"/>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烟气黑度增加</w:t>
            </w:r>
          </w:p>
        </w:tc>
        <w:tc>
          <w:tcPr>
            <w:tcW w:w="4297" w:type="dxa"/>
            <w:tcBorders>
              <w:top w:val="dotted" w:color="auto" w:sz="4" w:space="0"/>
              <w:left w:val="dotted" w:color="auto" w:sz="4" w:space="0"/>
              <w:bottom w:val="single" w:color="000000" w:sz="12" w:space="0"/>
              <w:right w:val="nil"/>
            </w:tcBorders>
            <w:vAlign w:val="center"/>
          </w:tcPr>
          <w:p>
            <w:pPr>
              <w:pStyle w:val="1269"/>
              <w:snapToGrid w:val="0"/>
              <w:spacing w:line="240" w:lineRule="atLeast"/>
              <w:rPr>
                <w:rFonts w:ascii="Times New Roman" w:hAnsi="Times New Roman" w:cs="Times New Roman"/>
                <w:kern w:val="2"/>
                <w:sz w:val="21"/>
                <w:szCs w:val="21"/>
              </w:rPr>
            </w:pPr>
            <w:r>
              <w:rPr>
                <w:rFonts w:hint="eastAsia" w:ascii="Times New Roman" w:cs="Times New Roman"/>
                <w:kern w:val="2"/>
                <w:sz w:val="21"/>
                <w:szCs w:val="21"/>
              </w:rPr>
              <w:t>逐步隔离滤袋室内的间，检查滤袋是否破裂；如滤袋室内无间隔，则停机全面检修</w:t>
            </w:r>
          </w:p>
        </w:tc>
      </w:tr>
    </w:tbl>
    <w:p>
      <w:pPr>
        <w:widowControl/>
        <w:adjustRightInd w:val="0"/>
        <w:snapToGrid w:val="0"/>
        <w:ind w:firstLine="480"/>
        <w:jc w:val="left"/>
        <w:rPr>
          <w:color w:val="000000"/>
          <w:kern w:val="0"/>
          <w:szCs w:val="24"/>
          <w:lang w:val="zh-CN"/>
        </w:rPr>
      </w:pPr>
      <w:r>
        <w:rPr>
          <w:rFonts w:hint="eastAsia"/>
        </w:rPr>
        <w:t>另外，至于贮存车间、预处理车间也有可能发生火灾、爆炸等事故，其原因主要是不同危险废物的混放，违反安全操作规程等引起。此类事故发生的概率也较低，只要严格遵守安全操作规程，危险废物贮存应严格分类，对于释放热量较大的危险废物，其贮存库采取通风装置等措施后，可以避免此类事故的发生。</w:t>
      </w:r>
    </w:p>
    <w:p>
      <w:pPr>
        <w:pStyle w:val="6"/>
        <w:rPr>
          <w:rFonts w:asciiTheme="majorHAnsi" w:hAnsiTheme="majorHAnsi"/>
          <w:kern w:val="0"/>
          <w:lang w:val="zh-CN"/>
        </w:rPr>
      </w:pPr>
      <w:r>
        <w:rPr>
          <w:kern w:val="0"/>
          <w:lang w:val="zh-CN"/>
        </w:rPr>
        <w:t>8.7.1.</w:t>
      </w:r>
      <w:r>
        <w:rPr>
          <w:rFonts w:hint="eastAsia"/>
          <w:kern w:val="0"/>
        </w:rPr>
        <w:t>7</w:t>
      </w:r>
      <w:r>
        <w:rPr>
          <w:rFonts w:hint="eastAsia" w:ascii="宋体" w:hAnsi="宋体" w:eastAsia="宋体" w:cs="宋体"/>
          <w:kern w:val="0"/>
          <w:lang w:val="zh-CN"/>
        </w:rPr>
        <w:t>水污染风险防范措施</w:t>
      </w:r>
    </w:p>
    <w:p>
      <w:pPr>
        <w:pStyle w:val="739"/>
        <w:ind w:firstLine="480"/>
        <w:outlineLvl w:val="0"/>
        <w:rPr>
          <w:kern w:val="0"/>
          <w:lang w:val="zh-CN"/>
        </w:rPr>
      </w:pPr>
      <w:r>
        <w:rPr>
          <w:kern w:val="0"/>
          <w:lang w:val="zh-CN"/>
        </w:rPr>
        <w:fldChar w:fldCharType="begin"/>
      </w:r>
      <w:r>
        <w:rPr>
          <w:kern w:val="0"/>
          <w:lang w:val="zh-CN"/>
        </w:rPr>
        <w:instrText xml:space="preserve">= 1 \* GB2</w:instrText>
      </w:r>
      <w:r>
        <w:rPr>
          <w:kern w:val="0"/>
          <w:lang w:val="zh-CN"/>
        </w:rPr>
        <w:fldChar w:fldCharType="separate"/>
      </w:r>
      <w:bookmarkStart w:id="715" w:name="_Toc13760314"/>
      <w:bookmarkStart w:id="716" w:name="_Toc5286448"/>
      <w:bookmarkStart w:id="717" w:name="_Toc9403186"/>
      <w:bookmarkStart w:id="718" w:name="_Toc13582286"/>
      <w:r>
        <w:rPr>
          <w:rFonts w:hint="eastAsia"/>
          <w:kern w:val="0"/>
          <w:lang w:val="zh-CN"/>
        </w:rPr>
        <w:t>⑴</w:t>
      </w:r>
      <w:r>
        <w:rPr>
          <w:rFonts w:asciiTheme="minorHAnsi" w:hAnsiTheme="minorHAnsi"/>
          <w:sz w:val="21"/>
        </w:rPr>
        <w:fldChar w:fldCharType="end"/>
      </w:r>
      <w:r>
        <w:rPr>
          <w:rFonts w:hint="eastAsia"/>
          <w:kern w:val="0"/>
          <w:lang w:val="zh-CN"/>
        </w:rPr>
        <w:t>事故性废水排放环境污染三级防控体系</w:t>
      </w:r>
      <w:bookmarkEnd w:id="715"/>
      <w:bookmarkEnd w:id="716"/>
      <w:bookmarkEnd w:id="717"/>
      <w:bookmarkEnd w:id="718"/>
    </w:p>
    <w:p>
      <w:pPr>
        <w:pStyle w:val="739"/>
        <w:ind w:firstLine="480"/>
        <w:rPr>
          <w:kern w:val="0"/>
        </w:rPr>
      </w:pPr>
      <w:r>
        <w:rPr>
          <w:rFonts w:hint="eastAsia"/>
          <w:kern w:val="0"/>
        </w:rPr>
        <w:t>为防止发生物料泄漏等风险事故时，泄漏物料以及事故废水外排对周围环境产生影响，项目应在生产厂区设置事故废水环境污染三级防控体系：一级防控措施将污染物控制在生产车间、装置区、罐区；二级防控措施将污染物控制在排水系统事故应急池；三级防控措施将污染物控制在厂内，确保生产非正常状态下不发生污染事件。本项目的事故废水环境污染三级防控措施具体要求如下：</w:t>
      </w:r>
    </w:p>
    <w:p>
      <w:pPr>
        <w:pStyle w:val="739"/>
        <w:ind w:firstLine="480"/>
        <w:rPr>
          <w:kern w:val="0"/>
        </w:rPr>
      </w:pPr>
      <w:bookmarkStart w:id="719" w:name="_Toc520218246"/>
      <w:bookmarkStart w:id="720" w:name="_Toc518548573"/>
      <w:bookmarkStart w:id="721" w:name="_Toc516504780"/>
      <w:bookmarkStart w:id="722" w:name="_Toc461955923"/>
      <w:r>
        <w:fldChar w:fldCharType="begin"/>
      </w:r>
      <w:r>
        <w:rPr>
          <w:kern w:val="0"/>
        </w:rPr>
        <w:instrText xml:space="preserve"> = 1 \* GB3 </w:instrText>
      </w:r>
      <w:r>
        <w:fldChar w:fldCharType="separate"/>
      </w:r>
      <w:r>
        <w:rPr>
          <w:rFonts w:hint="eastAsia" w:ascii="宋体" w:hAnsi="宋体" w:cs="宋体"/>
          <w:kern w:val="0"/>
        </w:rPr>
        <w:t>①</w:t>
      </w:r>
      <w:r>
        <w:fldChar w:fldCharType="end"/>
      </w:r>
      <w:r>
        <w:rPr>
          <w:rFonts w:hint="eastAsia"/>
          <w:kern w:val="0"/>
        </w:rPr>
        <w:t>一级防控措施</w:t>
      </w:r>
      <w:bookmarkEnd w:id="719"/>
      <w:bookmarkEnd w:id="720"/>
      <w:bookmarkEnd w:id="721"/>
      <w:bookmarkEnd w:id="722"/>
    </w:p>
    <w:p>
      <w:pPr>
        <w:pStyle w:val="739"/>
        <w:ind w:firstLine="480"/>
        <w:rPr>
          <w:kern w:val="0"/>
        </w:rPr>
      </w:pPr>
      <w:r>
        <w:rPr>
          <w:rFonts w:hint="eastAsia"/>
          <w:kern w:val="0"/>
        </w:rPr>
        <w:t>第一级防控系统由装置区围堰、罐区围堤和区内污水收集池组成，收集一般事故泄漏的物料，防止轻微事故泄漏造成的水环境污染；装置区设置围堰高度不小于</w:t>
      </w:r>
      <w:r>
        <w:rPr>
          <w:kern w:val="0"/>
        </w:rPr>
        <w:t>15cm</w:t>
      </w:r>
      <w:r>
        <w:rPr>
          <w:rFonts w:hint="eastAsia"/>
          <w:kern w:val="0"/>
        </w:rPr>
        <w:t>，宽度不超过</w:t>
      </w:r>
      <w:r>
        <w:rPr>
          <w:kern w:val="0"/>
        </w:rPr>
        <w:t>150mm</w:t>
      </w:r>
      <w:r>
        <w:rPr>
          <w:rFonts w:hint="eastAsia"/>
          <w:kern w:val="0"/>
        </w:rPr>
        <w:t>的围堰和导流设施，并设置清污、雨污切换系统；在罐区界区设置围堰，围堰内设置混凝土地坪并作防腐防渗处理，围堰外设置切换阀门。一级防控措施构筑生产过程中环境安全第一层防控网，在轻微事故时利用围堤控制泄漏物料的转移，防止泄漏物料及事故废水外排造成污染。罐区围堤高度固定顶罐不应小于罐组内</w:t>
      </w:r>
      <w:r>
        <w:rPr>
          <w:kern w:val="0"/>
        </w:rPr>
        <w:t>1</w:t>
      </w:r>
      <w:r>
        <w:rPr>
          <w:rFonts w:hint="eastAsia"/>
          <w:kern w:val="0"/>
        </w:rPr>
        <w:t>个最大储罐的容积。</w:t>
      </w:r>
    </w:p>
    <w:p>
      <w:pPr>
        <w:pStyle w:val="739"/>
        <w:ind w:firstLine="480"/>
        <w:rPr>
          <w:kern w:val="0"/>
        </w:rPr>
      </w:pPr>
      <w:bookmarkStart w:id="723" w:name="_Toc516504781"/>
      <w:bookmarkStart w:id="724" w:name="_Toc461955924"/>
      <w:bookmarkStart w:id="725" w:name="_Toc518548574"/>
      <w:bookmarkStart w:id="726" w:name="_Toc520218247"/>
      <w:r>
        <w:fldChar w:fldCharType="begin"/>
      </w:r>
      <w:r>
        <w:rPr>
          <w:kern w:val="0"/>
        </w:rPr>
        <w:instrText xml:space="preserve"> = 2 \* GB3 </w:instrText>
      </w:r>
      <w:r>
        <w:fldChar w:fldCharType="separate"/>
      </w:r>
      <w:r>
        <w:rPr>
          <w:rFonts w:hint="eastAsia" w:ascii="宋体" w:hAnsi="宋体" w:cs="宋体"/>
          <w:kern w:val="0"/>
        </w:rPr>
        <w:t>②</w:t>
      </w:r>
      <w:r>
        <w:fldChar w:fldCharType="end"/>
      </w:r>
      <w:r>
        <w:rPr>
          <w:rFonts w:hint="eastAsia"/>
          <w:kern w:val="0"/>
        </w:rPr>
        <w:t>二级防控措施</w:t>
      </w:r>
      <w:bookmarkEnd w:id="723"/>
      <w:bookmarkEnd w:id="724"/>
      <w:bookmarkEnd w:id="725"/>
      <w:bookmarkEnd w:id="726"/>
    </w:p>
    <w:p>
      <w:pPr>
        <w:pStyle w:val="739"/>
        <w:ind w:firstLine="480"/>
        <w:rPr>
          <w:kern w:val="0"/>
        </w:rPr>
      </w:pPr>
      <w:r>
        <w:rPr>
          <w:rFonts w:hint="eastAsia"/>
          <w:kern w:val="0"/>
        </w:rPr>
        <w:t>当发生较大事故，无法利用装置和罐区围堰控制泄漏物料和事故废水时，本项目设置厂内事故应急池做为二级防控措施，切断污染物与外部的通道，把泄漏物料和事故废水导入事故应急池，将污染控制在厂内，防止较大生产事故时泄漏物料和污染消防水外排造成污染。</w:t>
      </w:r>
    </w:p>
    <w:p>
      <w:pPr>
        <w:pStyle w:val="739"/>
        <w:ind w:firstLine="480"/>
        <w:rPr>
          <w:kern w:val="0"/>
        </w:rPr>
      </w:pPr>
      <w:bookmarkStart w:id="727" w:name="_Toc516504782"/>
      <w:bookmarkStart w:id="728" w:name="_Toc518548575"/>
      <w:bookmarkStart w:id="729" w:name="_Toc461955925"/>
      <w:bookmarkStart w:id="730" w:name="_Toc520218248"/>
      <w:r>
        <w:fldChar w:fldCharType="begin"/>
      </w:r>
      <w:r>
        <w:rPr>
          <w:kern w:val="0"/>
        </w:rPr>
        <w:instrText xml:space="preserve"> = 3 \* GB3 </w:instrText>
      </w:r>
      <w:r>
        <w:fldChar w:fldCharType="separate"/>
      </w:r>
      <w:r>
        <w:rPr>
          <w:rFonts w:hint="eastAsia" w:ascii="宋体" w:hAnsi="宋体" w:cs="宋体"/>
          <w:kern w:val="0"/>
        </w:rPr>
        <w:t>③</w:t>
      </w:r>
      <w:r>
        <w:fldChar w:fldCharType="end"/>
      </w:r>
      <w:r>
        <w:rPr>
          <w:rFonts w:hint="eastAsia"/>
          <w:kern w:val="0"/>
        </w:rPr>
        <w:t>三级防控措施</w:t>
      </w:r>
      <w:bookmarkEnd w:id="727"/>
      <w:bookmarkEnd w:id="728"/>
      <w:bookmarkEnd w:id="729"/>
      <w:bookmarkEnd w:id="730"/>
    </w:p>
    <w:p>
      <w:pPr>
        <w:pStyle w:val="739"/>
        <w:ind w:firstLine="480"/>
        <w:rPr>
          <w:kern w:val="0"/>
        </w:rPr>
      </w:pPr>
      <w:r>
        <w:rPr>
          <w:rFonts w:hint="eastAsia"/>
          <w:kern w:val="0"/>
        </w:rPr>
        <w:t>事故状态下关闭全厂排水口，保证全厂废水不外排。建设单位对厂区污水及雨水总排口设置切断措施，防止事故情况下物料经雨水及污水管线进入外环境。</w:t>
      </w:r>
    </w:p>
    <w:p>
      <w:pPr>
        <w:pStyle w:val="739"/>
        <w:ind w:firstLine="480"/>
        <w:outlineLvl w:val="0"/>
        <w:rPr>
          <w:kern w:val="0"/>
        </w:rPr>
      </w:pPr>
      <w:bookmarkStart w:id="731" w:name="_Toc520218249"/>
      <w:bookmarkStart w:id="732" w:name="_Toc516504783"/>
      <w:bookmarkStart w:id="733" w:name="_Toc461955926"/>
      <w:bookmarkStart w:id="734" w:name="_Toc518548576"/>
      <w:r>
        <w:fldChar w:fldCharType="begin"/>
      </w:r>
      <w:r>
        <w:rPr>
          <w:kern w:val="0"/>
        </w:rPr>
        <w:instrText xml:space="preserve">= 2 \* GB2</w:instrText>
      </w:r>
      <w:r>
        <w:fldChar w:fldCharType="separate"/>
      </w:r>
      <w:bookmarkStart w:id="735" w:name="_Toc9403187"/>
      <w:bookmarkStart w:id="736" w:name="_Toc13582287"/>
      <w:bookmarkStart w:id="737" w:name="_Toc13760315"/>
      <w:bookmarkStart w:id="738" w:name="_Toc5286449"/>
      <w:r>
        <w:rPr>
          <w:rFonts w:hint="eastAsia"/>
          <w:kern w:val="0"/>
        </w:rPr>
        <w:t>⑵</w:t>
      </w:r>
      <w:r>
        <w:fldChar w:fldCharType="end"/>
      </w:r>
      <w:r>
        <w:rPr>
          <w:rFonts w:hint="eastAsia"/>
          <w:kern w:val="0"/>
        </w:rPr>
        <w:t>事故废水及泄漏物料收集处理方案</w:t>
      </w:r>
      <w:bookmarkEnd w:id="731"/>
      <w:bookmarkEnd w:id="732"/>
      <w:bookmarkEnd w:id="733"/>
      <w:bookmarkEnd w:id="734"/>
      <w:bookmarkEnd w:id="735"/>
      <w:bookmarkEnd w:id="736"/>
      <w:bookmarkEnd w:id="737"/>
      <w:bookmarkEnd w:id="738"/>
    </w:p>
    <w:p>
      <w:pPr>
        <w:pStyle w:val="739"/>
        <w:ind w:firstLine="480"/>
        <w:rPr>
          <w:kern w:val="0"/>
        </w:rPr>
      </w:pPr>
      <w:r>
        <w:rPr>
          <w:rFonts w:hint="eastAsia"/>
          <w:kern w:val="0"/>
        </w:rPr>
        <w:t>厂区不单独设置事故排污管道，在生产装置和罐区围堰外设置切换阀门。轻微事故时把泄漏物料和事故消防水经污水管道导入厂区污水处理系统处理；较大或重大事故时，利用雨水管道作为转输系统，将生产装置和罐区围堰收集的事故消防废水、可能受污染的雨水和事故泄漏物料导入事故池，必要时可以利用配备的污水泵将事故废水送至事故池中。</w:t>
      </w:r>
    </w:p>
    <w:p>
      <w:pPr>
        <w:pStyle w:val="739"/>
        <w:ind w:firstLine="480"/>
        <w:rPr>
          <w:kern w:val="0"/>
        </w:rPr>
      </w:pPr>
      <w:r>
        <w:rPr>
          <w:rFonts w:hint="eastAsia"/>
          <w:kern w:val="0"/>
        </w:rPr>
        <w:t>事故状态下本工程收集的事故消防废水、可能受污染的雨水和事故泄漏物料全部进入事故池暂时存放，然后分批次委托有资质的单位安全处置；一旦发生较大或重大事故时，各生产车间将立即停产，不再产生各类生产废水等，减少事故水量。</w:t>
      </w:r>
    </w:p>
    <w:p>
      <w:pPr>
        <w:pStyle w:val="739"/>
        <w:ind w:firstLine="480"/>
        <w:outlineLvl w:val="0"/>
        <w:rPr>
          <w:kern w:val="0"/>
        </w:rPr>
      </w:pPr>
      <w:bookmarkStart w:id="739" w:name="_Toc520218259"/>
      <w:bookmarkStart w:id="740" w:name="_Toc518548586"/>
      <w:bookmarkStart w:id="741" w:name="_Toc516504793"/>
      <w:r>
        <w:fldChar w:fldCharType="begin"/>
      </w:r>
      <w:r>
        <w:rPr>
          <w:kern w:val="0"/>
        </w:rPr>
        <w:instrText xml:space="preserve">= 3 \* GB2</w:instrText>
      </w:r>
      <w:r>
        <w:fldChar w:fldCharType="separate"/>
      </w:r>
      <w:bookmarkStart w:id="742" w:name="_Toc5286450"/>
      <w:bookmarkStart w:id="743" w:name="_Toc13582288"/>
      <w:bookmarkStart w:id="744" w:name="_Toc9403188"/>
      <w:bookmarkStart w:id="745" w:name="_Toc13760316"/>
      <w:r>
        <w:rPr>
          <w:rFonts w:hint="eastAsia"/>
          <w:kern w:val="0"/>
        </w:rPr>
        <w:t>⑶</w:t>
      </w:r>
      <w:r>
        <w:fldChar w:fldCharType="end"/>
      </w:r>
      <w:r>
        <w:rPr>
          <w:rFonts w:hint="eastAsia"/>
          <w:kern w:val="0"/>
        </w:rPr>
        <w:t>事故池的作用</w:t>
      </w:r>
      <w:bookmarkEnd w:id="742"/>
      <w:bookmarkEnd w:id="743"/>
      <w:bookmarkEnd w:id="744"/>
      <w:bookmarkEnd w:id="745"/>
    </w:p>
    <w:p>
      <w:pPr>
        <w:pStyle w:val="739"/>
        <w:ind w:firstLine="480"/>
        <w:rPr>
          <w:kern w:val="0"/>
        </w:rPr>
      </w:pPr>
      <w:r>
        <w:fldChar w:fldCharType="begin"/>
      </w:r>
      <w:r>
        <w:rPr>
          <w:kern w:val="0"/>
        </w:rPr>
        <w:instrText xml:space="preserve"> = 1 \* GB3 </w:instrText>
      </w:r>
      <w:r>
        <w:fldChar w:fldCharType="separate"/>
      </w:r>
      <w:r>
        <w:rPr>
          <w:rFonts w:hint="eastAsia" w:ascii="宋体" w:hAnsi="宋体" w:cs="宋体"/>
          <w:kern w:val="0"/>
        </w:rPr>
        <w:t>①</w:t>
      </w:r>
      <w:r>
        <w:fldChar w:fldCharType="end"/>
      </w:r>
      <w:r>
        <w:rPr>
          <w:rFonts w:hint="eastAsia"/>
          <w:kern w:val="0"/>
        </w:rPr>
        <w:t>消防废水的转移：当某一物料储罐发生泄漏或火灾的情况下，通过高压泵将泡沫喷到泄漏储罐上；同时启动冷却水自动喷淋系统，对周围罐体进行降温，这时产生的消防废水主要为消防泡沫和冷却喷淋废水。消防废水首先贮存在围堰内；事故状态结束后，围堰内的消防水逐渐转移至事故池。</w:t>
      </w:r>
    </w:p>
    <w:p>
      <w:pPr>
        <w:pStyle w:val="739"/>
        <w:ind w:firstLine="480"/>
        <w:rPr>
          <w:kern w:val="0"/>
        </w:rPr>
      </w:pPr>
      <w:r>
        <w:fldChar w:fldCharType="begin"/>
      </w:r>
      <w:r>
        <w:rPr>
          <w:kern w:val="0"/>
        </w:rPr>
        <w:instrText xml:space="preserve"> = 2 \* GB3 </w:instrText>
      </w:r>
      <w:r>
        <w:fldChar w:fldCharType="separate"/>
      </w:r>
      <w:r>
        <w:rPr>
          <w:rFonts w:hint="eastAsia" w:ascii="宋体" w:hAnsi="宋体" w:cs="宋体"/>
          <w:kern w:val="0"/>
        </w:rPr>
        <w:t>②</w:t>
      </w:r>
      <w:r>
        <w:fldChar w:fldCharType="end"/>
      </w:r>
      <w:r>
        <w:rPr>
          <w:rFonts w:hint="eastAsia"/>
          <w:kern w:val="0"/>
        </w:rPr>
        <w:t>前期雨水的储存：本项目的前期雨水主要指生产车间、储罐区和污水处理区域的前期雨水，即在降雨前</w:t>
      </w:r>
      <w:r>
        <w:rPr>
          <w:kern w:val="0"/>
        </w:rPr>
        <w:t>10</w:t>
      </w:r>
      <w:r>
        <w:rPr>
          <w:rFonts w:hint="eastAsia"/>
          <w:kern w:val="0"/>
        </w:rPr>
        <w:t>分钟所产生的雨水，通过车间、罐区和污水处理区设置的围堰收集后导入事故池。</w:t>
      </w:r>
    </w:p>
    <w:p>
      <w:pPr>
        <w:pStyle w:val="739"/>
        <w:ind w:firstLine="480"/>
        <w:outlineLvl w:val="0"/>
        <w:rPr>
          <w:kern w:val="0"/>
        </w:rPr>
      </w:pPr>
      <w:r>
        <w:fldChar w:fldCharType="begin"/>
      </w:r>
      <w:r>
        <w:rPr>
          <w:kern w:val="0"/>
        </w:rPr>
        <w:instrText xml:space="preserve">= 4 \* GB2</w:instrText>
      </w:r>
      <w:r>
        <w:fldChar w:fldCharType="separate"/>
      </w:r>
      <w:bookmarkStart w:id="746" w:name="_Toc9403189"/>
      <w:bookmarkStart w:id="747" w:name="_Toc5286451"/>
      <w:bookmarkStart w:id="748" w:name="_Toc13582289"/>
      <w:bookmarkStart w:id="749" w:name="_Toc13760317"/>
      <w:r>
        <w:rPr>
          <w:rFonts w:hint="eastAsia"/>
          <w:kern w:val="0"/>
        </w:rPr>
        <w:t>⑷</w:t>
      </w:r>
      <w:r>
        <w:fldChar w:fldCharType="end"/>
      </w:r>
      <w:r>
        <w:rPr>
          <w:rFonts w:hint="eastAsia"/>
          <w:kern w:val="0"/>
        </w:rPr>
        <w:t>事故池的容量</w:t>
      </w:r>
      <w:bookmarkEnd w:id="746"/>
      <w:bookmarkEnd w:id="747"/>
      <w:bookmarkEnd w:id="748"/>
      <w:bookmarkEnd w:id="749"/>
    </w:p>
    <w:p>
      <w:pPr>
        <w:snapToGrid w:val="0"/>
        <w:ind w:firstLine="480"/>
      </w:pPr>
      <w:r>
        <w:rPr>
          <w:rFonts w:hint="eastAsia"/>
        </w:rPr>
        <w:fldChar w:fldCharType="begin"/>
      </w:r>
      <w:r>
        <w:instrText xml:space="preserve"> = 1 \* GB3 </w:instrText>
      </w:r>
      <w:r>
        <w:rPr>
          <w:rFonts w:hint="eastAsia"/>
        </w:rPr>
        <w:fldChar w:fldCharType="separate"/>
      </w:r>
      <w:r>
        <w:rPr>
          <w:rFonts w:hint="eastAsia"/>
        </w:rPr>
        <w:t>①</w:t>
      </w:r>
      <w:r>
        <w:rPr>
          <w:rFonts w:hint="eastAsia"/>
        </w:rPr>
        <w:fldChar w:fldCharType="end"/>
      </w:r>
      <w:r>
        <w:rPr>
          <w:rFonts w:hint="eastAsia"/>
        </w:rPr>
        <w:t>安全填埋场</w:t>
      </w:r>
      <w:r>
        <w:rPr>
          <w:rFonts w:hint="eastAsia" w:cs="Arial"/>
        </w:rPr>
        <w:t>设置两个渗滤液调节池，有效容积分别按照</w:t>
      </w:r>
      <w:r>
        <w:rPr>
          <w:rFonts w:cs="Arial"/>
        </w:rPr>
        <w:t>2052m</w:t>
      </w:r>
      <w:r>
        <w:rPr>
          <w:rFonts w:cs="Arial"/>
          <w:vertAlign w:val="superscript"/>
        </w:rPr>
        <w:t>3</w:t>
      </w:r>
      <w:r>
        <w:rPr>
          <w:rFonts w:hint="eastAsia" w:cs="Arial"/>
        </w:rPr>
        <w:t>和</w:t>
      </w:r>
      <w:r>
        <w:rPr>
          <w:rFonts w:cs="Arial"/>
        </w:rPr>
        <w:t>900m</w:t>
      </w:r>
      <w:r>
        <w:rPr>
          <w:rFonts w:cs="Arial"/>
          <w:vertAlign w:val="superscript"/>
        </w:rPr>
        <w:t>3</w:t>
      </w:r>
      <w:r>
        <w:rPr>
          <w:rFonts w:hint="eastAsia" w:cs="Arial"/>
        </w:rPr>
        <w:t>考虑</w:t>
      </w:r>
      <w:r>
        <w:rPr>
          <w:rFonts w:hint="eastAsia"/>
        </w:rPr>
        <w:t>，收集填埋区产生的渗滤液。</w:t>
      </w:r>
    </w:p>
    <w:p>
      <w:pPr>
        <w:snapToGrid w:val="0"/>
        <w:ind w:firstLine="480"/>
      </w:pPr>
      <w:r>
        <w:t>(3)</w:t>
      </w:r>
      <w:r>
        <w:rPr>
          <w:rFonts w:hint="eastAsia"/>
        </w:rPr>
        <w:t>项目采取分区防渗</w:t>
      </w:r>
      <w:r>
        <w:rPr>
          <w:rFonts w:hint="eastAsia"/>
          <w:szCs w:val="24"/>
        </w:rPr>
        <w:t>，项目设置一座</w:t>
      </w:r>
      <w:r>
        <w:t>1</w:t>
      </w:r>
      <w:r>
        <w:rPr>
          <w:rFonts w:hint="eastAsia"/>
        </w:rPr>
        <w:t>座</w:t>
      </w:r>
      <w:r>
        <w:rPr>
          <w:rFonts w:cs="Times New Roman"/>
          <w:szCs w:val="24"/>
        </w:rPr>
        <w:t>1406.25m</w:t>
      </w:r>
      <w:r>
        <w:rPr>
          <w:rFonts w:cs="Times New Roman"/>
          <w:szCs w:val="24"/>
          <w:vertAlign w:val="superscript"/>
        </w:rPr>
        <w:t>3</w:t>
      </w:r>
      <w:r>
        <w:rPr>
          <w:rFonts w:hint="eastAsia"/>
        </w:rPr>
        <w:t>的全厂事故及雨水收集池</w:t>
      </w:r>
      <w:r>
        <w:rPr>
          <w:rFonts w:hint="eastAsia"/>
          <w:szCs w:val="24"/>
        </w:rPr>
        <w:t>，可满足本项目事故废水排放量及初期雨水的暂存要求。</w:t>
      </w:r>
    </w:p>
    <w:p>
      <w:pPr>
        <w:pStyle w:val="739"/>
        <w:ind w:firstLine="480"/>
        <w:outlineLvl w:val="0"/>
        <w:rPr>
          <w:kern w:val="0"/>
        </w:rPr>
      </w:pPr>
      <w:r>
        <w:fldChar w:fldCharType="begin"/>
      </w:r>
      <w:r>
        <w:rPr>
          <w:kern w:val="0"/>
        </w:rPr>
        <w:instrText xml:space="preserve">= 5 \* GB2</w:instrText>
      </w:r>
      <w:r>
        <w:fldChar w:fldCharType="separate"/>
      </w:r>
      <w:bookmarkStart w:id="750" w:name="_Toc5286457"/>
      <w:bookmarkStart w:id="751" w:name="_Toc13582290"/>
      <w:bookmarkStart w:id="752" w:name="_Toc9403195"/>
      <w:bookmarkStart w:id="753" w:name="_Toc13760318"/>
      <w:r>
        <w:rPr>
          <w:rFonts w:hint="eastAsia"/>
          <w:kern w:val="0"/>
        </w:rPr>
        <w:t>⑸</w:t>
      </w:r>
      <w:r>
        <w:fldChar w:fldCharType="end"/>
      </w:r>
      <w:r>
        <w:rPr>
          <w:rFonts w:hint="eastAsia"/>
          <w:kern w:val="0"/>
        </w:rPr>
        <w:t>事故池防渗要求</w:t>
      </w:r>
      <w:bookmarkEnd w:id="739"/>
      <w:bookmarkEnd w:id="740"/>
      <w:bookmarkEnd w:id="741"/>
      <w:bookmarkEnd w:id="750"/>
      <w:bookmarkEnd w:id="751"/>
      <w:bookmarkEnd w:id="752"/>
      <w:bookmarkEnd w:id="753"/>
    </w:p>
    <w:p>
      <w:pPr>
        <w:pStyle w:val="739"/>
        <w:ind w:firstLine="480"/>
        <w:rPr>
          <w:color w:val="000000"/>
          <w:kern w:val="0"/>
          <w:szCs w:val="24"/>
        </w:rPr>
      </w:pPr>
      <w:r>
        <w:rPr>
          <w:rFonts w:hint="eastAsia"/>
          <w:kern w:val="0"/>
        </w:rPr>
        <w:t>由于本项目属于化工项目，事故废水中含有对环境造成污染的化学物质，所以事故池需做防渗，防治污水下渗对项目所在地地下水产生影响。要求业主使用</w:t>
      </w:r>
      <w:r>
        <w:rPr>
          <w:kern w:val="0"/>
        </w:rPr>
        <w:t>HDPE</w:t>
      </w:r>
      <w:r>
        <w:rPr>
          <w:rFonts w:hint="eastAsia"/>
          <w:kern w:val="0"/>
        </w:rPr>
        <w:t>防渗膜作为事故池衬里，</w:t>
      </w:r>
      <w:r>
        <w:rPr>
          <w:kern w:val="0"/>
        </w:rPr>
        <w:t>HDPE</w:t>
      </w:r>
      <w:r>
        <w:rPr>
          <w:rFonts w:hint="eastAsia"/>
          <w:kern w:val="0"/>
        </w:rPr>
        <w:t>防渗膜厚度应不小于</w:t>
      </w:r>
      <w:r>
        <w:rPr>
          <w:kern w:val="0"/>
        </w:rPr>
        <w:t>1.5mm</w:t>
      </w:r>
      <w:r>
        <w:rPr>
          <w:rFonts w:hint="eastAsia"/>
          <w:kern w:val="0"/>
        </w:rPr>
        <w:t>。做防渗前，对池体进行清理刮平。铺设表面垂直深度</w:t>
      </w:r>
      <w:r>
        <w:rPr>
          <w:kern w:val="0"/>
        </w:rPr>
        <w:t>25mm</w:t>
      </w:r>
      <w:r>
        <w:rPr>
          <w:rFonts w:hint="eastAsia"/>
          <w:kern w:val="0"/>
        </w:rPr>
        <w:t>内不得有尖锐杂物：如瓦砾、石子、混凝土颗粒、钢筋头、金属或其他碎屑等足以刺穿</w:t>
      </w:r>
      <w:r>
        <w:rPr>
          <w:kern w:val="0"/>
        </w:rPr>
        <w:t>HDPE</w:t>
      </w:r>
      <w:r>
        <w:rPr>
          <w:rFonts w:hint="eastAsia"/>
          <w:kern w:val="0"/>
        </w:rPr>
        <w:t>防渗膜之杂物；所有拐角、直角部分，均应做成圆角或倒角，避免损坏</w:t>
      </w:r>
      <w:r>
        <w:rPr>
          <w:kern w:val="0"/>
        </w:rPr>
        <w:t>HDPE</w:t>
      </w:r>
      <w:r>
        <w:rPr>
          <w:rFonts w:hint="eastAsia"/>
          <w:kern w:val="0"/>
        </w:rPr>
        <w:t>防渗膜；管道节点、阴阳角、拐角等难处理的地方，可配合热风机和挤出式焊机进行焊接；用膨胀螺栓、压条，进行压边锚固。压完边，再用</w:t>
      </w:r>
      <w:r>
        <w:rPr>
          <w:kern w:val="0"/>
        </w:rPr>
        <w:t>HDPE</w:t>
      </w:r>
      <w:r>
        <w:rPr>
          <w:rFonts w:hint="eastAsia"/>
          <w:kern w:val="0"/>
        </w:rPr>
        <w:t>膜对锚固的部位，进行密封焊接，这样就形成完整的防渗衬里；可采用预埋形式进行锚固。</w:t>
      </w:r>
      <w:r>
        <w:rPr>
          <w:kern w:val="0"/>
        </w:rPr>
        <w:t>HDPE</w:t>
      </w:r>
      <w:r>
        <w:rPr>
          <w:rFonts w:hint="eastAsia"/>
          <w:kern w:val="0"/>
        </w:rPr>
        <w:t>锚爪预埋于混凝土墙里，铺设到指定位置，就直接焊接于</w:t>
      </w:r>
      <w:r>
        <w:rPr>
          <w:kern w:val="0"/>
        </w:rPr>
        <w:t>HDPE</w:t>
      </w:r>
      <w:r>
        <w:rPr>
          <w:rFonts w:hint="eastAsia"/>
          <w:kern w:val="0"/>
        </w:rPr>
        <w:t>锚爪上，形成完整的防渗体。也可采用砖墙压边，</w:t>
      </w:r>
      <w:r>
        <w:rPr>
          <w:kern w:val="0"/>
        </w:rPr>
        <w:t>HDPE</w:t>
      </w:r>
      <w:r>
        <w:rPr>
          <w:rFonts w:hint="eastAsia"/>
          <w:kern w:val="0"/>
        </w:rPr>
        <w:t>防渗膜铺设到要求位置，返边于墙内，砌砖固定。</w:t>
      </w:r>
    </w:p>
    <w:p>
      <w:pPr>
        <w:pStyle w:val="6"/>
        <w:rPr>
          <w:rFonts w:asciiTheme="majorHAnsi" w:hAnsiTheme="majorHAnsi"/>
          <w:kern w:val="0"/>
        </w:rPr>
      </w:pPr>
      <w:r>
        <w:rPr>
          <w:kern w:val="0"/>
        </w:rPr>
        <w:t>8.7.1.</w:t>
      </w:r>
      <w:r>
        <w:rPr>
          <w:rFonts w:hint="eastAsia"/>
          <w:kern w:val="0"/>
        </w:rPr>
        <w:t>8</w:t>
      </w:r>
      <w:r>
        <w:rPr>
          <w:rFonts w:hint="eastAsia" w:ascii="宋体" w:hAnsi="宋体" w:eastAsia="宋体" w:cs="宋体"/>
          <w:kern w:val="0"/>
        </w:rPr>
        <w:t>消防火灾报警系统</w:t>
      </w:r>
    </w:p>
    <w:p>
      <w:pPr>
        <w:widowControl/>
        <w:adjustRightInd w:val="0"/>
        <w:snapToGrid w:val="0"/>
        <w:ind w:firstLine="480"/>
        <w:jc w:val="left"/>
        <w:rPr>
          <w:color w:val="000000"/>
          <w:kern w:val="0"/>
          <w:szCs w:val="24"/>
        </w:rPr>
      </w:pPr>
      <w:r>
        <w:rPr>
          <w:rFonts w:hint="eastAsia"/>
          <w:color w:val="000000"/>
          <w:kern w:val="0"/>
          <w:szCs w:val="24"/>
        </w:rPr>
        <w:t>企业应设有若干数量的烟感、温感及手动火灾报警器，分布在全厂各个部位，包括办公楼、消防泵房、生产车间和原料及危险品仓库。</w:t>
      </w:r>
    </w:p>
    <w:p>
      <w:pPr>
        <w:widowControl/>
        <w:adjustRightInd w:val="0"/>
        <w:snapToGrid w:val="0"/>
        <w:ind w:firstLine="480"/>
        <w:jc w:val="left"/>
        <w:rPr>
          <w:color w:val="000000"/>
          <w:kern w:val="0"/>
          <w:szCs w:val="24"/>
        </w:rPr>
      </w:pPr>
      <w:r>
        <w:rPr>
          <w:rFonts w:hint="eastAsia"/>
          <w:color w:val="000000"/>
          <w:kern w:val="0"/>
          <w:szCs w:val="24"/>
        </w:rPr>
        <w:t>项目消防用水来自厂内循环水池；全厂区配备必要的消防设施，包括消防水栓、泡沫消火栓、干粉灭火器、消防泵等。</w:t>
      </w:r>
    </w:p>
    <w:p>
      <w:pPr>
        <w:widowControl/>
        <w:adjustRightInd w:val="0"/>
        <w:snapToGrid w:val="0"/>
        <w:ind w:firstLine="480"/>
        <w:jc w:val="left"/>
        <w:rPr>
          <w:color w:val="000000"/>
          <w:kern w:val="0"/>
          <w:szCs w:val="24"/>
        </w:rPr>
      </w:pPr>
      <w:r>
        <w:rPr>
          <w:rFonts w:hint="eastAsia"/>
          <w:color w:val="000000"/>
          <w:kern w:val="0"/>
          <w:szCs w:val="24"/>
        </w:rPr>
        <w:t>罐区消防采用以水消防、泡沫灭火为主，干粉灭火次之，其它消防为辅的消防方案。</w:t>
      </w:r>
    </w:p>
    <w:p>
      <w:pPr>
        <w:widowControl/>
        <w:adjustRightInd w:val="0"/>
        <w:snapToGrid w:val="0"/>
        <w:ind w:firstLine="480"/>
        <w:jc w:val="left"/>
        <w:rPr>
          <w:color w:val="000000"/>
          <w:kern w:val="0"/>
          <w:szCs w:val="24"/>
        </w:rPr>
      </w:pPr>
      <w:r>
        <w:rPr>
          <w:rFonts w:hint="eastAsia"/>
          <w:color w:val="000000"/>
          <w:kern w:val="0"/>
          <w:szCs w:val="24"/>
        </w:rPr>
        <w:t>室外消防给水管网按环状布置，管网上设置室外地上式消火栓，消火栓旁设置钢制消防箱。</w:t>
      </w:r>
    </w:p>
    <w:p>
      <w:pPr>
        <w:pStyle w:val="739"/>
        <w:ind w:firstLine="480"/>
        <w:outlineLvl w:val="0"/>
        <w:rPr>
          <w:kern w:val="0"/>
        </w:rPr>
      </w:pPr>
      <w:r>
        <w:rPr>
          <w:kern w:val="0"/>
        </w:rPr>
        <w:fldChar w:fldCharType="begin"/>
      </w:r>
      <w:r>
        <w:rPr>
          <w:kern w:val="0"/>
        </w:rPr>
        <w:instrText xml:space="preserve">= 1 \* GB2</w:instrText>
      </w:r>
      <w:r>
        <w:rPr>
          <w:kern w:val="0"/>
        </w:rPr>
        <w:fldChar w:fldCharType="separate"/>
      </w:r>
      <w:bookmarkStart w:id="754" w:name="_Toc5286458"/>
      <w:bookmarkStart w:id="755" w:name="_Toc13582291"/>
      <w:bookmarkStart w:id="756" w:name="_Toc9403196"/>
      <w:bookmarkStart w:id="757" w:name="_Toc13760319"/>
      <w:r>
        <w:rPr>
          <w:rFonts w:hint="eastAsia"/>
          <w:kern w:val="0"/>
        </w:rPr>
        <w:t>⑴</w:t>
      </w:r>
      <w:r>
        <w:rPr>
          <w:rFonts w:asciiTheme="minorHAnsi" w:hAnsiTheme="minorHAnsi"/>
          <w:sz w:val="21"/>
        </w:rPr>
        <w:fldChar w:fldCharType="end"/>
      </w:r>
      <w:r>
        <w:rPr>
          <w:rFonts w:hint="eastAsia"/>
          <w:kern w:val="0"/>
        </w:rPr>
        <w:t>控制与消除火源：</w:t>
      </w:r>
      <w:bookmarkEnd w:id="754"/>
      <w:bookmarkEnd w:id="755"/>
      <w:bookmarkEnd w:id="756"/>
      <w:bookmarkEnd w:id="757"/>
    </w:p>
    <w:p>
      <w:pPr>
        <w:pStyle w:val="739"/>
        <w:ind w:firstLine="480"/>
        <w:rPr>
          <w:kern w:val="0"/>
        </w:rPr>
      </w:pPr>
      <w:bookmarkStart w:id="758" w:name="_Toc516504797"/>
      <w:bookmarkStart w:id="759" w:name="_Toc520218263"/>
      <w:bookmarkStart w:id="760" w:name="_Toc518548590"/>
      <w:r>
        <w:rPr>
          <w:rFonts w:hint="eastAsia" w:ascii="宋体" w:hAnsi="宋体" w:cs="宋体"/>
          <w:kern w:val="0"/>
        </w:rPr>
        <w:t>①</w:t>
      </w:r>
      <w:r>
        <w:rPr>
          <w:rFonts w:hint="eastAsia"/>
          <w:kern w:val="0"/>
        </w:rPr>
        <w:t>严禁吸烟、携带火种、穿带钉皮鞋等进入易燃易爆区；</w:t>
      </w:r>
      <w:bookmarkEnd w:id="758"/>
      <w:bookmarkEnd w:id="759"/>
      <w:bookmarkEnd w:id="760"/>
    </w:p>
    <w:p>
      <w:pPr>
        <w:pStyle w:val="739"/>
        <w:ind w:firstLine="480"/>
        <w:rPr>
          <w:kern w:val="0"/>
        </w:rPr>
      </w:pPr>
      <w:r>
        <w:rPr>
          <w:rFonts w:hint="eastAsia" w:ascii="宋体" w:hAnsi="宋体" w:cs="宋体"/>
          <w:kern w:val="0"/>
        </w:rPr>
        <w:t>②</w:t>
      </w:r>
      <w:r>
        <w:rPr>
          <w:rFonts w:hint="eastAsia"/>
          <w:kern w:val="0"/>
        </w:rPr>
        <w:t>动火作业必须严格执行《厂区动火作业安全规程》；</w:t>
      </w:r>
    </w:p>
    <w:p>
      <w:pPr>
        <w:pStyle w:val="739"/>
        <w:ind w:firstLine="480"/>
        <w:rPr>
          <w:kern w:val="0"/>
        </w:rPr>
      </w:pPr>
      <w:r>
        <w:rPr>
          <w:rFonts w:hint="eastAsia" w:ascii="宋体" w:hAnsi="宋体" w:cs="宋体"/>
          <w:kern w:val="0"/>
        </w:rPr>
        <w:t>③</w:t>
      </w:r>
      <w:r>
        <w:rPr>
          <w:rFonts w:hint="eastAsia"/>
          <w:kern w:val="0"/>
        </w:rPr>
        <w:t>使用防爆工具，严禁钢质工具敲打、撞击、抛掷；</w:t>
      </w:r>
    </w:p>
    <w:p>
      <w:pPr>
        <w:pStyle w:val="739"/>
        <w:ind w:firstLine="480"/>
        <w:rPr>
          <w:kern w:val="0"/>
        </w:rPr>
      </w:pPr>
      <w:r>
        <w:rPr>
          <w:rFonts w:hint="eastAsia" w:ascii="宋体" w:hAnsi="宋体" w:cs="宋体"/>
          <w:kern w:val="0"/>
        </w:rPr>
        <w:t>④</w:t>
      </w:r>
      <w:r>
        <w:rPr>
          <w:rFonts w:hint="eastAsia"/>
          <w:kern w:val="0"/>
        </w:rPr>
        <w:t>按规定要求采取防静电措施，安装避雷装置，并定期进行检测，保证完好；</w:t>
      </w:r>
    </w:p>
    <w:p>
      <w:pPr>
        <w:pStyle w:val="739"/>
        <w:ind w:firstLine="480"/>
        <w:rPr>
          <w:kern w:val="0"/>
        </w:rPr>
      </w:pPr>
      <w:r>
        <w:rPr>
          <w:rFonts w:hint="eastAsia" w:ascii="宋体" w:hAnsi="宋体" w:cs="宋体"/>
          <w:kern w:val="0"/>
        </w:rPr>
        <w:t>⑤</w:t>
      </w:r>
      <w:r>
        <w:rPr>
          <w:rFonts w:hint="eastAsia"/>
          <w:kern w:val="0"/>
        </w:rPr>
        <w:t>转动设备部位要保持清洁，防止杂物等因磨擦燃烧。</w:t>
      </w:r>
    </w:p>
    <w:p>
      <w:pPr>
        <w:pStyle w:val="739"/>
        <w:ind w:firstLine="480"/>
        <w:outlineLvl w:val="0"/>
        <w:rPr>
          <w:kern w:val="0"/>
        </w:rPr>
      </w:pPr>
      <w:r>
        <w:rPr>
          <w:kern w:val="0"/>
        </w:rPr>
        <w:fldChar w:fldCharType="begin"/>
      </w:r>
      <w:r>
        <w:rPr>
          <w:kern w:val="0"/>
        </w:rPr>
        <w:instrText xml:space="preserve">= 2 \* GB2</w:instrText>
      </w:r>
      <w:r>
        <w:rPr>
          <w:kern w:val="0"/>
        </w:rPr>
        <w:fldChar w:fldCharType="separate"/>
      </w:r>
      <w:bookmarkStart w:id="761" w:name="_Toc9403197"/>
      <w:bookmarkStart w:id="762" w:name="_Toc5286459"/>
      <w:bookmarkStart w:id="763" w:name="_Toc13760320"/>
      <w:bookmarkStart w:id="764" w:name="_Toc13582292"/>
      <w:r>
        <w:rPr>
          <w:rFonts w:hint="eastAsia"/>
          <w:kern w:val="0"/>
        </w:rPr>
        <w:t>⑵</w:t>
      </w:r>
      <w:r>
        <w:rPr>
          <w:rFonts w:asciiTheme="minorHAnsi" w:hAnsiTheme="minorHAnsi"/>
          <w:sz w:val="21"/>
        </w:rPr>
        <w:fldChar w:fldCharType="end"/>
      </w:r>
      <w:r>
        <w:rPr>
          <w:rFonts w:hint="eastAsia"/>
          <w:kern w:val="0"/>
        </w:rPr>
        <w:t>严格控制设备质量及其安装质量：</w:t>
      </w:r>
      <w:bookmarkEnd w:id="761"/>
      <w:bookmarkEnd w:id="762"/>
      <w:bookmarkEnd w:id="763"/>
      <w:bookmarkEnd w:id="764"/>
    </w:p>
    <w:p>
      <w:pPr>
        <w:pStyle w:val="739"/>
        <w:ind w:firstLine="480"/>
        <w:rPr>
          <w:kern w:val="0"/>
        </w:rPr>
      </w:pPr>
      <w:r>
        <w:rPr>
          <w:rFonts w:hint="eastAsia" w:ascii="宋体" w:hAnsi="宋体" w:cs="宋体"/>
          <w:kern w:val="0"/>
        </w:rPr>
        <w:t>①</w:t>
      </w:r>
      <w:r>
        <w:rPr>
          <w:rFonts w:hint="eastAsia"/>
          <w:kern w:val="0"/>
        </w:rPr>
        <w:t>设备及其配套仪表要选用合格产品，并保证安装质量；</w:t>
      </w:r>
    </w:p>
    <w:p>
      <w:pPr>
        <w:pStyle w:val="739"/>
        <w:ind w:firstLine="480"/>
        <w:rPr>
          <w:kern w:val="0"/>
        </w:rPr>
      </w:pPr>
      <w:r>
        <w:rPr>
          <w:rFonts w:hint="eastAsia" w:ascii="宋体" w:hAnsi="宋体" w:cs="宋体"/>
          <w:kern w:val="0"/>
        </w:rPr>
        <w:t>②</w:t>
      </w:r>
      <w:r>
        <w:rPr>
          <w:rFonts w:hint="eastAsia"/>
          <w:kern w:val="0"/>
        </w:rPr>
        <w:t>管道、容器等有关设施要按要求进行试压等；</w:t>
      </w:r>
    </w:p>
    <w:p>
      <w:pPr>
        <w:pStyle w:val="739"/>
        <w:ind w:firstLine="480"/>
        <w:rPr>
          <w:kern w:val="0"/>
        </w:rPr>
      </w:pPr>
      <w:r>
        <w:rPr>
          <w:rFonts w:hint="eastAsia" w:ascii="宋体" w:hAnsi="宋体" w:cs="宋体"/>
          <w:kern w:val="0"/>
        </w:rPr>
        <w:t>③</w:t>
      </w:r>
      <w:r>
        <w:rPr>
          <w:rFonts w:hint="eastAsia"/>
          <w:kern w:val="0"/>
        </w:rPr>
        <w:t>按规定要求，在易燃易爆场所选用防爆电器；</w:t>
      </w:r>
    </w:p>
    <w:p>
      <w:pPr>
        <w:pStyle w:val="739"/>
        <w:ind w:firstLine="480"/>
        <w:rPr>
          <w:kern w:val="0"/>
        </w:rPr>
      </w:pPr>
      <w:r>
        <w:rPr>
          <w:rFonts w:hint="eastAsia" w:ascii="宋体" w:hAnsi="宋体" w:cs="宋体"/>
          <w:kern w:val="0"/>
        </w:rPr>
        <w:t>④</w:t>
      </w:r>
      <w:r>
        <w:rPr>
          <w:rFonts w:hint="eastAsia"/>
          <w:kern w:val="0"/>
        </w:rPr>
        <w:t>对设备、管线、泵、阀、仪表等要定期进行检查、检测、维修保养。</w:t>
      </w:r>
    </w:p>
    <w:p>
      <w:pPr>
        <w:pStyle w:val="739"/>
        <w:ind w:firstLine="480"/>
        <w:outlineLvl w:val="0"/>
        <w:rPr>
          <w:kern w:val="0"/>
        </w:rPr>
      </w:pPr>
      <w:r>
        <w:rPr>
          <w:kern w:val="0"/>
        </w:rPr>
        <w:fldChar w:fldCharType="begin"/>
      </w:r>
      <w:r>
        <w:rPr>
          <w:kern w:val="0"/>
        </w:rPr>
        <w:instrText xml:space="preserve">= 3 \* GB2</w:instrText>
      </w:r>
      <w:r>
        <w:rPr>
          <w:kern w:val="0"/>
        </w:rPr>
        <w:fldChar w:fldCharType="separate"/>
      </w:r>
      <w:bookmarkStart w:id="765" w:name="_Toc5286460"/>
      <w:bookmarkStart w:id="766" w:name="_Toc13582293"/>
      <w:bookmarkStart w:id="767" w:name="_Toc13760321"/>
      <w:bookmarkStart w:id="768" w:name="_Toc9403198"/>
      <w:r>
        <w:rPr>
          <w:rFonts w:hint="eastAsia"/>
          <w:kern w:val="0"/>
        </w:rPr>
        <w:t>⑶</w:t>
      </w:r>
      <w:r>
        <w:rPr>
          <w:rFonts w:asciiTheme="minorHAnsi" w:hAnsiTheme="minorHAnsi"/>
          <w:sz w:val="21"/>
        </w:rPr>
        <w:fldChar w:fldCharType="end"/>
      </w:r>
      <w:r>
        <w:rPr>
          <w:rFonts w:hint="eastAsia"/>
          <w:kern w:val="0"/>
        </w:rPr>
        <w:t>加强管理、严格工艺纪律：</w:t>
      </w:r>
      <w:bookmarkEnd w:id="765"/>
      <w:bookmarkEnd w:id="766"/>
      <w:bookmarkEnd w:id="767"/>
      <w:bookmarkEnd w:id="768"/>
    </w:p>
    <w:p>
      <w:pPr>
        <w:pStyle w:val="739"/>
        <w:ind w:firstLine="480"/>
        <w:rPr>
          <w:kern w:val="0"/>
        </w:rPr>
      </w:pPr>
      <w:r>
        <w:rPr>
          <w:rFonts w:hint="eastAsia" w:ascii="宋体" w:hAnsi="宋体" w:cs="宋体"/>
          <w:kern w:val="0"/>
        </w:rPr>
        <w:t>①</w:t>
      </w:r>
      <w:r>
        <w:rPr>
          <w:rFonts w:hint="eastAsia"/>
          <w:kern w:val="0"/>
        </w:rPr>
        <w:t>在危险作业场所，要设置危险警示标志；</w:t>
      </w:r>
    </w:p>
    <w:p>
      <w:pPr>
        <w:pStyle w:val="739"/>
        <w:ind w:firstLine="480"/>
        <w:rPr>
          <w:kern w:val="0"/>
        </w:rPr>
      </w:pPr>
      <w:r>
        <w:rPr>
          <w:rFonts w:hint="eastAsia" w:ascii="宋体" w:hAnsi="宋体" w:cs="宋体"/>
          <w:kern w:val="0"/>
        </w:rPr>
        <w:t>②</w:t>
      </w:r>
      <w:r>
        <w:rPr>
          <w:rFonts w:hint="eastAsia"/>
          <w:kern w:val="0"/>
        </w:rPr>
        <w:t>严格要求员工遵守各项规章制度、操作规程；</w:t>
      </w:r>
    </w:p>
    <w:p>
      <w:pPr>
        <w:pStyle w:val="739"/>
        <w:ind w:firstLine="480"/>
        <w:rPr>
          <w:kern w:val="0"/>
        </w:rPr>
      </w:pPr>
      <w:r>
        <w:rPr>
          <w:rFonts w:hint="eastAsia" w:ascii="宋体" w:hAnsi="宋体" w:cs="宋体"/>
          <w:kern w:val="0"/>
        </w:rPr>
        <w:t>③</w:t>
      </w:r>
      <w:r>
        <w:rPr>
          <w:rFonts w:hint="eastAsia"/>
          <w:kern w:val="0"/>
        </w:rPr>
        <w:t>坚持巡回检查；</w:t>
      </w:r>
    </w:p>
    <w:p>
      <w:pPr>
        <w:pStyle w:val="739"/>
        <w:ind w:firstLine="480"/>
        <w:rPr>
          <w:kern w:val="0"/>
        </w:rPr>
      </w:pPr>
      <w:r>
        <w:rPr>
          <w:rFonts w:hint="eastAsia" w:ascii="宋体" w:hAnsi="宋体" w:cs="宋体"/>
          <w:kern w:val="0"/>
        </w:rPr>
        <w:t>④</w:t>
      </w:r>
      <w:r>
        <w:rPr>
          <w:rFonts w:hint="eastAsia"/>
          <w:kern w:val="0"/>
        </w:rPr>
        <w:t>加强培训、教育、考核工作；</w:t>
      </w:r>
    </w:p>
    <w:p>
      <w:pPr>
        <w:pStyle w:val="739"/>
        <w:ind w:firstLine="480"/>
        <w:rPr>
          <w:kern w:val="0"/>
        </w:rPr>
      </w:pPr>
      <w:r>
        <w:rPr>
          <w:rFonts w:hint="eastAsia" w:ascii="宋体" w:hAnsi="宋体" w:cs="宋体"/>
          <w:kern w:val="0"/>
        </w:rPr>
        <w:t>⑤</w:t>
      </w:r>
      <w:r>
        <w:rPr>
          <w:rFonts w:hint="eastAsia"/>
          <w:kern w:val="0"/>
        </w:rPr>
        <w:t>安全设施</w:t>
      </w:r>
      <w:r>
        <w:rPr>
          <w:kern w:val="0"/>
        </w:rPr>
        <w:t>(</w:t>
      </w:r>
      <w:r>
        <w:rPr>
          <w:rFonts w:hint="eastAsia"/>
          <w:kern w:val="0"/>
        </w:rPr>
        <w:t>如消防设施等</w:t>
      </w:r>
      <w:r>
        <w:rPr>
          <w:kern w:val="0"/>
        </w:rPr>
        <w:t>)</w:t>
      </w:r>
      <w:r>
        <w:rPr>
          <w:rFonts w:hint="eastAsia"/>
          <w:kern w:val="0"/>
        </w:rPr>
        <w:t>齐全并保持完好。</w:t>
      </w:r>
    </w:p>
    <w:p>
      <w:pPr>
        <w:pStyle w:val="739"/>
        <w:ind w:firstLine="480"/>
        <w:outlineLvl w:val="0"/>
        <w:rPr>
          <w:kern w:val="0"/>
        </w:rPr>
      </w:pPr>
      <w:r>
        <w:rPr>
          <w:kern w:val="0"/>
        </w:rPr>
        <w:fldChar w:fldCharType="begin"/>
      </w:r>
      <w:r>
        <w:rPr>
          <w:kern w:val="0"/>
        </w:rPr>
        <w:instrText xml:space="preserve">= 4 \* GB2</w:instrText>
      </w:r>
      <w:r>
        <w:rPr>
          <w:kern w:val="0"/>
        </w:rPr>
        <w:fldChar w:fldCharType="separate"/>
      </w:r>
      <w:bookmarkStart w:id="769" w:name="_Toc5286461"/>
      <w:bookmarkStart w:id="770" w:name="_Toc13582294"/>
      <w:bookmarkStart w:id="771" w:name="_Toc9403199"/>
      <w:bookmarkStart w:id="772" w:name="_Toc13760322"/>
      <w:r>
        <w:rPr>
          <w:rFonts w:hint="eastAsia"/>
          <w:kern w:val="0"/>
        </w:rPr>
        <w:t>⑷</w:t>
      </w:r>
      <w:r>
        <w:rPr>
          <w:rFonts w:asciiTheme="minorHAnsi" w:hAnsiTheme="minorHAnsi"/>
          <w:sz w:val="21"/>
        </w:rPr>
        <w:fldChar w:fldCharType="end"/>
      </w:r>
      <w:r>
        <w:rPr>
          <w:rFonts w:hint="eastAsia"/>
          <w:kern w:val="0"/>
        </w:rPr>
        <w:t>严禁电负荷过载运行。</w:t>
      </w:r>
      <w:bookmarkEnd w:id="769"/>
      <w:bookmarkEnd w:id="770"/>
      <w:bookmarkEnd w:id="771"/>
      <w:bookmarkEnd w:id="772"/>
    </w:p>
    <w:p>
      <w:pPr>
        <w:pStyle w:val="739"/>
        <w:ind w:firstLine="480"/>
        <w:rPr>
          <w:kern w:val="0"/>
        </w:rPr>
      </w:pPr>
      <w:r>
        <w:rPr>
          <w:kern w:val="0"/>
        </w:rPr>
        <w:fldChar w:fldCharType="begin"/>
      </w:r>
      <w:r>
        <w:rPr>
          <w:kern w:val="0"/>
        </w:rPr>
        <w:instrText xml:space="preserve">= 1 \* GB2</w:instrText>
      </w:r>
      <w:r>
        <w:rPr>
          <w:kern w:val="0"/>
        </w:rPr>
        <w:fldChar w:fldCharType="separate"/>
      </w:r>
      <w:r>
        <w:rPr>
          <w:rFonts w:hint="eastAsia"/>
          <w:kern w:val="0"/>
        </w:rPr>
        <w:t>⑴</w:t>
      </w:r>
      <w:r>
        <w:rPr>
          <w:kern w:val="0"/>
        </w:rPr>
        <w:fldChar w:fldCharType="end"/>
      </w:r>
      <w:r>
        <w:rPr>
          <w:rFonts w:hint="eastAsia"/>
          <w:kern w:val="0"/>
        </w:rPr>
        <w:t>对储存易燃气体、易燃液体的储罐采取接地措施。</w:t>
      </w:r>
    </w:p>
    <w:p>
      <w:pPr>
        <w:pStyle w:val="739"/>
        <w:ind w:firstLine="480"/>
        <w:rPr>
          <w:kern w:val="0"/>
        </w:rPr>
      </w:pPr>
      <w:r>
        <w:rPr>
          <w:kern w:val="0"/>
        </w:rPr>
        <w:fldChar w:fldCharType="begin"/>
      </w:r>
      <w:r>
        <w:rPr>
          <w:kern w:val="0"/>
        </w:rPr>
        <w:instrText xml:space="preserve">= 2 \* GB2</w:instrText>
      </w:r>
      <w:r>
        <w:rPr>
          <w:kern w:val="0"/>
        </w:rPr>
        <w:fldChar w:fldCharType="separate"/>
      </w:r>
      <w:r>
        <w:rPr>
          <w:rFonts w:hint="eastAsia"/>
          <w:kern w:val="0"/>
        </w:rPr>
        <w:t>⑵</w:t>
      </w:r>
      <w:r>
        <w:rPr>
          <w:kern w:val="0"/>
        </w:rPr>
        <w:fldChar w:fldCharType="end"/>
      </w:r>
      <w:r>
        <w:rPr>
          <w:rFonts w:hint="eastAsia"/>
          <w:kern w:val="0"/>
        </w:rPr>
        <w:t>在生产装置、原料储罐区设置可燃气体报警器。</w:t>
      </w:r>
    </w:p>
    <w:p>
      <w:pPr>
        <w:pStyle w:val="6"/>
        <w:rPr>
          <w:rFonts w:asciiTheme="majorHAnsi" w:hAnsiTheme="majorHAnsi"/>
          <w:kern w:val="0"/>
        </w:rPr>
      </w:pPr>
      <w:r>
        <w:rPr>
          <w:kern w:val="0"/>
        </w:rPr>
        <w:t>8.7.1.</w:t>
      </w:r>
      <w:r>
        <w:rPr>
          <w:rFonts w:hint="eastAsia"/>
          <w:kern w:val="0"/>
        </w:rPr>
        <w:t>9</w:t>
      </w:r>
      <w:r>
        <w:rPr>
          <w:rFonts w:hint="eastAsia" w:ascii="宋体" w:hAnsi="宋体" w:eastAsia="宋体" w:cs="宋体"/>
          <w:kern w:val="0"/>
        </w:rPr>
        <w:t>强化安全生产管理</w:t>
      </w:r>
    </w:p>
    <w:p>
      <w:pPr>
        <w:widowControl/>
        <w:adjustRightInd w:val="0"/>
        <w:snapToGrid w:val="0"/>
        <w:ind w:firstLine="480"/>
        <w:jc w:val="left"/>
        <w:rPr>
          <w:color w:val="000000"/>
          <w:kern w:val="0"/>
          <w:szCs w:val="24"/>
        </w:rPr>
      </w:pPr>
      <w:r>
        <w:rPr>
          <w:rFonts w:hint="eastAsia"/>
          <w:color w:val="000000"/>
          <w:kern w:val="0"/>
          <w:szCs w:val="24"/>
        </w:rPr>
        <w:t>在管理上设置专业安全卫生监督机构，建立严格的规章制度和安全生产措施，所有工作人员必须培训上岗，绝不容许引入不安全因素到生产作业中去。</w:t>
      </w:r>
    </w:p>
    <w:p>
      <w:pPr>
        <w:widowControl/>
        <w:adjustRightInd w:val="0"/>
        <w:snapToGrid w:val="0"/>
        <w:ind w:firstLine="480"/>
        <w:jc w:val="left"/>
        <w:rPr>
          <w:color w:val="000000"/>
          <w:kern w:val="0"/>
          <w:szCs w:val="24"/>
        </w:rPr>
      </w:pPr>
      <w:r>
        <w:rPr>
          <w:rFonts w:hint="eastAsia"/>
          <w:color w:val="000000"/>
          <w:kern w:val="0"/>
          <w:szCs w:val="24"/>
        </w:rPr>
        <w:t>加强监测，杜绝意外泄漏事故造成的危害。在厂区布置有毒、有害、可燃气体探测器，进行不间断监测，防止物料的泄漏。</w:t>
      </w:r>
    </w:p>
    <w:p>
      <w:pPr>
        <w:widowControl/>
        <w:adjustRightInd w:val="0"/>
        <w:snapToGrid w:val="0"/>
        <w:ind w:firstLine="480"/>
        <w:jc w:val="left"/>
        <w:rPr>
          <w:color w:val="000000"/>
          <w:kern w:val="0"/>
          <w:szCs w:val="24"/>
        </w:rPr>
      </w:pPr>
      <w:r>
        <w:rPr>
          <w:rFonts w:hint="eastAsia"/>
          <w:color w:val="000000"/>
          <w:kern w:val="0"/>
          <w:szCs w:val="24"/>
        </w:rPr>
        <w:t>采用密封性能良好的阀门、泵等设备和配件；在防爆区域内使用的电气等设备，均需采用相应防爆等级的防爆产品。</w:t>
      </w:r>
    </w:p>
    <w:p>
      <w:pPr>
        <w:widowControl/>
        <w:adjustRightInd w:val="0"/>
        <w:snapToGrid w:val="0"/>
        <w:ind w:firstLine="480"/>
        <w:jc w:val="left"/>
        <w:rPr>
          <w:color w:val="000000"/>
          <w:kern w:val="0"/>
          <w:szCs w:val="24"/>
        </w:rPr>
      </w:pPr>
      <w:r>
        <w:rPr>
          <w:rFonts w:hint="eastAsia"/>
          <w:color w:val="000000"/>
          <w:kern w:val="0"/>
          <w:szCs w:val="24"/>
        </w:rPr>
        <w:t>贯彻执行密闭和自动控制原则，在输送化工物品过程中均采用自动控制和闭路电视进行巡视控制。遵守安全操作规程，严禁在生产区、中间罐区明火作业，需要采用电焊作业，需上报主管部门，并作好相应的防护措施。</w:t>
      </w:r>
    </w:p>
    <w:p>
      <w:pPr>
        <w:widowControl/>
        <w:adjustRightInd w:val="0"/>
        <w:snapToGrid w:val="0"/>
        <w:ind w:firstLine="480"/>
        <w:jc w:val="left"/>
        <w:rPr>
          <w:color w:val="000000"/>
          <w:kern w:val="0"/>
          <w:szCs w:val="24"/>
        </w:rPr>
      </w:pPr>
      <w:r>
        <w:rPr>
          <w:rFonts w:hint="eastAsia"/>
          <w:color w:val="000000"/>
          <w:kern w:val="0"/>
          <w:szCs w:val="24"/>
        </w:rPr>
        <w:t>生产区、中间罐区均设禁止吸烟标志，防止人为吸烟引起明火火灾等事故。物料输送管均需设有防静电装置。</w:t>
      </w:r>
    </w:p>
    <w:p>
      <w:pPr>
        <w:widowControl/>
        <w:adjustRightInd w:val="0"/>
        <w:snapToGrid w:val="0"/>
        <w:ind w:firstLine="480"/>
        <w:jc w:val="left"/>
        <w:rPr>
          <w:color w:val="000000"/>
          <w:kern w:val="0"/>
          <w:szCs w:val="24"/>
        </w:rPr>
      </w:pPr>
      <w:r>
        <w:rPr>
          <w:rFonts w:hint="eastAsia"/>
          <w:color w:val="000000"/>
          <w:kern w:val="0"/>
          <w:szCs w:val="24"/>
        </w:rPr>
        <w:t>同时，在具有爆炸危险的区域内，所有的电器设备均采用防爆型设备，设备和管道设有防雷防静电接地设施；储罐区内消防水管环形布置；汽车运输车设有链条接地；落实现场人员地劳动保护措施；严格执行有关的操作运行规章制度，在各岗位设置警示标牌。</w:t>
      </w:r>
    </w:p>
    <w:p>
      <w:pPr>
        <w:widowControl/>
        <w:adjustRightInd w:val="0"/>
        <w:snapToGrid w:val="0"/>
        <w:ind w:firstLine="480"/>
        <w:jc w:val="left"/>
        <w:rPr>
          <w:color w:val="000000"/>
          <w:kern w:val="0"/>
          <w:szCs w:val="24"/>
        </w:rPr>
      </w:pPr>
      <w:r>
        <w:rPr>
          <w:rFonts w:hint="eastAsia"/>
          <w:color w:val="000000"/>
          <w:kern w:val="0"/>
          <w:szCs w:val="24"/>
        </w:rPr>
        <w:t>在初步设计完成后，有关单位要从安全生产的角度对项目的总体设计进行全面的审查。</w:t>
      </w:r>
    </w:p>
    <w:p>
      <w:pPr>
        <w:pStyle w:val="5"/>
        <w:rPr>
          <w:rFonts w:asciiTheme="minorHAnsi" w:hAnsiTheme="minorHAnsi"/>
          <w:sz w:val="24"/>
        </w:rPr>
      </w:pPr>
      <w:bookmarkStart w:id="773" w:name="_Toc9403200"/>
      <w:bookmarkStart w:id="774" w:name="_Toc13760323"/>
      <w:r>
        <w:t>8.7.2</w:t>
      </w:r>
      <w:r>
        <w:rPr>
          <w:rFonts w:hint="eastAsia"/>
        </w:rPr>
        <w:t>应急预案</w:t>
      </w:r>
      <w:bookmarkEnd w:id="773"/>
      <w:bookmarkEnd w:id="774"/>
    </w:p>
    <w:p>
      <w:pPr>
        <w:pStyle w:val="6"/>
        <w:rPr>
          <w:rFonts w:eastAsiaTheme="minorEastAsia"/>
        </w:rPr>
      </w:pPr>
      <w:r>
        <w:t>8.7.2.</w:t>
      </w:r>
      <w:r>
        <w:rPr>
          <w:rFonts w:eastAsiaTheme="minorEastAsia"/>
        </w:rPr>
        <w:t>1</w:t>
      </w:r>
      <w:r>
        <w:rPr>
          <w:rFonts w:hint="eastAsia" w:eastAsiaTheme="minorEastAsia"/>
        </w:rPr>
        <w:t>事故应急救援指挥系统、各成员和部门职责</w:t>
      </w:r>
    </w:p>
    <w:p>
      <w:pPr>
        <w:pStyle w:val="739"/>
        <w:ind w:firstLine="480"/>
        <w:outlineLvl w:val="0"/>
        <w:rPr>
          <w:rFonts w:cs="Times New Roman" w:eastAsiaTheme="minorEastAsia"/>
        </w:rPr>
      </w:pPr>
      <w:r>
        <w:rPr>
          <w:rFonts w:hint="eastAsia"/>
        </w:rPr>
        <w:fldChar w:fldCharType="begin"/>
      </w:r>
      <w:r>
        <w:instrText xml:space="preserve">= 1 \* GB2</w:instrText>
      </w:r>
      <w:r>
        <w:rPr>
          <w:rFonts w:hint="eastAsia"/>
        </w:rPr>
        <w:fldChar w:fldCharType="separate"/>
      </w:r>
      <w:bookmarkStart w:id="775" w:name="_Toc9403201"/>
      <w:bookmarkStart w:id="776" w:name="_Toc13760324"/>
      <w:bookmarkStart w:id="777" w:name="_Toc13582296"/>
      <w:bookmarkStart w:id="778" w:name="_Toc5286463"/>
      <w:r>
        <w:rPr>
          <w:rFonts w:hint="eastAsia"/>
        </w:rPr>
        <w:t>⑴</w:t>
      </w:r>
      <w:r>
        <w:rPr>
          <w:rFonts w:hint="eastAsia"/>
        </w:rPr>
        <w:fldChar w:fldCharType="end"/>
      </w:r>
      <w:r>
        <w:rPr>
          <w:rFonts w:hint="eastAsia" w:cs="Times New Roman"/>
        </w:rPr>
        <w:t>组织机构</w:t>
      </w:r>
      <w:bookmarkEnd w:id="775"/>
      <w:bookmarkEnd w:id="776"/>
      <w:bookmarkEnd w:id="777"/>
      <w:bookmarkEnd w:id="778"/>
    </w:p>
    <w:p>
      <w:pPr>
        <w:adjustRightInd w:val="0"/>
        <w:snapToGrid w:val="0"/>
        <w:ind w:firstLine="480"/>
        <w:rPr>
          <w:rFonts w:cs="Times New Roman"/>
          <w:szCs w:val="24"/>
        </w:rPr>
      </w:pPr>
      <w:r>
        <w:rPr>
          <w:rFonts w:hint="eastAsia" w:cs="Times New Roman"/>
          <w:szCs w:val="24"/>
        </w:rPr>
        <w:t>为有效预防事故，尽量减少事故造成的损失，保证在发生重大事故时，贯彻</w:t>
      </w:r>
      <w:r>
        <w:rPr>
          <w:rFonts w:cs="Times New Roman"/>
          <w:szCs w:val="24"/>
        </w:rPr>
        <w:t>“</w:t>
      </w:r>
      <w:r>
        <w:rPr>
          <w:rFonts w:hint="eastAsia" w:cs="Times New Roman"/>
          <w:szCs w:val="24"/>
        </w:rPr>
        <w:t>统一指挥，分级负责</w:t>
      </w:r>
      <w:r>
        <w:rPr>
          <w:rFonts w:cs="Times New Roman"/>
          <w:szCs w:val="24"/>
        </w:rPr>
        <w:t>”</w:t>
      </w:r>
      <w:r>
        <w:rPr>
          <w:rFonts w:hint="eastAsia" w:cs="Times New Roman"/>
          <w:szCs w:val="24"/>
        </w:rPr>
        <w:t>的原则，公司成立事故应急救援指挥部</w:t>
      </w:r>
      <w:r>
        <w:rPr>
          <w:rFonts w:cs="Times New Roman"/>
          <w:szCs w:val="24"/>
        </w:rPr>
        <w:t>(</w:t>
      </w:r>
      <w:r>
        <w:rPr>
          <w:rFonts w:hint="eastAsia" w:cs="Times New Roman"/>
          <w:szCs w:val="24"/>
        </w:rPr>
        <w:t>当发生重大事故时，要立即启动事故应急预案，指挥部即按本预案自然建立</w:t>
      </w:r>
      <w:r>
        <w:rPr>
          <w:rFonts w:cs="Times New Roman"/>
          <w:szCs w:val="24"/>
        </w:rPr>
        <w:t>)</w:t>
      </w:r>
      <w:r>
        <w:rPr>
          <w:rFonts w:hint="eastAsia" w:cs="Times New Roman"/>
          <w:szCs w:val="24"/>
        </w:rPr>
        <w:t>，其组织机构如下：</w:t>
      </w:r>
    </w:p>
    <w:p>
      <w:pPr>
        <w:adjustRightInd w:val="0"/>
        <w:snapToGrid w:val="0"/>
        <w:ind w:firstLine="480"/>
        <w:rPr>
          <w:rFonts w:cs="Times New Roman"/>
          <w:szCs w:val="24"/>
        </w:rPr>
      </w:pPr>
      <w:r>
        <w:rPr>
          <w:rFonts w:hint="eastAsia" w:cs="Times New Roman"/>
          <w:szCs w:val="24"/>
        </w:rPr>
        <w:t>总指挥：公司总经理</w:t>
      </w:r>
    </w:p>
    <w:p>
      <w:pPr>
        <w:adjustRightInd w:val="0"/>
        <w:snapToGrid w:val="0"/>
        <w:ind w:firstLine="480"/>
        <w:rPr>
          <w:rFonts w:cs="Times New Roman"/>
          <w:szCs w:val="24"/>
        </w:rPr>
      </w:pPr>
      <w:r>
        <w:rPr>
          <w:rFonts w:hint="eastAsia" w:cs="Times New Roman"/>
          <w:szCs w:val="24"/>
        </w:rPr>
        <w:t>副总指挥：公司副总经理</w:t>
      </w:r>
    </w:p>
    <w:p>
      <w:pPr>
        <w:adjustRightInd w:val="0"/>
        <w:snapToGrid w:val="0"/>
        <w:ind w:firstLine="480"/>
        <w:rPr>
          <w:rFonts w:cs="Times New Roman"/>
          <w:szCs w:val="24"/>
        </w:rPr>
      </w:pPr>
      <w:r>
        <w:rPr>
          <w:rFonts w:hint="eastAsia" w:cs="Times New Roman"/>
          <w:szCs w:val="24"/>
        </w:rPr>
        <w:t>成员：总经办、调度室、生产技术部、保卫部、供应部、安全环保部的第一负责人。</w:t>
      </w:r>
    </w:p>
    <w:p>
      <w:pPr>
        <w:adjustRightInd w:val="0"/>
        <w:snapToGrid w:val="0"/>
        <w:ind w:firstLine="480"/>
        <w:rPr>
          <w:rFonts w:cs="Times New Roman"/>
          <w:szCs w:val="24"/>
        </w:rPr>
      </w:pPr>
      <w:r>
        <w:rPr>
          <w:rFonts w:hint="eastAsia" w:cs="Times New Roman"/>
          <w:szCs w:val="24"/>
        </w:rPr>
        <w:t>指挥部办公地点：调度室、安全环保部门。</w:t>
      </w:r>
    </w:p>
    <w:p>
      <w:pPr>
        <w:adjustRightInd w:val="0"/>
        <w:snapToGrid w:val="0"/>
        <w:ind w:firstLine="480"/>
        <w:rPr>
          <w:rFonts w:cs="Times New Roman"/>
          <w:szCs w:val="24"/>
        </w:rPr>
      </w:pPr>
      <w:r>
        <w:rPr>
          <w:rFonts w:hint="eastAsia" w:cs="Times New Roman"/>
          <w:szCs w:val="24"/>
        </w:rPr>
        <w:t>日常工作由安全环保部门负责。</w:t>
      </w:r>
    </w:p>
    <w:p>
      <w:pPr>
        <w:pStyle w:val="739"/>
        <w:ind w:firstLine="480"/>
        <w:outlineLvl w:val="0"/>
        <w:rPr>
          <w:rFonts w:cs="Times New Roman"/>
        </w:rPr>
      </w:pPr>
      <w:r>
        <w:rPr>
          <w:rFonts w:hint="eastAsia"/>
        </w:rPr>
        <w:fldChar w:fldCharType="begin"/>
      </w:r>
      <w:r>
        <w:instrText xml:space="preserve">= 2 \* GB2</w:instrText>
      </w:r>
      <w:r>
        <w:rPr>
          <w:rFonts w:hint="eastAsia"/>
        </w:rPr>
        <w:fldChar w:fldCharType="separate"/>
      </w:r>
      <w:bookmarkStart w:id="779" w:name="_Toc13760325"/>
      <w:bookmarkStart w:id="780" w:name="_Toc9403202"/>
      <w:bookmarkStart w:id="781" w:name="_Toc13582297"/>
      <w:bookmarkStart w:id="782" w:name="_Toc5286464"/>
      <w:r>
        <w:rPr>
          <w:rFonts w:hint="eastAsia"/>
        </w:rPr>
        <w:t>⑵</w:t>
      </w:r>
      <w:r>
        <w:rPr>
          <w:rFonts w:hint="eastAsia"/>
        </w:rPr>
        <w:fldChar w:fldCharType="end"/>
      </w:r>
      <w:r>
        <w:rPr>
          <w:rFonts w:hint="eastAsia" w:cs="Times New Roman"/>
        </w:rPr>
        <w:t>指挥部成员分工</w:t>
      </w:r>
      <w:bookmarkEnd w:id="779"/>
      <w:bookmarkEnd w:id="780"/>
      <w:bookmarkEnd w:id="781"/>
      <w:bookmarkEnd w:id="782"/>
    </w:p>
    <w:p>
      <w:pPr>
        <w:adjustRightInd w:val="0"/>
        <w:snapToGrid w:val="0"/>
        <w:ind w:firstLine="480"/>
        <w:rPr>
          <w:rFonts w:cs="Times New Roman"/>
          <w:szCs w:val="24"/>
        </w:rPr>
      </w:pPr>
      <w:r>
        <w:rPr>
          <w:rFonts w:cs="Times New Roman"/>
          <w:szCs w:val="24"/>
        </w:rPr>
        <w:fldChar w:fldCharType="begin"/>
      </w:r>
      <w:r>
        <w:rPr>
          <w:rFonts w:cs="Times New Roman"/>
          <w:szCs w:val="24"/>
        </w:rPr>
        <w:instrText xml:space="preserve">= 1 \* GB3</w:instrText>
      </w:r>
      <w:r>
        <w:rPr>
          <w:rFonts w:cs="Times New Roman"/>
          <w:szCs w:val="24"/>
        </w:rPr>
        <w:fldChar w:fldCharType="separate"/>
      </w:r>
      <w:r>
        <w:rPr>
          <w:rFonts w:hint="eastAsia" w:cs="Times New Roman"/>
          <w:szCs w:val="24"/>
        </w:rPr>
        <w:t>①</w:t>
      </w:r>
      <w:r>
        <w:rPr>
          <w:rFonts w:cs="Times New Roman"/>
          <w:szCs w:val="24"/>
        </w:rPr>
        <w:fldChar w:fldCharType="end"/>
      </w:r>
      <w:r>
        <w:rPr>
          <w:rFonts w:hint="eastAsia" w:cs="Times New Roman"/>
          <w:szCs w:val="24"/>
        </w:rPr>
        <w:t>总指挥：组织指挥公司的应急救援工作。</w:t>
      </w:r>
    </w:p>
    <w:p>
      <w:pPr>
        <w:adjustRightInd w:val="0"/>
        <w:snapToGrid w:val="0"/>
        <w:ind w:firstLine="480"/>
        <w:rPr>
          <w:rFonts w:cs="Times New Roman"/>
          <w:szCs w:val="24"/>
        </w:rPr>
      </w:pPr>
      <w:r>
        <w:rPr>
          <w:rFonts w:cs="Times New Roman"/>
          <w:szCs w:val="24"/>
        </w:rPr>
        <w:fldChar w:fldCharType="begin"/>
      </w:r>
      <w:r>
        <w:rPr>
          <w:rFonts w:cs="Times New Roman"/>
          <w:szCs w:val="24"/>
        </w:rPr>
        <w:instrText xml:space="preserve">= 2 \* GB3</w:instrText>
      </w:r>
      <w:r>
        <w:rPr>
          <w:rFonts w:cs="Times New Roman"/>
          <w:szCs w:val="24"/>
        </w:rPr>
        <w:fldChar w:fldCharType="separate"/>
      </w:r>
      <w:r>
        <w:rPr>
          <w:rFonts w:hint="eastAsia" w:cs="Times New Roman"/>
          <w:szCs w:val="24"/>
        </w:rPr>
        <w:t>②</w:t>
      </w:r>
      <w:r>
        <w:rPr>
          <w:rFonts w:cs="Times New Roman"/>
          <w:szCs w:val="24"/>
        </w:rPr>
        <w:fldChar w:fldCharType="end"/>
      </w:r>
      <w:r>
        <w:rPr>
          <w:rFonts w:hint="eastAsia" w:cs="Times New Roman"/>
          <w:szCs w:val="24"/>
        </w:rPr>
        <w:t>副总指挥：协助总指挥负责应急救援的具体指挥工作。</w:t>
      </w:r>
    </w:p>
    <w:p>
      <w:pPr>
        <w:adjustRightInd w:val="0"/>
        <w:snapToGrid w:val="0"/>
        <w:ind w:firstLine="480"/>
        <w:rPr>
          <w:rFonts w:cs="Times New Roman"/>
          <w:szCs w:val="24"/>
        </w:rPr>
      </w:pPr>
      <w:r>
        <w:rPr>
          <w:rFonts w:cs="Times New Roman"/>
          <w:szCs w:val="24"/>
        </w:rPr>
        <w:fldChar w:fldCharType="begin"/>
      </w:r>
      <w:r>
        <w:rPr>
          <w:rFonts w:cs="Times New Roman"/>
          <w:szCs w:val="24"/>
        </w:rPr>
        <w:instrText xml:space="preserve">= 3 \* GB3</w:instrText>
      </w:r>
      <w:r>
        <w:rPr>
          <w:rFonts w:cs="Times New Roman"/>
          <w:szCs w:val="24"/>
        </w:rPr>
        <w:fldChar w:fldCharType="separate"/>
      </w:r>
      <w:r>
        <w:rPr>
          <w:rFonts w:hint="eastAsia" w:cs="Times New Roman"/>
          <w:szCs w:val="24"/>
        </w:rPr>
        <w:t>③</w:t>
      </w:r>
      <w:r>
        <w:rPr>
          <w:rFonts w:cs="Times New Roman"/>
          <w:szCs w:val="24"/>
        </w:rPr>
        <w:fldChar w:fldCharType="end"/>
      </w:r>
      <w:r>
        <w:rPr>
          <w:rFonts w:hint="eastAsia" w:cs="Times New Roman"/>
          <w:szCs w:val="24"/>
        </w:rPr>
        <w:t>安全环保部部长：</w:t>
      </w:r>
    </w:p>
    <w:p>
      <w:pPr>
        <w:adjustRightInd w:val="0"/>
        <w:snapToGrid w:val="0"/>
        <w:ind w:firstLine="480"/>
        <w:rPr>
          <w:rFonts w:cs="Times New Roman"/>
          <w:szCs w:val="24"/>
        </w:rPr>
      </w:pPr>
      <w:r>
        <w:rPr>
          <w:rFonts w:hint="eastAsia" w:cs="Times New Roman"/>
          <w:szCs w:val="24"/>
        </w:rPr>
        <w:t>协助总指挥做好事故报警、情况通报及事故处置工作；</w:t>
      </w:r>
    </w:p>
    <w:p>
      <w:pPr>
        <w:adjustRightInd w:val="0"/>
        <w:snapToGrid w:val="0"/>
        <w:ind w:firstLine="480"/>
        <w:rPr>
          <w:rFonts w:cs="Times New Roman"/>
          <w:szCs w:val="24"/>
        </w:rPr>
      </w:pPr>
      <w:r>
        <w:rPr>
          <w:rFonts w:hint="eastAsia" w:cs="Times New Roman"/>
          <w:szCs w:val="24"/>
        </w:rPr>
        <w:t>负责指挥事故现场及有害物质扩散区域内的监测工作；</w:t>
      </w:r>
    </w:p>
    <w:p>
      <w:pPr>
        <w:adjustRightInd w:val="0"/>
        <w:snapToGrid w:val="0"/>
        <w:ind w:firstLine="480"/>
        <w:rPr>
          <w:rFonts w:cs="Times New Roman"/>
          <w:szCs w:val="24"/>
        </w:rPr>
      </w:pPr>
      <w:r>
        <w:rPr>
          <w:rFonts w:hint="eastAsia" w:cs="Times New Roman"/>
          <w:szCs w:val="24"/>
        </w:rPr>
        <w:t>具体负责拟定公司的事故应急预案，并对各单位的应急预案进行汇总和审核；</w:t>
      </w:r>
    </w:p>
    <w:p>
      <w:pPr>
        <w:adjustRightInd w:val="0"/>
        <w:snapToGrid w:val="0"/>
        <w:ind w:firstLine="480"/>
        <w:rPr>
          <w:rFonts w:cs="Times New Roman"/>
          <w:szCs w:val="24"/>
        </w:rPr>
      </w:pPr>
      <w:r>
        <w:rPr>
          <w:rFonts w:hint="eastAsia" w:cs="Times New Roman"/>
          <w:szCs w:val="24"/>
        </w:rPr>
        <w:t>负责协调各单位组织事故、自然灾害所引发事故的应急抢险和应急演练、并对效果进行评审；</w:t>
      </w:r>
    </w:p>
    <w:p>
      <w:pPr>
        <w:adjustRightInd w:val="0"/>
        <w:snapToGrid w:val="0"/>
        <w:ind w:firstLine="480"/>
        <w:rPr>
          <w:rFonts w:cs="Times New Roman"/>
          <w:szCs w:val="24"/>
        </w:rPr>
      </w:pPr>
      <w:r>
        <w:rPr>
          <w:rFonts w:hint="eastAsia" w:cs="Times New Roman"/>
          <w:szCs w:val="24"/>
        </w:rPr>
        <w:t>负责对事故、自然灾害发生后所采取的措施进行验证；</w:t>
      </w:r>
    </w:p>
    <w:p>
      <w:pPr>
        <w:adjustRightInd w:val="0"/>
        <w:snapToGrid w:val="0"/>
        <w:ind w:firstLine="480"/>
        <w:rPr>
          <w:rFonts w:cs="Times New Roman"/>
          <w:szCs w:val="24"/>
        </w:rPr>
      </w:pPr>
      <w:r>
        <w:rPr>
          <w:rFonts w:hint="eastAsia" w:cs="Times New Roman"/>
          <w:szCs w:val="24"/>
        </w:rPr>
        <w:t>必要时代表指挥部对外发布有关信息。</w:t>
      </w:r>
    </w:p>
    <w:p>
      <w:pPr>
        <w:adjustRightInd w:val="0"/>
        <w:snapToGrid w:val="0"/>
        <w:ind w:firstLine="480"/>
        <w:rPr>
          <w:rFonts w:cs="Times New Roman"/>
          <w:szCs w:val="24"/>
        </w:rPr>
      </w:pPr>
      <w:r>
        <w:rPr>
          <w:rFonts w:cs="Times New Roman"/>
          <w:szCs w:val="24"/>
        </w:rPr>
        <w:fldChar w:fldCharType="begin"/>
      </w:r>
      <w:r>
        <w:rPr>
          <w:rFonts w:cs="Times New Roman"/>
          <w:szCs w:val="24"/>
        </w:rPr>
        <w:instrText xml:space="preserve">= 4 \* GB3</w:instrText>
      </w:r>
      <w:r>
        <w:rPr>
          <w:rFonts w:cs="Times New Roman"/>
          <w:szCs w:val="24"/>
        </w:rPr>
        <w:fldChar w:fldCharType="separate"/>
      </w:r>
      <w:r>
        <w:rPr>
          <w:rFonts w:hint="eastAsia" w:cs="Times New Roman"/>
          <w:szCs w:val="24"/>
        </w:rPr>
        <w:t>④</w:t>
      </w:r>
      <w:r>
        <w:rPr>
          <w:rFonts w:cs="Times New Roman"/>
          <w:szCs w:val="24"/>
        </w:rPr>
        <w:fldChar w:fldCharType="end"/>
      </w:r>
      <w:r>
        <w:rPr>
          <w:rFonts w:hint="eastAsia" w:cs="Times New Roman"/>
          <w:szCs w:val="24"/>
        </w:rPr>
        <w:t>保卫部、消防部门负责人</w:t>
      </w:r>
    </w:p>
    <w:p>
      <w:pPr>
        <w:adjustRightInd w:val="0"/>
        <w:snapToGrid w:val="0"/>
        <w:ind w:firstLine="480"/>
        <w:rPr>
          <w:rFonts w:cs="Times New Roman"/>
          <w:szCs w:val="24"/>
        </w:rPr>
      </w:pPr>
      <w:r>
        <w:rPr>
          <w:rFonts w:hint="eastAsia" w:cs="Times New Roman"/>
          <w:szCs w:val="24"/>
        </w:rPr>
        <w:t>负责拟定火灾事故的灭火作战计划，组织火灾事故的扑救；</w:t>
      </w:r>
    </w:p>
    <w:p>
      <w:pPr>
        <w:adjustRightInd w:val="0"/>
        <w:snapToGrid w:val="0"/>
        <w:ind w:firstLine="480"/>
        <w:rPr>
          <w:rFonts w:cs="Times New Roman"/>
          <w:szCs w:val="24"/>
        </w:rPr>
      </w:pPr>
      <w:r>
        <w:rPr>
          <w:rFonts w:hint="eastAsia" w:cs="Times New Roman"/>
          <w:szCs w:val="24"/>
        </w:rPr>
        <w:t>负责对义务消防队、气防队人员的培训，并对培训效果进行验证；</w:t>
      </w:r>
    </w:p>
    <w:p>
      <w:pPr>
        <w:adjustRightInd w:val="0"/>
        <w:snapToGrid w:val="0"/>
        <w:ind w:firstLine="480"/>
        <w:rPr>
          <w:rFonts w:cs="Times New Roman"/>
          <w:szCs w:val="24"/>
        </w:rPr>
      </w:pPr>
      <w:r>
        <w:rPr>
          <w:rFonts w:hint="eastAsia" w:cs="Times New Roman"/>
          <w:szCs w:val="24"/>
        </w:rPr>
        <w:t>负责对现场及周围安全人员进行防护指导、人员疏散及周围物资转移等工作；负责现场灭火、现场伤员的搜救、设备容器的冷却、抢救伤员及事故后对被污染区域的洗消工作。</w:t>
      </w:r>
    </w:p>
    <w:p>
      <w:pPr>
        <w:adjustRightInd w:val="0"/>
        <w:snapToGrid w:val="0"/>
        <w:ind w:firstLine="480"/>
        <w:rPr>
          <w:rFonts w:cs="Times New Roman"/>
          <w:szCs w:val="24"/>
        </w:rPr>
      </w:pPr>
      <w:r>
        <w:rPr>
          <w:rFonts w:hint="eastAsia" w:cs="Times New Roman"/>
          <w:szCs w:val="24"/>
        </w:rPr>
        <w:t>负责现场警戒、治安保卫，人员疏散、厂区道路交通管制工作。禁止无关人员和车辆进入危险区域，在人员疏散区域进行治安巡逻。</w:t>
      </w:r>
    </w:p>
    <w:p>
      <w:pPr>
        <w:adjustRightInd w:val="0"/>
        <w:snapToGrid w:val="0"/>
        <w:ind w:firstLine="480"/>
        <w:rPr>
          <w:rFonts w:cs="Times New Roman"/>
          <w:szCs w:val="24"/>
        </w:rPr>
      </w:pPr>
      <w:r>
        <w:rPr>
          <w:rFonts w:cs="Times New Roman"/>
          <w:szCs w:val="24"/>
        </w:rPr>
        <w:fldChar w:fldCharType="begin"/>
      </w:r>
      <w:r>
        <w:rPr>
          <w:rFonts w:cs="Times New Roman"/>
          <w:szCs w:val="24"/>
        </w:rPr>
        <w:instrText xml:space="preserve">= 5 \* GB3</w:instrText>
      </w:r>
      <w:r>
        <w:rPr>
          <w:rFonts w:cs="Times New Roman"/>
          <w:szCs w:val="24"/>
        </w:rPr>
        <w:fldChar w:fldCharType="separate"/>
      </w:r>
      <w:r>
        <w:rPr>
          <w:rFonts w:hint="eastAsia" w:cs="Times New Roman"/>
          <w:szCs w:val="24"/>
        </w:rPr>
        <w:t>⑤</w:t>
      </w:r>
      <w:r>
        <w:rPr>
          <w:rFonts w:cs="Times New Roman"/>
          <w:szCs w:val="24"/>
        </w:rPr>
        <w:fldChar w:fldCharType="end"/>
      </w:r>
      <w:r>
        <w:rPr>
          <w:rFonts w:hint="eastAsia" w:cs="Times New Roman"/>
          <w:szCs w:val="24"/>
        </w:rPr>
        <w:t>调度室</w:t>
      </w:r>
    </w:p>
    <w:p>
      <w:pPr>
        <w:adjustRightInd w:val="0"/>
        <w:snapToGrid w:val="0"/>
        <w:ind w:firstLine="480"/>
        <w:rPr>
          <w:rFonts w:cs="Times New Roman"/>
          <w:szCs w:val="24"/>
        </w:rPr>
      </w:pPr>
      <w:r>
        <w:rPr>
          <w:rFonts w:hint="eastAsia" w:cs="Times New Roman"/>
          <w:szCs w:val="24"/>
        </w:rPr>
        <w:t>负责事故发生时生产系统的协调、指挥，紧急停车和恢复生产工作；</w:t>
      </w:r>
    </w:p>
    <w:p>
      <w:pPr>
        <w:adjustRightInd w:val="0"/>
        <w:snapToGrid w:val="0"/>
        <w:ind w:firstLine="480"/>
        <w:rPr>
          <w:rFonts w:cs="Times New Roman"/>
          <w:szCs w:val="24"/>
        </w:rPr>
      </w:pPr>
      <w:r>
        <w:rPr>
          <w:rFonts w:hint="eastAsia" w:cs="Times New Roman"/>
          <w:szCs w:val="24"/>
        </w:rPr>
        <w:t>负责各部门及人员之间的通讯联络、信息传递工作。</w:t>
      </w:r>
    </w:p>
    <w:p>
      <w:pPr>
        <w:adjustRightInd w:val="0"/>
        <w:snapToGrid w:val="0"/>
        <w:ind w:firstLine="480"/>
        <w:rPr>
          <w:rFonts w:cs="Times New Roman"/>
          <w:szCs w:val="24"/>
        </w:rPr>
      </w:pPr>
      <w:r>
        <w:rPr>
          <w:rFonts w:hint="eastAsia" w:cs="Times New Roman"/>
          <w:szCs w:val="24"/>
        </w:rPr>
        <w:t>负责联系医院对现场医疗救护的指挥及受伤、中毒人员分类抢救和护送转院工作。</w:t>
      </w:r>
    </w:p>
    <w:p>
      <w:pPr>
        <w:adjustRightInd w:val="0"/>
        <w:snapToGrid w:val="0"/>
        <w:ind w:firstLine="480"/>
        <w:rPr>
          <w:rFonts w:cs="Times New Roman"/>
          <w:szCs w:val="24"/>
        </w:rPr>
      </w:pPr>
      <w:r>
        <w:rPr>
          <w:rFonts w:cs="Times New Roman"/>
          <w:szCs w:val="24"/>
        </w:rPr>
        <w:fldChar w:fldCharType="begin"/>
      </w:r>
      <w:r>
        <w:rPr>
          <w:rFonts w:cs="Times New Roman"/>
          <w:szCs w:val="24"/>
        </w:rPr>
        <w:instrText xml:space="preserve">= 6 \* GB3</w:instrText>
      </w:r>
      <w:r>
        <w:rPr>
          <w:rFonts w:cs="Times New Roman"/>
          <w:szCs w:val="24"/>
        </w:rPr>
        <w:fldChar w:fldCharType="separate"/>
      </w:r>
      <w:r>
        <w:rPr>
          <w:rFonts w:hint="eastAsia" w:cs="Times New Roman"/>
          <w:szCs w:val="24"/>
        </w:rPr>
        <w:t>⑥</w:t>
      </w:r>
      <w:r>
        <w:rPr>
          <w:rFonts w:cs="Times New Roman"/>
          <w:szCs w:val="24"/>
        </w:rPr>
        <w:fldChar w:fldCharType="end"/>
      </w:r>
      <w:r>
        <w:rPr>
          <w:rFonts w:hint="eastAsia" w:cs="Times New Roman"/>
          <w:szCs w:val="24"/>
        </w:rPr>
        <w:t>应急组织及职责分工</w:t>
      </w:r>
    </w:p>
    <w:p>
      <w:pPr>
        <w:adjustRightInd w:val="0"/>
        <w:snapToGrid w:val="0"/>
        <w:ind w:firstLine="480"/>
        <w:rPr>
          <w:rFonts w:cs="Times New Roman"/>
          <w:szCs w:val="24"/>
        </w:rPr>
      </w:pPr>
      <w:r>
        <w:rPr>
          <w:rFonts w:hint="eastAsia" w:cs="Times New Roman"/>
          <w:szCs w:val="24"/>
        </w:rPr>
        <w:t>信息负责人：负责及时收集、掌握准确完整地事故信息，包括事故原因、大小、当前的形势、使用的资源和其他综合事务，向新闻媒体、应急人员发布事故的有关信息，并向公众发布信息，组织撤离。</w:t>
      </w:r>
    </w:p>
    <w:p>
      <w:pPr>
        <w:adjustRightInd w:val="0"/>
        <w:snapToGrid w:val="0"/>
        <w:ind w:firstLine="480"/>
        <w:rPr>
          <w:rFonts w:cs="Times New Roman"/>
          <w:szCs w:val="24"/>
        </w:rPr>
      </w:pPr>
      <w:r>
        <w:rPr>
          <w:rFonts w:hint="eastAsia" w:cs="Times New Roman"/>
          <w:szCs w:val="24"/>
        </w:rPr>
        <w:t>联络负责人：负责有关与有关支持和协作机构联络，包括到达现场的上级领导、地方政府领导等。</w:t>
      </w:r>
    </w:p>
    <w:p>
      <w:pPr>
        <w:adjustRightInd w:val="0"/>
        <w:snapToGrid w:val="0"/>
        <w:ind w:firstLine="480"/>
        <w:rPr>
          <w:rFonts w:cs="Times New Roman"/>
          <w:szCs w:val="24"/>
        </w:rPr>
      </w:pPr>
      <w:r>
        <w:rPr>
          <w:rFonts w:hint="eastAsia" w:cs="Times New Roman"/>
          <w:szCs w:val="24"/>
        </w:rPr>
        <w:t>安全负责人：负责对可能遭受的危险或不安全情况提供及时、完善、详细、准确的危险预测和评估。</w:t>
      </w:r>
    </w:p>
    <w:p>
      <w:pPr>
        <w:adjustRightInd w:val="0"/>
        <w:snapToGrid w:val="0"/>
        <w:ind w:firstLine="480"/>
        <w:rPr>
          <w:rFonts w:cs="Times New Roman"/>
          <w:szCs w:val="24"/>
        </w:rPr>
      </w:pPr>
      <w:r>
        <w:rPr>
          <w:rFonts w:hint="eastAsia" w:cs="Times New Roman"/>
          <w:szCs w:val="24"/>
        </w:rPr>
        <w:t>行动组：负责所有主要的应急行动，包括消防和抢险、人员搜救、医疗救治、疏散与安置等。</w:t>
      </w:r>
    </w:p>
    <w:p>
      <w:pPr>
        <w:adjustRightInd w:val="0"/>
        <w:snapToGrid w:val="0"/>
        <w:ind w:firstLine="480"/>
        <w:rPr>
          <w:rFonts w:cs="Times New Roman"/>
          <w:szCs w:val="24"/>
        </w:rPr>
      </w:pPr>
      <w:r>
        <w:rPr>
          <w:rFonts w:hint="eastAsia" w:cs="Times New Roman"/>
          <w:szCs w:val="24"/>
        </w:rPr>
        <w:t>策划组：负责收集、评价、分析及发布事故相关信息，准备和起草事故行动计划，并对有关的信息进行归档。后勤组：负责为事故的应急响应提供设备、设施、物资、人员、运输、服务等。</w:t>
      </w:r>
    </w:p>
    <w:p>
      <w:pPr>
        <w:adjustRightInd w:val="0"/>
        <w:snapToGrid w:val="0"/>
        <w:ind w:firstLine="480"/>
        <w:rPr>
          <w:rFonts w:cs="Times New Roman"/>
          <w:szCs w:val="24"/>
        </w:rPr>
      </w:pPr>
      <w:r>
        <w:rPr>
          <w:rFonts w:hint="eastAsia" w:cs="Times New Roman"/>
          <w:szCs w:val="24"/>
        </w:rPr>
        <w:t>行政组：负责跟踪事故并进行评估，承担其他职能未涉及的管理职责。</w:t>
      </w:r>
    </w:p>
    <w:p>
      <w:pPr>
        <w:pStyle w:val="6"/>
        <w:rPr>
          <w:rFonts w:asciiTheme="majorHAnsi" w:hAnsiTheme="majorHAnsi"/>
        </w:rPr>
      </w:pPr>
      <w:r>
        <w:t>8.7.2.2</w:t>
      </w:r>
      <w:r>
        <w:rPr>
          <w:rFonts w:hint="eastAsia" w:ascii="宋体" w:hAnsi="宋体" w:eastAsia="宋体" w:cs="宋体"/>
        </w:rPr>
        <w:t>风险事故处理程序</w:t>
      </w:r>
    </w:p>
    <w:p>
      <w:pPr>
        <w:adjustRightInd w:val="0"/>
        <w:snapToGrid w:val="0"/>
        <w:ind w:firstLine="480"/>
        <w:rPr>
          <w:szCs w:val="24"/>
        </w:rPr>
      </w:pPr>
      <w:r>
        <w:rPr>
          <w:rFonts w:hint="eastAsia"/>
          <w:szCs w:val="24"/>
        </w:rPr>
        <w:t>制定风险事故应急预案的目的是为了在发生风险事故时，能以最快的速度发挥最大的效能，有序地实施救援，尽快控制事态的发展，降低事故造成的损害，减少事故造成的损失。</w:t>
      </w:r>
    </w:p>
    <w:p>
      <w:pPr>
        <w:adjustRightInd w:val="0"/>
        <w:snapToGrid w:val="0"/>
        <w:ind w:firstLine="480"/>
        <w:rPr>
          <w:rFonts w:cs="Times New Roman"/>
          <w:szCs w:val="24"/>
        </w:rPr>
      </w:pPr>
      <w:r>
        <w:rPr>
          <w:rFonts w:hint="eastAsia"/>
          <w:szCs w:val="24"/>
        </w:rPr>
        <w:t>本项目风险事故处理程序图见图</w:t>
      </w:r>
      <w:r>
        <w:rPr>
          <w:szCs w:val="24"/>
        </w:rPr>
        <w:t>8.7</w:t>
      </w:r>
      <w:r>
        <w:rPr>
          <w:rFonts w:hint="eastAsia"/>
          <w:szCs w:val="24"/>
        </w:rPr>
        <w:t>—</w:t>
      </w:r>
      <w:r>
        <w:rPr>
          <w:szCs w:val="24"/>
        </w:rPr>
        <w:t>1</w:t>
      </w:r>
      <w:r>
        <w:rPr>
          <w:rFonts w:hint="eastAsia"/>
          <w:szCs w:val="24"/>
        </w:rPr>
        <w:t>。</w:t>
      </w:r>
    </w:p>
    <w:p>
      <w:pPr>
        <w:adjustRightInd w:val="0"/>
        <w:snapToGrid w:val="0"/>
        <w:ind w:firstLine="480"/>
        <w:jc w:val="center"/>
        <w:rPr>
          <w:rFonts w:cs="Times New Roman"/>
          <w:szCs w:val="24"/>
        </w:rPr>
      </w:pPr>
      <w:r>
        <w:rPr>
          <w:szCs w:val="24"/>
        </w:rPr>
        <w:drawing>
          <wp:inline distT="0" distB="0" distL="0" distR="0">
            <wp:extent cx="5274945" cy="3589655"/>
            <wp:effectExtent l="19050" t="0" r="1905" b="0"/>
            <wp:docPr id="6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0"/>
                    <pic:cNvPicPr>
                      <a:picLocks noChangeAspect="1" noChangeArrowheads="1"/>
                    </pic:cNvPicPr>
                  </pic:nvPicPr>
                  <pic:blipFill>
                    <a:blip r:embed="rId70" cstate="print"/>
                    <a:srcRect/>
                    <a:stretch>
                      <a:fillRect/>
                    </a:stretch>
                  </pic:blipFill>
                  <pic:spPr>
                    <a:xfrm>
                      <a:off x="0" y="0"/>
                      <a:ext cx="5274945" cy="3589655"/>
                    </a:xfrm>
                    <a:prstGeom prst="rect">
                      <a:avLst/>
                    </a:prstGeom>
                    <a:noFill/>
                    <a:ln w="9525">
                      <a:noFill/>
                      <a:miter lim="800000"/>
                      <a:headEnd/>
                      <a:tailEnd/>
                    </a:ln>
                  </pic:spPr>
                </pic:pic>
              </a:graphicData>
            </a:graphic>
          </wp:inline>
        </w:drawing>
      </w:r>
    </w:p>
    <w:p>
      <w:pPr>
        <w:adjustRightInd w:val="0"/>
        <w:snapToGrid w:val="0"/>
        <w:ind w:firstLine="480"/>
        <w:jc w:val="center"/>
        <w:rPr>
          <w:rFonts w:cs="Times New Roman"/>
          <w:szCs w:val="24"/>
        </w:rPr>
      </w:pPr>
      <w:r>
        <w:rPr>
          <w:rFonts w:hint="eastAsia" w:cs="Times New Roman"/>
          <w:szCs w:val="24"/>
        </w:rPr>
        <w:t>图</w:t>
      </w:r>
      <w:r>
        <w:rPr>
          <w:rFonts w:cs="Times New Roman"/>
          <w:szCs w:val="24"/>
        </w:rPr>
        <w:t>8.7</w:t>
      </w:r>
      <w:r>
        <w:rPr>
          <w:rFonts w:hint="eastAsia" w:cs="Times New Roman"/>
          <w:szCs w:val="24"/>
        </w:rPr>
        <w:t>—</w:t>
      </w:r>
      <w:r>
        <w:rPr>
          <w:rFonts w:cs="Times New Roman"/>
          <w:szCs w:val="24"/>
        </w:rPr>
        <w:t xml:space="preserve">1        </w:t>
      </w:r>
      <w:r>
        <w:rPr>
          <w:rFonts w:hint="eastAsia" w:cs="Times New Roman"/>
          <w:szCs w:val="24"/>
        </w:rPr>
        <w:t>本项目风险事故处理程序图</w:t>
      </w:r>
    </w:p>
    <w:p>
      <w:pPr>
        <w:pStyle w:val="6"/>
        <w:rPr>
          <w:rFonts w:asciiTheme="majorHAnsi" w:hAnsiTheme="majorHAnsi"/>
        </w:rPr>
      </w:pPr>
      <w:r>
        <w:t>8.7.2.3</w:t>
      </w:r>
      <w:r>
        <w:rPr>
          <w:rFonts w:hint="eastAsia" w:ascii="宋体" w:hAnsi="宋体" w:eastAsia="宋体" w:cs="宋体"/>
        </w:rPr>
        <w:t>预防和预警</w:t>
      </w:r>
    </w:p>
    <w:p>
      <w:pPr>
        <w:pStyle w:val="739"/>
        <w:ind w:firstLine="480"/>
        <w:outlineLvl w:val="0"/>
      </w:pPr>
      <w:bookmarkStart w:id="783" w:name="_Toc432236573"/>
      <w:r>
        <w:fldChar w:fldCharType="begin"/>
      </w:r>
      <w:r>
        <w:instrText xml:space="preserve">= 1 \* GB2</w:instrText>
      </w:r>
      <w:r>
        <w:fldChar w:fldCharType="separate"/>
      </w:r>
      <w:bookmarkStart w:id="784" w:name="_Toc5286465"/>
      <w:bookmarkStart w:id="785" w:name="_Toc13760326"/>
      <w:bookmarkStart w:id="786" w:name="_Toc9403203"/>
      <w:bookmarkStart w:id="787" w:name="_Toc13582298"/>
      <w:r>
        <w:rPr>
          <w:rFonts w:hint="eastAsia"/>
        </w:rPr>
        <w:t>⑴</w:t>
      </w:r>
      <w:r>
        <w:fldChar w:fldCharType="end"/>
      </w:r>
      <w:r>
        <w:rPr>
          <w:rFonts w:hint="eastAsia"/>
        </w:rPr>
        <w:t>预防工作</w:t>
      </w:r>
      <w:bookmarkEnd w:id="783"/>
      <w:bookmarkEnd w:id="784"/>
      <w:bookmarkEnd w:id="785"/>
      <w:bookmarkEnd w:id="786"/>
      <w:bookmarkEnd w:id="787"/>
    </w:p>
    <w:p>
      <w:pPr>
        <w:pStyle w:val="739"/>
        <w:ind w:firstLine="480"/>
      </w:pPr>
      <w:r>
        <w:rPr>
          <w:rFonts w:hint="eastAsia"/>
        </w:rPr>
        <w:t>对在生产过程中产生、贮存、运输、危险废物处置等事故源进行了调查，掌握潜在事故源污染物的产生、种类及分布情况，针对污染物的特点提出相应的应急措施。</w:t>
      </w:r>
    </w:p>
    <w:p>
      <w:pPr>
        <w:pStyle w:val="739"/>
        <w:ind w:firstLine="480"/>
        <w:outlineLvl w:val="0"/>
      </w:pPr>
      <w:bookmarkStart w:id="788" w:name="_Toc432236574"/>
      <w:r>
        <w:fldChar w:fldCharType="begin"/>
      </w:r>
      <w:r>
        <w:instrText xml:space="preserve">= 2 \* GB2</w:instrText>
      </w:r>
      <w:r>
        <w:fldChar w:fldCharType="separate"/>
      </w:r>
      <w:bookmarkStart w:id="789" w:name="_Toc5286466"/>
      <w:bookmarkStart w:id="790" w:name="_Toc9403204"/>
      <w:bookmarkStart w:id="791" w:name="_Toc13760327"/>
      <w:bookmarkStart w:id="792" w:name="_Toc13582299"/>
      <w:r>
        <w:rPr>
          <w:rFonts w:hint="eastAsia"/>
        </w:rPr>
        <w:t>⑵</w:t>
      </w:r>
      <w:r>
        <w:fldChar w:fldCharType="end"/>
      </w:r>
      <w:r>
        <w:rPr>
          <w:rFonts w:hint="eastAsia"/>
        </w:rPr>
        <w:t>预警及措施</w:t>
      </w:r>
      <w:bookmarkEnd w:id="788"/>
      <w:bookmarkEnd w:id="789"/>
      <w:bookmarkEnd w:id="790"/>
      <w:bookmarkEnd w:id="791"/>
      <w:bookmarkEnd w:id="792"/>
    </w:p>
    <w:p>
      <w:pPr>
        <w:adjustRightInd w:val="0"/>
        <w:snapToGrid w:val="0"/>
        <w:ind w:firstLine="480"/>
        <w:rPr>
          <w:szCs w:val="24"/>
        </w:rPr>
      </w:pPr>
      <w:r>
        <w:rPr>
          <w:rFonts w:hint="eastAsia"/>
          <w:szCs w:val="24"/>
        </w:rPr>
        <w:t>按照突发事故严重性、紧急程度和可能波及的范围，对突发性环境污染事故的预警进行分级，分为一般</w:t>
      </w:r>
      <w:r>
        <w:rPr>
          <w:szCs w:val="24"/>
        </w:rPr>
        <w:t>(</w:t>
      </w:r>
      <w:r>
        <w:rPr>
          <w:rFonts w:hint="eastAsia" w:ascii="宋体" w:hAnsi="宋体" w:cs="宋体"/>
          <w:szCs w:val="24"/>
        </w:rPr>
        <w:t>Ⅳ</w:t>
      </w:r>
      <w:r>
        <w:rPr>
          <w:rFonts w:hint="eastAsia"/>
          <w:szCs w:val="24"/>
        </w:rPr>
        <w:t>级</w:t>
      </w:r>
      <w:r>
        <w:rPr>
          <w:szCs w:val="24"/>
        </w:rPr>
        <w:t>)</w:t>
      </w:r>
      <w:r>
        <w:rPr>
          <w:rFonts w:hint="eastAsia"/>
          <w:szCs w:val="24"/>
        </w:rPr>
        <w:t>、较重</w:t>
      </w:r>
      <w:r>
        <w:rPr>
          <w:szCs w:val="24"/>
        </w:rPr>
        <w:t>(</w:t>
      </w:r>
      <w:r>
        <w:rPr>
          <w:rFonts w:hint="eastAsia" w:ascii="宋体" w:hAnsi="宋体" w:cs="宋体"/>
          <w:szCs w:val="24"/>
        </w:rPr>
        <w:t>Ⅲ</w:t>
      </w:r>
      <w:r>
        <w:rPr>
          <w:rFonts w:hint="eastAsia"/>
          <w:szCs w:val="24"/>
        </w:rPr>
        <w:t>级</w:t>
      </w:r>
      <w:r>
        <w:rPr>
          <w:szCs w:val="24"/>
        </w:rPr>
        <w:t>)</w:t>
      </w:r>
      <w:r>
        <w:rPr>
          <w:rFonts w:hint="eastAsia"/>
          <w:szCs w:val="24"/>
        </w:rPr>
        <w:t>、重大</w:t>
      </w:r>
      <w:r>
        <w:rPr>
          <w:szCs w:val="24"/>
        </w:rPr>
        <w:t>(</w:t>
      </w:r>
      <w:r>
        <w:rPr>
          <w:rFonts w:hint="eastAsia" w:ascii="宋体" w:hAnsi="宋体" w:cs="宋体"/>
          <w:szCs w:val="24"/>
        </w:rPr>
        <w:t>Ⅱ</w:t>
      </w:r>
      <w:r>
        <w:rPr>
          <w:rFonts w:hint="eastAsia"/>
          <w:szCs w:val="24"/>
        </w:rPr>
        <w:t>级</w:t>
      </w:r>
      <w:r>
        <w:rPr>
          <w:szCs w:val="24"/>
        </w:rPr>
        <w:t>)</w:t>
      </w:r>
      <w:r>
        <w:rPr>
          <w:rFonts w:hint="eastAsia"/>
          <w:szCs w:val="24"/>
        </w:rPr>
        <w:t>、特大</w:t>
      </w:r>
      <w:r>
        <w:rPr>
          <w:szCs w:val="24"/>
        </w:rPr>
        <w:t>(</w:t>
      </w:r>
      <w:r>
        <w:rPr>
          <w:rFonts w:hint="eastAsia" w:ascii="宋体" w:hAnsi="宋体" w:cs="宋体"/>
          <w:szCs w:val="24"/>
        </w:rPr>
        <w:t>Ⅰ</w:t>
      </w:r>
      <w:r>
        <w:rPr>
          <w:rFonts w:hint="eastAsia"/>
          <w:szCs w:val="24"/>
        </w:rPr>
        <w:t>级</w:t>
      </w:r>
      <w:r>
        <w:rPr>
          <w:szCs w:val="24"/>
        </w:rPr>
        <w:t>)</w:t>
      </w:r>
      <w:r>
        <w:rPr>
          <w:rFonts w:hint="eastAsia"/>
          <w:szCs w:val="24"/>
        </w:rPr>
        <w:t>四级预警，分别用蓝色、黄色、橙色和红色标示。根据事态的发展情况和采取措施的效果，预警可以升级、降级或解除。</w:t>
      </w:r>
    </w:p>
    <w:p>
      <w:pPr>
        <w:adjustRightInd w:val="0"/>
        <w:snapToGrid w:val="0"/>
        <w:ind w:firstLine="480"/>
        <w:rPr>
          <w:szCs w:val="24"/>
        </w:rPr>
      </w:pPr>
      <w:r>
        <w:rPr>
          <w:rFonts w:hint="eastAsia"/>
          <w:szCs w:val="24"/>
        </w:rPr>
        <w:t>当突发性环境污染事故已经发生，但尚未达到一般</w:t>
      </w:r>
      <w:r>
        <w:rPr>
          <w:szCs w:val="24"/>
        </w:rPr>
        <w:t>(</w:t>
      </w:r>
      <w:r>
        <w:rPr>
          <w:rFonts w:hint="eastAsia" w:ascii="宋体" w:hAnsi="宋体" w:cs="宋体"/>
          <w:szCs w:val="24"/>
        </w:rPr>
        <w:t>Ⅳ</w:t>
      </w:r>
      <w:r>
        <w:rPr>
          <w:rFonts w:hint="eastAsia"/>
          <w:szCs w:val="24"/>
        </w:rPr>
        <w:t>级</w:t>
      </w:r>
      <w:r>
        <w:rPr>
          <w:szCs w:val="24"/>
        </w:rPr>
        <w:t>)</w:t>
      </w:r>
      <w:r>
        <w:rPr>
          <w:rFonts w:hint="eastAsia"/>
          <w:szCs w:val="24"/>
        </w:rPr>
        <w:t>预警标准时，所在部门、车间应向生产部和有关领导预警；当达到一般</w:t>
      </w:r>
      <w:r>
        <w:rPr>
          <w:szCs w:val="24"/>
        </w:rPr>
        <w:t>(</w:t>
      </w:r>
      <w:r>
        <w:rPr>
          <w:rFonts w:hint="eastAsia" w:ascii="宋体" w:hAnsi="宋体" w:cs="宋体"/>
          <w:szCs w:val="24"/>
        </w:rPr>
        <w:t>Ⅳ</w:t>
      </w:r>
      <w:r>
        <w:rPr>
          <w:rFonts w:hint="eastAsia"/>
          <w:szCs w:val="24"/>
        </w:rPr>
        <w:t>级</w:t>
      </w:r>
      <w:r>
        <w:rPr>
          <w:szCs w:val="24"/>
        </w:rPr>
        <w:t>)</w:t>
      </w:r>
      <w:r>
        <w:rPr>
          <w:rFonts w:hint="eastAsia"/>
          <w:szCs w:val="24"/>
        </w:rPr>
        <w:t>预警标准时，生产部应立即启动本级应急预案，并向主管环保领导报告；当超过一般</w:t>
      </w:r>
      <w:r>
        <w:rPr>
          <w:szCs w:val="24"/>
        </w:rPr>
        <w:t>(</w:t>
      </w:r>
      <w:r>
        <w:rPr>
          <w:rFonts w:hint="eastAsia" w:ascii="宋体" w:hAnsi="宋体" w:cs="宋体"/>
          <w:szCs w:val="24"/>
        </w:rPr>
        <w:t>Ⅳ</w:t>
      </w:r>
      <w:r>
        <w:rPr>
          <w:rFonts w:hint="eastAsia"/>
          <w:szCs w:val="24"/>
        </w:rPr>
        <w:t>级</w:t>
      </w:r>
      <w:r>
        <w:rPr>
          <w:szCs w:val="24"/>
        </w:rPr>
        <w:t>)</w:t>
      </w:r>
      <w:r>
        <w:rPr>
          <w:rFonts w:hint="eastAsia"/>
          <w:szCs w:val="24"/>
        </w:rPr>
        <w:t>预警标准时，尚未达到较重</w:t>
      </w:r>
      <w:r>
        <w:rPr>
          <w:szCs w:val="24"/>
        </w:rPr>
        <w:t>(</w:t>
      </w:r>
      <w:r>
        <w:rPr>
          <w:rFonts w:hint="eastAsia" w:ascii="宋体" w:hAnsi="宋体" w:cs="宋体"/>
          <w:szCs w:val="24"/>
        </w:rPr>
        <w:t>Ⅲ</w:t>
      </w:r>
      <w:r>
        <w:rPr>
          <w:rFonts w:hint="eastAsia"/>
          <w:szCs w:val="24"/>
        </w:rPr>
        <w:t>级</w:t>
      </w:r>
      <w:r>
        <w:rPr>
          <w:szCs w:val="24"/>
        </w:rPr>
        <w:t>)</w:t>
      </w:r>
      <w:r>
        <w:rPr>
          <w:rFonts w:hint="eastAsia"/>
          <w:szCs w:val="24"/>
        </w:rPr>
        <w:t>预警标准时，所在生产部向主管环保领导预警；当达到较重</w:t>
      </w:r>
      <w:r>
        <w:rPr>
          <w:szCs w:val="24"/>
        </w:rPr>
        <w:t>(</w:t>
      </w:r>
      <w:r>
        <w:rPr>
          <w:rFonts w:hint="eastAsia" w:ascii="宋体" w:hAnsi="宋体" w:cs="宋体"/>
          <w:szCs w:val="24"/>
        </w:rPr>
        <w:t>Ⅲ</w:t>
      </w:r>
      <w:r>
        <w:rPr>
          <w:rFonts w:hint="eastAsia"/>
          <w:szCs w:val="24"/>
        </w:rPr>
        <w:t>级</w:t>
      </w:r>
      <w:r>
        <w:rPr>
          <w:szCs w:val="24"/>
        </w:rPr>
        <w:t>)</w:t>
      </w:r>
      <w:r>
        <w:rPr>
          <w:rFonts w:hint="eastAsia"/>
          <w:szCs w:val="24"/>
        </w:rPr>
        <w:t>预警标准时，生产部立即启动公司突发性环境污染事故应急预案，并向公司总经理报告；当超过较重</w:t>
      </w:r>
      <w:r>
        <w:rPr>
          <w:szCs w:val="24"/>
        </w:rPr>
        <w:t>(</w:t>
      </w:r>
      <w:r>
        <w:rPr>
          <w:rFonts w:hint="eastAsia" w:ascii="宋体" w:hAnsi="宋体" w:cs="宋体"/>
          <w:szCs w:val="24"/>
        </w:rPr>
        <w:t>Ⅲ</w:t>
      </w:r>
      <w:r>
        <w:rPr>
          <w:rFonts w:hint="eastAsia"/>
          <w:szCs w:val="24"/>
        </w:rPr>
        <w:t>级</w:t>
      </w:r>
      <w:r>
        <w:rPr>
          <w:szCs w:val="24"/>
        </w:rPr>
        <w:t>)</w:t>
      </w:r>
      <w:r>
        <w:rPr>
          <w:rFonts w:hint="eastAsia"/>
          <w:szCs w:val="24"/>
        </w:rPr>
        <w:t>以上预警标准时，生产部立即启动和组织实施突发公共事件总体应急预案，并向本地环保部门报告。</w:t>
      </w:r>
    </w:p>
    <w:p>
      <w:pPr>
        <w:adjustRightInd w:val="0"/>
        <w:snapToGrid w:val="0"/>
        <w:ind w:firstLine="480"/>
        <w:rPr>
          <w:szCs w:val="24"/>
        </w:rPr>
      </w:pPr>
      <w:r>
        <w:rPr>
          <w:rFonts w:hint="eastAsia"/>
          <w:szCs w:val="24"/>
        </w:rPr>
        <w:t>应急状态下的报警通讯联系方式。</w:t>
      </w:r>
    </w:p>
    <w:p>
      <w:pPr>
        <w:adjustRightInd w:val="0"/>
        <w:snapToGrid w:val="0"/>
        <w:ind w:firstLine="480"/>
        <w:rPr>
          <w:szCs w:val="24"/>
        </w:rPr>
      </w:pPr>
      <w:r>
        <w:rPr>
          <w:szCs w:val="24"/>
        </w:rPr>
        <w:t>24</w:t>
      </w:r>
      <w:r>
        <w:rPr>
          <w:rFonts w:hint="eastAsia"/>
          <w:szCs w:val="24"/>
        </w:rPr>
        <w:t>小时有效报警装置：公司紧急报警器。收集到的有关信息证明突发性环境污染事故即将发生或者发生的可能性增大时，按照相关应急预案执行。</w:t>
      </w:r>
    </w:p>
    <w:p>
      <w:pPr>
        <w:adjustRightInd w:val="0"/>
        <w:snapToGrid w:val="0"/>
        <w:ind w:firstLine="480"/>
        <w:rPr>
          <w:szCs w:val="24"/>
        </w:rPr>
      </w:pPr>
      <w:r>
        <w:rPr>
          <w:rFonts w:hint="eastAsia"/>
          <w:szCs w:val="24"/>
        </w:rPr>
        <w:t>进入预警状态后，应当采取的措施：</w:t>
      </w:r>
    </w:p>
    <w:p>
      <w:pPr>
        <w:adjustRightInd w:val="0"/>
        <w:snapToGrid w:val="0"/>
        <w:ind w:firstLine="480"/>
        <w:rPr>
          <w:szCs w:val="24"/>
        </w:rPr>
      </w:pPr>
      <w:r>
        <w:rPr>
          <w:szCs w:val="24"/>
        </w:rPr>
        <w:fldChar w:fldCharType="begin"/>
      </w:r>
      <w:r>
        <w:rPr>
          <w:szCs w:val="24"/>
        </w:rPr>
        <w:instrText xml:space="preserve"> = 1 \* GB3 </w:instrText>
      </w:r>
      <w:r>
        <w:rPr>
          <w:szCs w:val="24"/>
        </w:rPr>
        <w:fldChar w:fldCharType="separate"/>
      </w:r>
      <w:r>
        <w:rPr>
          <w:rFonts w:hint="eastAsia" w:ascii="宋体" w:hAnsi="宋体" w:cs="宋体"/>
          <w:szCs w:val="24"/>
        </w:rPr>
        <w:t>①</w:t>
      </w:r>
      <w:r>
        <w:rPr>
          <w:szCs w:val="24"/>
        </w:rPr>
        <w:fldChar w:fldCharType="end"/>
      </w:r>
      <w:r>
        <w:rPr>
          <w:rFonts w:hint="eastAsia"/>
          <w:szCs w:val="24"/>
        </w:rPr>
        <w:t>立即启动相关应急预案。</w:t>
      </w:r>
    </w:p>
    <w:p>
      <w:pPr>
        <w:adjustRightInd w:val="0"/>
        <w:snapToGrid w:val="0"/>
        <w:ind w:firstLine="480"/>
        <w:rPr>
          <w:szCs w:val="24"/>
        </w:rPr>
      </w:pPr>
      <w:r>
        <w:rPr>
          <w:szCs w:val="24"/>
        </w:rPr>
        <w:fldChar w:fldCharType="begin"/>
      </w:r>
      <w:r>
        <w:rPr>
          <w:szCs w:val="24"/>
        </w:rPr>
        <w:instrText xml:space="preserve"> = 2 \* GB3 </w:instrText>
      </w:r>
      <w:r>
        <w:rPr>
          <w:szCs w:val="24"/>
        </w:rPr>
        <w:fldChar w:fldCharType="separate"/>
      </w:r>
      <w:r>
        <w:rPr>
          <w:rFonts w:hint="eastAsia" w:ascii="宋体" w:hAnsi="宋体" w:cs="宋体"/>
          <w:szCs w:val="24"/>
        </w:rPr>
        <w:t>②</w:t>
      </w:r>
      <w:r>
        <w:rPr>
          <w:szCs w:val="24"/>
        </w:rPr>
        <w:fldChar w:fldCharType="end"/>
      </w:r>
      <w:r>
        <w:rPr>
          <w:rFonts w:hint="eastAsia"/>
          <w:szCs w:val="24"/>
        </w:rPr>
        <w:t>发布预警公告。</w:t>
      </w:r>
    </w:p>
    <w:p>
      <w:pPr>
        <w:adjustRightInd w:val="0"/>
        <w:snapToGrid w:val="0"/>
        <w:ind w:firstLine="480"/>
        <w:rPr>
          <w:szCs w:val="24"/>
        </w:rPr>
      </w:pPr>
      <w:r>
        <w:rPr>
          <w:szCs w:val="24"/>
        </w:rPr>
        <w:fldChar w:fldCharType="begin"/>
      </w:r>
      <w:r>
        <w:rPr>
          <w:szCs w:val="24"/>
        </w:rPr>
        <w:instrText xml:space="preserve"> = 3 \* GB3 </w:instrText>
      </w:r>
      <w:r>
        <w:rPr>
          <w:szCs w:val="24"/>
        </w:rPr>
        <w:fldChar w:fldCharType="separate"/>
      </w:r>
      <w:r>
        <w:rPr>
          <w:rFonts w:hint="eastAsia" w:ascii="宋体" w:hAnsi="宋体" w:cs="宋体"/>
          <w:szCs w:val="24"/>
        </w:rPr>
        <w:t>③</w:t>
      </w:r>
      <w:r>
        <w:rPr>
          <w:szCs w:val="24"/>
        </w:rPr>
        <w:fldChar w:fldCharType="end"/>
      </w:r>
      <w:r>
        <w:rPr>
          <w:rFonts w:hint="eastAsia"/>
          <w:szCs w:val="24"/>
        </w:rPr>
        <w:t>转移、撤离或者疏散可能受到危害的人员，并进行妥善安置。</w:t>
      </w:r>
    </w:p>
    <w:p>
      <w:pPr>
        <w:adjustRightInd w:val="0"/>
        <w:snapToGrid w:val="0"/>
        <w:ind w:firstLine="480"/>
        <w:rPr>
          <w:szCs w:val="24"/>
        </w:rPr>
      </w:pPr>
      <w:r>
        <w:rPr>
          <w:szCs w:val="24"/>
        </w:rPr>
        <w:fldChar w:fldCharType="begin"/>
      </w:r>
      <w:r>
        <w:rPr>
          <w:szCs w:val="24"/>
        </w:rPr>
        <w:instrText xml:space="preserve"> = 4 \* GB3 </w:instrText>
      </w:r>
      <w:r>
        <w:rPr>
          <w:szCs w:val="24"/>
        </w:rPr>
        <w:fldChar w:fldCharType="separate"/>
      </w:r>
      <w:r>
        <w:rPr>
          <w:rFonts w:hint="eastAsia" w:ascii="宋体" w:hAnsi="宋体" w:cs="宋体"/>
          <w:szCs w:val="24"/>
        </w:rPr>
        <w:t>④</w:t>
      </w:r>
      <w:r>
        <w:rPr>
          <w:szCs w:val="24"/>
        </w:rPr>
        <w:fldChar w:fldCharType="end"/>
      </w:r>
      <w:r>
        <w:rPr>
          <w:rFonts w:hint="eastAsia"/>
          <w:szCs w:val="24"/>
        </w:rPr>
        <w:t>指令各环境应急救援队伍进入应急状态，公司生产部立即开展应急监测，随时掌握并报告事态进展情况。</w:t>
      </w:r>
    </w:p>
    <w:p>
      <w:pPr>
        <w:adjustRightInd w:val="0"/>
        <w:snapToGrid w:val="0"/>
        <w:ind w:firstLine="480"/>
        <w:rPr>
          <w:szCs w:val="24"/>
        </w:rPr>
      </w:pPr>
      <w:r>
        <w:rPr>
          <w:szCs w:val="24"/>
        </w:rPr>
        <w:fldChar w:fldCharType="begin"/>
      </w:r>
      <w:r>
        <w:rPr>
          <w:szCs w:val="24"/>
        </w:rPr>
        <w:instrText xml:space="preserve"> = 5 \* GB3 </w:instrText>
      </w:r>
      <w:r>
        <w:rPr>
          <w:szCs w:val="24"/>
        </w:rPr>
        <w:fldChar w:fldCharType="separate"/>
      </w:r>
      <w:r>
        <w:rPr>
          <w:rFonts w:hint="eastAsia" w:ascii="宋体" w:hAnsi="宋体" w:cs="宋体"/>
          <w:szCs w:val="24"/>
        </w:rPr>
        <w:t>⑤</w:t>
      </w:r>
      <w:r>
        <w:rPr>
          <w:szCs w:val="24"/>
        </w:rPr>
        <w:fldChar w:fldCharType="end"/>
      </w:r>
      <w:r>
        <w:rPr>
          <w:rFonts w:hint="eastAsia"/>
          <w:szCs w:val="24"/>
        </w:rPr>
        <w:t>针对突发事故可能造成的危害，封闭、隔离或者限制使用有关场所，中止可能导致危害扩大的行为和活动。</w:t>
      </w:r>
    </w:p>
    <w:p>
      <w:pPr>
        <w:adjustRightInd w:val="0"/>
        <w:snapToGrid w:val="0"/>
        <w:ind w:firstLine="480"/>
        <w:rPr>
          <w:rFonts w:cs="Times New Roman"/>
          <w:szCs w:val="24"/>
        </w:rPr>
      </w:pPr>
      <w:r>
        <w:rPr>
          <w:szCs w:val="24"/>
        </w:rPr>
        <w:fldChar w:fldCharType="begin"/>
      </w:r>
      <w:r>
        <w:rPr>
          <w:szCs w:val="24"/>
        </w:rPr>
        <w:instrText xml:space="preserve"> = 6 \* GB3 </w:instrText>
      </w:r>
      <w:r>
        <w:rPr>
          <w:szCs w:val="24"/>
        </w:rPr>
        <w:fldChar w:fldCharType="separate"/>
      </w:r>
      <w:r>
        <w:rPr>
          <w:rFonts w:hint="eastAsia" w:ascii="宋体" w:hAnsi="宋体" w:cs="宋体"/>
          <w:szCs w:val="24"/>
        </w:rPr>
        <w:t>⑥</w:t>
      </w:r>
      <w:r>
        <w:rPr>
          <w:szCs w:val="24"/>
        </w:rPr>
        <w:fldChar w:fldCharType="end"/>
      </w:r>
      <w:r>
        <w:rPr>
          <w:rFonts w:hint="eastAsia"/>
          <w:szCs w:val="24"/>
        </w:rPr>
        <w:t>调集环境应急所需物资和设备，确保应急保障工作。</w:t>
      </w:r>
    </w:p>
    <w:p>
      <w:pPr>
        <w:pStyle w:val="6"/>
        <w:rPr>
          <w:rFonts w:asciiTheme="majorHAnsi" w:hAnsiTheme="majorHAnsi"/>
        </w:rPr>
      </w:pPr>
      <w:r>
        <w:t>8.7.2.4</w:t>
      </w:r>
      <w:r>
        <w:rPr>
          <w:rFonts w:hint="eastAsia" w:ascii="宋体" w:hAnsi="宋体" w:eastAsia="宋体" w:cs="宋体"/>
        </w:rPr>
        <w:t>应急监测方案</w:t>
      </w:r>
    </w:p>
    <w:p>
      <w:pPr>
        <w:adjustRightInd w:val="0"/>
        <w:snapToGrid w:val="0"/>
        <w:ind w:firstLine="480"/>
        <w:rPr>
          <w:rFonts w:cs="Times New Roman"/>
          <w:szCs w:val="24"/>
        </w:rPr>
      </w:pPr>
      <w:r>
        <w:rPr>
          <w:rFonts w:hint="eastAsia"/>
          <w:szCs w:val="24"/>
        </w:rPr>
        <w:t>事故发生时，为给事故指挥部提供疏散和采取进一步措施的事故污染信息，应进行应急监测。由公司委托当地环境监测部门负责监测，配备相应的监测设备和器材。将监测结果及时上报事故指挥部。对事故的性质、参数与后果进行评估，为指挥部门提供决策依据。</w:t>
      </w:r>
    </w:p>
    <w:p>
      <w:pPr>
        <w:pStyle w:val="6"/>
        <w:rPr>
          <w:rFonts w:cs="Times New Roman" w:eastAsiaTheme="minorEastAsia"/>
        </w:rPr>
      </w:pPr>
      <w:r>
        <w:rPr>
          <w:rFonts w:cs="Times New Roman" w:eastAsiaTheme="minorEastAsia"/>
        </w:rPr>
        <w:t>8.7.2.5</w:t>
      </w:r>
      <w:r>
        <w:rPr>
          <w:rFonts w:hint="eastAsia" w:cs="Times New Roman" w:eastAsiaTheme="minorEastAsia"/>
        </w:rPr>
        <w:t>事故应急处置方案</w:t>
      </w:r>
    </w:p>
    <w:p>
      <w:pPr>
        <w:adjustRightInd w:val="0"/>
        <w:snapToGrid w:val="0"/>
        <w:ind w:firstLine="480"/>
        <w:rPr>
          <w:rFonts w:cs="Times New Roman" w:eastAsiaTheme="minorEastAsia"/>
          <w:szCs w:val="24"/>
        </w:rPr>
      </w:pPr>
      <w:r>
        <w:rPr>
          <w:rFonts w:hint="eastAsia" w:cs="Times New Roman"/>
          <w:szCs w:val="24"/>
        </w:rPr>
        <w:t>对于事故的处理措施包括迅速撤离泄漏污染区人员至上风处，并立即进行隔离，严格限制出入，切断火源。建议应急处理人员戴自给正压式呼吸器，穿防护服。从上风处进入现场。尽可能切断泄漏源。合理通风，加速扩散。泄漏容器要妥善处理，修复、检验后再用。</w:t>
      </w:r>
    </w:p>
    <w:p>
      <w:pPr>
        <w:adjustRightInd w:val="0"/>
        <w:snapToGrid w:val="0"/>
        <w:ind w:firstLine="480"/>
        <w:rPr>
          <w:rFonts w:cs="Times New Roman"/>
          <w:szCs w:val="24"/>
        </w:rPr>
      </w:pPr>
      <w:r>
        <w:rPr>
          <w:rFonts w:hint="eastAsia" w:cs="Times New Roman"/>
          <w:szCs w:val="24"/>
        </w:rPr>
        <w:t>个体防护措施如下：</w:t>
      </w:r>
    </w:p>
    <w:p>
      <w:pPr>
        <w:adjustRightInd w:val="0"/>
        <w:snapToGrid w:val="0"/>
        <w:ind w:firstLine="480"/>
        <w:rPr>
          <w:rFonts w:cs="Times New Roman"/>
          <w:szCs w:val="24"/>
        </w:rPr>
      </w:pPr>
      <w:r>
        <w:rPr>
          <w:rFonts w:hint="eastAsia" w:cs="Times New Roman"/>
          <w:szCs w:val="24"/>
        </w:rPr>
        <w:t>呼吸系统防护：空气中浓度超标时，佩带过滤式防毒面具</w:t>
      </w:r>
      <w:r>
        <w:rPr>
          <w:rFonts w:cs="Times New Roman"/>
          <w:szCs w:val="24"/>
        </w:rPr>
        <w:t>(</w:t>
      </w:r>
      <w:r>
        <w:rPr>
          <w:rFonts w:hint="eastAsia" w:cs="Times New Roman"/>
          <w:szCs w:val="24"/>
        </w:rPr>
        <w:t>半面罩</w:t>
      </w:r>
      <w:r>
        <w:rPr>
          <w:rFonts w:cs="Times New Roman"/>
          <w:szCs w:val="24"/>
        </w:rPr>
        <w:t>)</w:t>
      </w:r>
      <w:r>
        <w:rPr>
          <w:rFonts w:hint="eastAsia" w:cs="Times New Roman"/>
          <w:szCs w:val="24"/>
        </w:rPr>
        <w:t>。紧急事态抢救或撤离时，建议佩带氧气呼吸器或空气呼吸器。</w:t>
      </w:r>
    </w:p>
    <w:p>
      <w:pPr>
        <w:adjustRightInd w:val="0"/>
        <w:snapToGrid w:val="0"/>
        <w:ind w:firstLine="480"/>
        <w:rPr>
          <w:rFonts w:cs="Times New Roman"/>
          <w:szCs w:val="24"/>
        </w:rPr>
      </w:pPr>
      <w:r>
        <w:rPr>
          <w:rFonts w:hint="eastAsia" w:cs="Times New Roman"/>
          <w:szCs w:val="24"/>
        </w:rPr>
        <w:t>眼睛防护：戴化学安全防护眼镜。</w:t>
      </w:r>
    </w:p>
    <w:p>
      <w:pPr>
        <w:adjustRightInd w:val="0"/>
        <w:snapToGrid w:val="0"/>
        <w:ind w:firstLine="480"/>
        <w:rPr>
          <w:rFonts w:cs="Times New Roman"/>
          <w:szCs w:val="24"/>
        </w:rPr>
      </w:pPr>
      <w:r>
        <w:rPr>
          <w:rFonts w:hint="eastAsia" w:cs="Times New Roman"/>
          <w:szCs w:val="24"/>
        </w:rPr>
        <w:t>身体防护：穿防静电工作服。</w:t>
      </w:r>
    </w:p>
    <w:p>
      <w:pPr>
        <w:adjustRightInd w:val="0"/>
        <w:snapToGrid w:val="0"/>
        <w:ind w:firstLine="480"/>
        <w:rPr>
          <w:rFonts w:cs="Times New Roman"/>
          <w:szCs w:val="24"/>
        </w:rPr>
      </w:pPr>
      <w:r>
        <w:rPr>
          <w:rFonts w:hint="eastAsia" w:cs="Times New Roman"/>
          <w:szCs w:val="24"/>
        </w:rPr>
        <w:t>手防护：戴防化学品手套。</w:t>
      </w:r>
    </w:p>
    <w:p>
      <w:pPr>
        <w:adjustRightInd w:val="0"/>
        <w:snapToGrid w:val="0"/>
        <w:ind w:firstLine="480"/>
        <w:rPr>
          <w:rFonts w:cs="Times New Roman"/>
          <w:szCs w:val="24"/>
        </w:rPr>
      </w:pPr>
      <w:r>
        <w:rPr>
          <w:rFonts w:hint="eastAsia" w:cs="Times New Roman"/>
          <w:szCs w:val="24"/>
        </w:rPr>
        <w:t>其它：工作现场严禁吸烟、进食和饮水。工作毕，淋浴更衣。及时换洗工作服。作业人员应学会自救互救。进入罐、限制性空间或其它高浓度区作业，须有人监护。</w:t>
      </w:r>
    </w:p>
    <w:p>
      <w:pPr>
        <w:adjustRightInd w:val="0"/>
        <w:snapToGrid w:val="0"/>
        <w:ind w:firstLine="480"/>
        <w:rPr>
          <w:rFonts w:cs="Times New Roman"/>
          <w:szCs w:val="24"/>
        </w:rPr>
      </w:pPr>
      <w:r>
        <w:rPr>
          <w:rFonts w:hint="eastAsia" w:cs="Times New Roman"/>
          <w:szCs w:val="24"/>
        </w:rPr>
        <w:t>报告程序：最早发现者应立即向当班班长、车间值班长和公司调度室报告，并根据事故救援的需要向当地消防化救中心和医疗救护报警。</w:t>
      </w:r>
    </w:p>
    <w:p>
      <w:pPr>
        <w:adjustRightInd w:val="0"/>
        <w:snapToGrid w:val="0"/>
        <w:ind w:firstLine="480"/>
        <w:rPr>
          <w:rFonts w:cs="Times New Roman"/>
          <w:szCs w:val="24"/>
        </w:rPr>
      </w:pPr>
      <w:r>
        <w:rPr>
          <w:rFonts w:hint="eastAsia" w:cs="Times New Roman"/>
          <w:szCs w:val="24"/>
        </w:rPr>
        <w:t>车间值班长接到报警后，应迅速通知车间主任</w:t>
      </w:r>
      <w:r>
        <w:rPr>
          <w:rFonts w:cs="Times New Roman"/>
          <w:szCs w:val="24"/>
        </w:rPr>
        <w:t>(</w:t>
      </w:r>
      <w:r>
        <w:rPr>
          <w:rFonts w:hint="eastAsia" w:cs="Times New Roman"/>
          <w:szCs w:val="24"/>
        </w:rPr>
        <w:t>夜间应通知厂总值班</w:t>
      </w:r>
      <w:r>
        <w:rPr>
          <w:rFonts w:cs="Times New Roman"/>
          <w:szCs w:val="24"/>
        </w:rPr>
        <w:t>)</w:t>
      </w:r>
      <w:r>
        <w:rPr>
          <w:rFonts w:hint="eastAsia" w:cs="Times New Roman"/>
          <w:szCs w:val="24"/>
        </w:rPr>
        <w:t>以及公司生产部调度中心。</w:t>
      </w:r>
    </w:p>
    <w:p>
      <w:pPr>
        <w:adjustRightInd w:val="0"/>
        <w:snapToGrid w:val="0"/>
        <w:ind w:firstLine="480"/>
        <w:rPr>
          <w:rFonts w:cs="Times New Roman"/>
          <w:szCs w:val="24"/>
        </w:rPr>
      </w:pPr>
      <w:r>
        <w:rPr>
          <w:rFonts w:hint="eastAsia" w:cs="Times New Roman"/>
          <w:szCs w:val="24"/>
        </w:rPr>
        <w:t>车间主任接到报警后，应立即通知车间工艺、设备、安全专职人员以及其他相关人员赶赴现场。同时，通知厂应急处置指挥领导小组成员。</w:t>
      </w:r>
    </w:p>
    <w:p>
      <w:pPr>
        <w:adjustRightInd w:val="0"/>
        <w:snapToGrid w:val="0"/>
        <w:ind w:firstLine="480"/>
        <w:rPr>
          <w:rFonts w:cs="Times New Roman"/>
          <w:szCs w:val="24"/>
        </w:rPr>
      </w:pPr>
      <w:r>
        <w:rPr>
          <w:rFonts w:hint="eastAsia" w:cs="Times New Roman"/>
          <w:szCs w:val="24"/>
        </w:rPr>
        <w:t>厂应急处置指挥领导小组接到报告后应迅速赶赴事故现场，依据所掌握的事故情况以及危害程度，根据事故等级向当地政府报告，社会应急救援程序启动。</w:t>
      </w:r>
    </w:p>
    <w:p>
      <w:pPr>
        <w:adjustRightInd w:val="0"/>
        <w:snapToGrid w:val="0"/>
        <w:ind w:firstLine="480"/>
        <w:rPr>
          <w:rFonts w:cs="Times New Roman"/>
          <w:szCs w:val="24"/>
        </w:rPr>
      </w:pPr>
      <w:r>
        <w:rPr>
          <w:rFonts w:hint="eastAsia" w:cs="Times New Roman"/>
          <w:szCs w:val="24"/>
        </w:rPr>
        <w:t>负责应急监测的人员将应急监测结果及时报告指挥部，以便采取相应的措施。</w:t>
      </w:r>
    </w:p>
    <w:p>
      <w:pPr>
        <w:adjustRightInd w:val="0"/>
        <w:snapToGrid w:val="0"/>
        <w:ind w:firstLine="480"/>
        <w:rPr>
          <w:rFonts w:cs="Times New Roman"/>
          <w:szCs w:val="24"/>
        </w:rPr>
      </w:pPr>
      <w:r>
        <w:rPr>
          <w:rFonts w:hint="eastAsia" w:cs="Times New Roman"/>
          <w:szCs w:val="24"/>
        </w:rPr>
        <w:t>指挥部成员通知所在科室按专业对口迅速向主管上级公安、劳动、环保、卫生等领导机关报告事故情况。</w:t>
      </w:r>
    </w:p>
    <w:p>
      <w:pPr>
        <w:adjustRightInd w:val="0"/>
        <w:snapToGrid w:val="0"/>
        <w:ind w:firstLine="480"/>
        <w:rPr>
          <w:rFonts w:cs="Times New Roman"/>
          <w:szCs w:val="24"/>
        </w:rPr>
      </w:pPr>
      <w:r>
        <w:rPr>
          <w:rFonts w:hint="eastAsia" w:cs="Times New Roman"/>
          <w:szCs w:val="24"/>
        </w:rPr>
        <w:t>发生事故的车间，应迅速查明事故发生源点、泄漏部位和原因。指挥部成员到达事故现场后，根据事故状态及危害程度做出相应的应急决定，并命令应急救援队立即开展救援，如事故扩大时，应请求场外支援。</w:t>
      </w:r>
    </w:p>
    <w:p>
      <w:pPr>
        <w:adjustRightInd w:val="0"/>
        <w:snapToGrid w:val="0"/>
        <w:ind w:firstLine="480"/>
        <w:rPr>
          <w:rFonts w:cs="Times New Roman"/>
          <w:szCs w:val="24"/>
        </w:rPr>
      </w:pPr>
      <w:r>
        <w:rPr>
          <w:rFonts w:hint="eastAsia" w:cs="Times New Roman"/>
          <w:szCs w:val="24"/>
        </w:rPr>
        <w:t>事故发生时至少派一人往下风向开展紧急监测，佩戴随身无线通讯工具、便携式检测仪，向指挥部报告下风向污染物浓度和距离情况，必要时根据指挥部决定通知扩散区域内的群众撤离或指导采取简易有效的保护措施。</w:t>
      </w:r>
    </w:p>
    <w:p>
      <w:pPr>
        <w:adjustRightInd w:val="0"/>
        <w:snapToGrid w:val="0"/>
        <w:ind w:firstLine="480"/>
        <w:rPr>
          <w:rFonts w:cs="Times New Roman"/>
          <w:szCs w:val="24"/>
        </w:rPr>
      </w:pPr>
      <w:r>
        <w:rPr>
          <w:rFonts w:hint="eastAsia" w:cs="Times New Roman"/>
          <w:szCs w:val="24"/>
        </w:rPr>
        <w:t>现场</w:t>
      </w:r>
      <w:r>
        <w:rPr>
          <w:rFonts w:cs="Times New Roman"/>
          <w:szCs w:val="24"/>
        </w:rPr>
        <w:t>(</w:t>
      </w:r>
      <w:r>
        <w:rPr>
          <w:rFonts w:hint="eastAsia" w:cs="Times New Roman"/>
          <w:szCs w:val="24"/>
        </w:rPr>
        <w:t>或重大事故场内外区域</w:t>
      </w:r>
      <w:r>
        <w:rPr>
          <w:rFonts w:cs="Times New Roman"/>
          <w:szCs w:val="24"/>
        </w:rPr>
        <w:t>)</w:t>
      </w:r>
      <w:r>
        <w:rPr>
          <w:rFonts w:hint="eastAsia" w:cs="Times New Roman"/>
          <w:szCs w:val="24"/>
        </w:rPr>
        <w:t>如有中毒人员，则医疗救护队与消防队配合，应立即救护伤员和中毒人员，对中毒人员应根据中毒症状及时采取相应的急救措施，对伤员进行清洗包扎或输氧急救，重伤员及时送住医院抢救。因化学污染造成皮肤、眼睛伤害则先用大量清水冲洗然后送往医院。</w:t>
      </w:r>
    </w:p>
    <w:p>
      <w:pPr>
        <w:adjustRightInd w:val="0"/>
        <w:snapToGrid w:val="0"/>
        <w:ind w:firstLine="480"/>
        <w:rPr>
          <w:rFonts w:cs="Times New Roman"/>
          <w:szCs w:val="24"/>
        </w:rPr>
      </w:pPr>
      <w:r>
        <w:rPr>
          <w:rFonts w:hint="eastAsia" w:cs="Times New Roman"/>
          <w:szCs w:val="24"/>
        </w:rPr>
        <w:t>该项目场外事故主要是危险废物运输引起。场外救援的基本任务是：维护社会秩序、控制污染、减轻危害、指导居民防护、救治受害人员。</w:t>
      </w:r>
    </w:p>
    <w:p>
      <w:pPr>
        <w:pStyle w:val="6"/>
        <w:rPr>
          <w:rFonts w:asciiTheme="majorHAnsi" w:hAnsiTheme="majorHAnsi"/>
        </w:rPr>
      </w:pPr>
      <w:r>
        <w:t>8.7.2.6</w:t>
      </w:r>
      <w:r>
        <w:rPr>
          <w:rFonts w:hint="eastAsia" w:ascii="宋体" w:hAnsi="宋体" w:eastAsia="宋体" w:cs="宋体"/>
        </w:rPr>
        <w:t>应急救援保障</w:t>
      </w:r>
    </w:p>
    <w:p>
      <w:pPr>
        <w:adjustRightInd w:val="0"/>
        <w:snapToGrid w:val="0"/>
        <w:ind w:firstLine="480"/>
        <w:rPr>
          <w:rFonts w:cs="Times New Roman"/>
          <w:szCs w:val="24"/>
        </w:rPr>
      </w:pPr>
      <w:r>
        <w:rPr>
          <w:rFonts w:cs="Times New Roman"/>
          <w:szCs w:val="24"/>
        </w:rPr>
        <w:fldChar w:fldCharType="begin"/>
      </w:r>
      <w:r>
        <w:rPr>
          <w:rFonts w:cs="Times New Roman"/>
          <w:szCs w:val="24"/>
        </w:rPr>
        <w:instrText xml:space="preserve"> = 1 \* GB2 </w:instrText>
      </w:r>
      <w:r>
        <w:rPr>
          <w:rFonts w:cs="Times New Roman"/>
          <w:szCs w:val="24"/>
        </w:rPr>
        <w:fldChar w:fldCharType="separate"/>
      </w:r>
      <w:r>
        <w:rPr>
          <w:rFonts w:hint="eastAsia" w:ascii="宋体" w:hAnsi="宋体" w:cs="宋体"/>
          <w:szCs w:val="24"/>
        </w:rPr>
        <w:t>⑴</w:t>
      </w:r>
      <w:r>
        <w:rPr>
          <w:rFonts w:cs="Times New Roman"/>
          <w:szCs w:val="24"/>
        </w:rPr>
        <w:fldChar w:fldCharType="end"/>
      </w:r>
      <w:r>
        <w:rPr>
          <w:rFonts w:hint="eastAsia" w:cs="Times New Roman"/>
          <w:szCs w:val="24"/>
        </w:rPr>
        <w:t>主要应急设施：监控中心设于公司的管理中心，一旦发生紧急情况，监控中心即作为应急指挥中心。配有人员全天值班，配备报警装置和报警专用电话。</w:t>
      </w:r>
    </w:p>
    <w:p>
      <w:pPr>
        <w:adjustRightInd w:val="0"/>
        <w:snapToGrid w:val="0"/>
        <w:ind w:firstLine="480"/>
        <w:rPr>
          <w:rFonts w:cs="Times New Roman"/>
          <w:szCs w:val="24"/>
        </w:rPr>
      </w:pPr>
      <w:r>
        <w:rPr>
          <w:rFonts w:cs="Times New Roman"/>
          <w:szCs w:val="24"/>
        </w:rPr>
        <w:fldChar w:fldCharType="begin"/>
      </w:r>
      <w:r>
        <w:rPr>
          <w:rFonts w:cs="Times New Roman"/>
          <w:szCs w:val="24"/>
        </w:rPr>
        <w:instrText xml:space="preserve"> = 2 \* GB2 </w:instrText>
      </w:r>
      <w:r>
        <w:rPr>
          <w:rFonts w:cs="Times New Roman"/>
          <w:szCs w:val="24"/>
        </w:rPr>
        <w:fldChar w:fldCharType="separate"/>
      </w:r>
      <w:r>
        <w:rPr>
          <w:rFonts w:hint="eastAsia" w:ascii="宋体" w:hAnsi="宋体" w:cs="宋体"/>
          <w:szCs w:val="24"/>
        </w:rPr>
        <w:t>⑵</w:t>
      </w:r>
      <w:r>
        <w:rPr>
          <w:rFonts w:cs="Times New Roman"/>
          <w:szCs w:val="24"/>
        </w:rPr>
        <w:fldChar w:fldCharType="end"/>
      </w:r>
      <w:r>
        <w:rPr>
          <w:rFonts w:hint="eastAsia" w:cs="Times New Roman"/>
          <w:szCs w:val="24"/>
        </w:rPr>
        <w:t>应急设备：各种紧急情况下需要的设备需要预先准备好。设备主要分为：人员防护设备、消防设备、牵引设备、电力照明设备等。监控中心必须保存所有设备的明细表和其所在位置。</w:t>
      </w:r>
    </w:p>
    <w:p>
      <w:pPr>
        <w:adjustRightInd w:val="0"/>
        <w:snapToGrid w:val="0"/>
        <w:ind w:firstLine="480"/>
        <w:rPr>
          <w:szCs w:val="24"/>
        </w:rPr>
      </w:pPr>
      <w:r>
        <w:rPr>
          <w:rFonts w:cs="Times New Roman"/>
          <w:szCs w:val="24"/>
        </w:rPr>
        <w:fldChar w:fldCharType="begin"/>
      </w:r>
      <w:r>
        <w:rPr>
          <w:rFonts w:cs="Times New Roman"/>
          <w:szCs w:val="24"/>
        </w:rPr>
        <w:instrText xml:space="preserve"> = 3 \* GB2 </w:instrText>
      </w:r>
      <w:r>
        <w:rPr>
          <w:rFonts w:cs="Times New Roman"/>
          <w:szCs w:val="24"/>
        </w:rPr>
        <w:fldChar w:fldCharType="separate"/>
      </w:r>
      <w:r>
        <w:rPr>
          <w:rFonts w:hint="eastAsia" w:ascii="宋体" w:hAnsi="宋体" w:cs="宋体"/>
          <w:szCs w:val="24"/>
        </w:rPr>
        <w:t>⑶</w:t>
      </w:r>
      <w:r>
        <w:rPr>
          <w:rFonts w:cs="Times New Roman"/>
          <w:szCs w:val="24"/>
        </w:rPr>
        <w:fldChar w:fldCharType="end"/>
      </w:r>
      <w:r>
        <w:rPr>
          <w:rFonts w:hint="eastAsia" w:cs="Times New Roman"/>
          <w:szCs w:val="24"/>
        </w:rPr>
        <w:t>应急物资储备仓库：配备的常用应急物资，包括灭火器材、防护器材及应急设备等储备在应急物资储备仓库。常用应急物资储备仓库设于管理中</w:t>
      </w:r>
      <w:r>
        <w:rPr>
          <w:rFonts w:hint="eastAsia"/>
          <w:szCs w:val="24"/>
        </w:rPr>
        <w:t>心。</w:t>
      </w:r>
    </w:p>
    <w:p>
      <w:pPr>
        <w:pStyle w:val="6"/>
        <w:rPr>
          <w:rFonts w:asciiTheme="majorHAnsi" w:hAnsiTheme="majorHAnsi"/>
        </w:rPr>
      </w:pPr>
      <w:r>
        <w:t>8.7.2.7</w:t>
      </w:r>
      <w:r>
        <w:rPr>
          <w:rFonts w:hint="eastAsia" w:ascii="宋体" w:hAnsi="宋体" w:eastAsia="宋体" w:cs="宋体"/>
        </w:rPr>
        <w:t>事故情况下撤离、急救的注意事项</w:t>
      </w:r>
    </w:p>
    <w:p>
      <w:pPr>
        <w:pStyle w:val="739"/>
        <w:ind w:firstLine="480"/>
        <w:outlineLvl w:val="0"/>
      </w:pPr>
      <w:r>
        <w:rPr>
          <w:rFonts w:hint="eastAsia"/>
        </w:rPr>
        <w:fldChar w:fldCharType="begin"/>
      </w:r>
      <w:r>
        <w:instrText xml:space="preserve">= 1 \* GB2</w:instrText>
      </w:r>
      <w:r>
        <w:rPr>
          <w:rFonts w:hint="eastAsia"/>
        </w:rPr>
        <w:fldChar w:fldCharType="separate"/>
      </w:r>
      <w:bookmarkStart w:id="793" w:name="_Toc9403205"/>
      <w:bookmarkStart w:id="794" w:name="_Toc13582300"/>
      <w:bookmarkStart w:id="795" w:name="_Toc5286467"/>
      <w:bookmarkStart w:id="796" w:name="_Toc13760328"/>
      <w:r>
        <w:rPr>
          <w:rFonts w:hint="eastAsia"/>
        </w:rPr>
        <w:t>⑴</w:t>
      </w:r>
      <w:r>
        <w:rPr>
          <w:rFonts w:hint="eastAsia"/>
        </w:rPr>
        <w:fldChar w:fldCharType="end"/>
      </w:r>
      <w:r>
        <w:rPr>
          <w:rFonts w:hint="eastAsia"/>
        </w:rPr>
        <w:t>撤离时的注意事项：</w:t>
      </w:r>
      <w:bookmarkEnd w:id="793"/>
      <w:bookmarkEnd w:id="794"/>
      <w:bookmarkEnd w:id="795"/>
      <w:bookmarkEnd w:id="796"/>
    </w:p>
    <w:p>
      <w:pPr>
        <w:pStyle w:val="739"/>
        <w:ind w:firstLine="480"/>
      </w:pPr>
      <w:r>
        <w:rPr>
          <w:rFonts w:hint="eastAsia"/>
        </w:rPr>
        <w:t>做好防护再撤离。人员撤离前应戴好合适的器具，同时穿好工作服。</w:t>
      </w:r>
    </w:p>
    <w:p>
      <w:pPr>
        <w:pStyle w:val="739"/>
        <w:ind w:firstLine="480"/>
      </w:pPr>
      <w:r>
        <w:rPr>
          <w:rFonts w:hint="eastAsia"/>
        </w:rPr>
        <w:t>迅速判明事故当时风向，可利用风向标、旗帜等辨明风向，向侧风向撤离。</w:t>
      </w:r>
    </w:p>
    <w:p>
      <w:pPr>
        <w:pStyle w:val="739"/>
        <w:ind w:firstLine="480"/>
      </w:pPr>
      <w:r>
        <w:rPr>
          <w:rFonts w:hint="eastAsia"/>
        </w:rPr>
        <w:t>听从指挥。人员在撤离时，一定不要慌张，要听从指挥部的指令和现场治安队的安排，按指定路线，向指定的集结点撤离。</w:t>
      </w:r>
    </w:p>
    <w:p>
      <w:pPr>
        <w:pStyle w:val="739"/>
        <w:ind w:firstLine="480"/>
      </w:pPr>
      <w:r>
        <w:rPr>
          <w:rFonts w:hint="eastAsia"/>
        </w:rPr>
        <w:t>防止继发伤害。尽可能向侧、逆风向转移。</w:t>
      </w:r>
    </w:p>
    <w:p>
      <w:pPr>
        <w:pStyle w:val="739"/>
        <w:ind w:firstLine="480"/>
      </w:pPr>
      <w:r>
        <w:rPr>
          <w:rFonts w:hint="eastAsia"/>
        </w:rPr>
        <w:t>发扬互帮互助精神，在自救的基础上要帮助同伴一起撤离。</w:t>
      </w:r>
    </w:p>
    <w:p>
      <w:pPr>
        <w:pStyle w:val="739"/>
        <w:ind w:firstLine="480"/>
      </w:pPr>
      <w:r>
        <w:rPr>
          <w:rFonts w:hint="eastAsia"/>
        </w:rPr>
        <w:t>掌握一些简单的防护方法，如无防护器具时，用湿手巾等物把住口鼻撤离。</w:t>
      </w:r>
    </w:p>
    <w:p>
      <w:pPr>
        <w:pStyle w:val="739"/>
        <w:ind w:firstLine="480"/>
        <w:outlineLvl w:val="0"/>
      </w:pPr>
      <w:r>
        <w:rPr>
          <w:rFonts w:hint="eastAsia"/>
        </w:rPr>
        <w:fldChar w:fldCharType="begin"/>
      </w:r>
      <w:r>
        <w:instrText xml:space="preserve">= 2 \* GB2</w:instrText>
      </w:r>
      <w:r>
        <w:rPr>
          <w:rFonts w:hint="eastAsia"/>
        </w:rPr>
        <w:fldChar w:fldCharType="separate"/>
      </w:r>
      <w:bookmarkStart w:id="797" w:name="_Toc13760329"/>
      <w:bookmarkStart w:id="798" w:name="_Toc9403206"/>
      <w:bookmarkStart w:id="799" w:name="_Toc13582301"/>
      <w:bookmarkStart w:id="800" w:name="_Toc5286468"/>
      <w:r>
        <w:rPr>
          <w:rFonts w:hint="eastAsia"/>
        </w:rPr>
        <w:t>⑵</w:t>
      </w:r>
      <w:r>
        <w:rPr>
          <w:rFonts w:hint="eastAsia"/>
        </w:rPr>
        <w:fldChar w:fldCharType="end"/>
      </w:r>
      <w:r>
        <w:rPr>
          <w:rFonts w:hint="eastAsia"/>
        </w:rPr>
        <w:t>救援人员实施救援时的注意事项</w:t>
      </w:r>
      <w:bookmarkEnd w:id="797"/>
      <w:bookmarkEnd w:id="798"/>
      <w:bookmarkEnd w:id="799"/>
      <w:bookmarkEnd w:id="800"/>
    </w:p>
    <w:p>
      <w:pPr>
        <w:pStyle w:val="739"/>
        <w:ind w:firstLine="480"/>
      </w:pPr>
      <w:r>
        <w:rPr>
          <w:rFonts w:hint="eastAsia"/>
        </w:rPr>
        <w:t>救援人员进入事故区域前必须清楚了解区域的地形、建筑</w:t>
      </w:r>
      <w:r>
        <w:t>(</w:t>
      </w:r>
      <w:r>
        <w:rPr>
          <w:rFonts w:hint="eastAsia"/>
        </w:rPr>
        <w:t>设备</w:t>
      </w:r>
      <w:r>
        <w:t>)</w:t>
      </w:r>
      <w:r>
        <w:rPr>
          <w:rFonts w:hint="eastAsia"/>
        </w:rPr>
        <w:t>分布，做好自身的防护工作，配备好各种防护器材。</w:t>
      </w:r>
    </w:p>
    <w:p>
      <w:pPr>
        <w:pStyle w:val="739"/>
        <w:ind w:firstLine="480"/>
      </w:pPr>
      <w:r>
        <w:rPr>
          <w:rFonts w:hint="eastAsia"/>
        </w:rPr>
        <w:t>避免单独行动，应至少</w:t>
      </w:r>
      <w:r>
        <w:t>2~3</w:t>
      </w:r>
      <w:r>
        <w:rPr>
          <w:rFonts w:hint="eastAsia"/>
        </w:rPr>
        <w:t>人为一组集体行动，以便互相监护照应，在有易燃易爆气体存在的环境中，所用的救援器材应具备防爆功能。</w:t>
      </w:r>
    </w:p>
    <w:p>
      <w:pPr>
        <w:pStyle w:val="739"/>
        <w:ind w:firstLine="480"/>
        <w:rPr>
          <w:rFonts w:cs="Times New Roman"/>
        </w:rPr>
      </w:pPr>
      <w:r>
        <w:rPr>
          <w:rFonts w:hint="eastAsia"/>
        </w:rPr>
        <w:t>必须明确一位负责人，利用对讲机</w:t>
      </w:r>
      <w:r>
        <w:t>(</w:t>
      </w:r>
      <w:r>
        <w:rPr>
          <w:rFonts w:hint="eastAsia"/>
        </w:rPr>
        <w:t>防爆型</w:t>
      </w:r>
      <w:r>
        <w:t>)</w:t>
      </w:r>
      <w:r>
        <w:rPr>
          <w:rFonts w:hint="eastAsia"/>
        </w:rPr>
        <w:t>等随时与指挥部联系，同时所有参加救援入员必须听从指挥部的指挥。</w:t>
      </w:r>
    </w:p>
    <w:p>
      <w:pPr>
        <w:pStyle w:val="6"/>
        <w:rPr>
          <w:rFonts w:asciiTheme="majorHAnsi" w:hAnsiTheme="majorHAnsi"/>
        </w:rPr>
      </w:pPr>
      <w:r>
        <w:t>8.7.2.8</w:t>
      </w:r>
      <w:r>
        <w:rPr>
          <w:rFonts w:hint="eastAsia" w:ascii="宋体" w:hAnsi="宋体" w:eastAsia="宋体" w:cs="宋体"/>
        </w:rPr>
        <w:t>事故应急救援关闭程序与恢复措施</w:t>
      </w:r>
    </w:p>
    <w:p>
      <w:pPr>
        <w:adjustRightInd w:val="0"/>
        <w:snapToGrid w:val="0"/>
        <w:ind w:firstLine="480"/>
        <w:rPr>
          <w:rFonts w:cs="Times New Roman"/>
          <w:szCs w:val="24"/>
        </w:rPr>
      </w:pPr>
      <w:r>
        <w:rPr>
          <w:rFonts w:hint="eastAsia"/>
          <w:szCs w:val="24"/>
        </w:rPr>
        <w:t>事故应急救援指挥部进行事故现场的善后处理和恢复。事故现场的临近区域解除事故警戒并进行善后恢复。</w:t>
      </w:r>
    </w:p>
    <w:p>
      <w:pPr>
        <w:pStyle w:val="6"/>
        <w:rPr>
          <w:rFonts w:asciiTheme="majorHAnsi" w:hAnsiTheme="majorHAnsi"/>
        </w:rPr>
      </w:pPr>
      <w:r>
        <w:t>8.7.2.9</w:t>
      </w:r>
      <w:r>
        <w:rPr>
          <w:rFonts w:hint="eastAsia" w:ascii="宋体" w:hAnsi="宋体" w:eastAsia="宋体" w:cs="宋体"/>
        </w:rPr>
        <w:t>应急培训计划</w:t>
      </w:r>
    </w:p>
    <w:p>
      <w:pPr>
        <w:adjustRightInd w:val="0"/>
        <w:snapToGrid w:val="0"/>
        <w:ind w:firstLine="480"/>
        <w:rPr>
          <w:szCs w:val="24"/>
        </w:rPr>
      </w:pPr>
      <w:r>
        <w:rPr>
          <w:rFonts w:hint="eastAsia"/>
          <w:szCs w:val="24"/>
        </w:rPr>
        <w:t>应急培训计划制定后，平时安排人员培训与演练。应急救援培训计划培训和演习内同的实施和管理应与安监部门，环保部门及时沟通，加强业务学习与创新，不断提高全企业的安全生产技术水平。</w:t>
      </w:r>
    </w:p>
    <w:p>
      <w:pPr>
        <w:pStyle w:val="6"/>
        <w:rPr>
          <w:rFonts w:cs="Times New Roman" w:asciiTheme="majorHAnsi" w:hAnsiTheme="majorHAnsi"/>
        </w:rPr>
      </w:pPr>
      <w:r>
        <w:t>8.7.2.10</w:t>
      </w:r>
      <w:r>
        <w:rPr>
          <w:rFonts w:hint="eastAsia" w:ascii="宋体" w:hAnsi="宋体" w:eastAsia="宋体" w:cs="宋体"/>
        </w:rPr>
        <w:t>公众教育和信息</w:t>
      </w:r>
    </w:p>
    <w:p>
      <w:pPr>
        <w:adjustRightInd w:val="0"/>
        <w:snapToGrid w:val="0"/>
        <w:ind w:firstLine="480"/>
        <w:rPr>
          <w:rFonts w:cs="Times New Roman"/>
          <w:szCs w:val="24"/>
        </w:rPr>
      </w:pPr>
      <w:r>
        <w:rPr>
          <w:rFonts w:hint="eastAsia"/>
          <w:szCs w:val="24"/>
        </w:rPr>
        <w:t>在事故风险环境保护目标所在的地区开展公众教育，并对其进行相关的培训。突发性环境污染事故发生后，要及时发布准确、权威的信息，正确引导社会舆论。</w:t>
      </w:r>
    </w:p>
    <w:p>
      <w:pPr>
        <w:pStyle w:val="6"/>
        <w:rPr>
          <w:rFonts w:asciiTheme="majorHAnsi" w:hAnsiTheme="majorHAnsi"/>
        </w:rPr>
      </w:pPr>
      <w:r>
        <w:t>8.7.2.11</w:t>
      </w:r>
      <w:r>
        <w:rPr>
          <w:rFonts w:hint="eastAsia" w:ascii="宋体" w:hAnsi="宋体" w:eastAsia="宋体" w:cs="宋体"/>
        </w:rPr>
        <w:t>社会救援应急预案</w:t>
      </w:r>
    </w:p>
    <w:p>
      <w:pPr>
        <w:adjustRightInd w:val="0"/>
        <w:snapToGrid w:val="0"/>
        <w:ind w:firstLine="480"/>
        <w:rPr>
          <w:rFonts w:cs="Times New Roman"/>
          <w:szCs w:val="24"/>
        </w:rPr>
      </w:pPr>
      <w:r>
        <w:rPr>
          <w:rFonts w:hint="eastAsia"/>
          <w:szCs w:val="24"/>
        </w:rPr>
        <w:t>为了更好地应对突发性事件，及时遏制风险事故的发展，将风险带来的损失降低到最低水平，将工厂的应急预案与社会应急救援中心进行对接，充分利用社会救援体系的保障作用，保证安全生产和人民群众的生命财产安全。</w:t>
      </w:r>
    </w:p>
    <w:p>
      <w:pPr>
        <w:pStyle w:val="739"/>
        <w:ind w:firstLine="480"/>
        <w:outlineLvl w:val="0"/>
      </w:pPr>
      <w:r>
        <w:rPr>
          <w:rFonts w:hint="eastAsia"/>
        </w:rPr>
        <w:fldChar w:fldCharType="begin"/>
      </w:r>
      <w:r>
        <w:instrText xml:space="preserve">= 1 \* GB2</w:instrText>
      </w:r>
      <w:r>
        <w:rPr>
          <w:rFonts w:hint="eastAsia"/>
        </w:rPr>
        <w:fldChar w:fldCharType="separate"/>
      </w:r>
      <w:bookmarkStart w:id="801" w:name="_Toc9403207"/>
      <w:bookmarkStart w:id="802" w:name="_Toc5286469"/>
      <w:bookmarkStart w:id="803" w:name="_Toc13760330"/>
      <w:bookmarkStart w:id="804" w:name="_Toc13582302"/>
      <w:r>
        <w:rPr>
          <w:rFonts w:hint="eastAsia"/>
        </w:rPr>
        <w:t>⑴</w:t>
      </w:r>
      <w:r>
        <w:rPr>
          <w:rFonts w:hint="eastAsia"/>
        </w:rPr>
        <w:fldChar w:fldCharType="end"/>
      </w:r>
      <w:r>
        <w:rPr>
          <w:rFonts w:hint="eastAsia"/>
        </w:rPr>
        <w:t>应急预案体系</w:t>
      </w:r>
      <w:bookmarkEnd w:id="801"/>
      <w:bookmarkEnd w:id="802"/>
      <w:bookmarkEnd w:id="803"/>
      <w:bookmarkEnd w:id="804"/>
    </w:p>
    <w:p>
      <w:pPr>
        <w:pStyle w:val="739"/>
        <w:ind w:firstLine="480"/>
      </w:pPr>
      <w:r>
        <w:rPr>
          <w:rFonts w:hint="eastAsia"/>
        </w:rPr>
        <w:t>根据突发性事件的等级不同，形成不同等级的应急预案。应急状态和应急响应等级由政府有关部门发布。事故应急准备和救援由政府领导，实施统一指挥。根据需要成立各级指挥部。</w:t>
      </w:r>
    </w:p>
    <w:p>
      <w:pPr>
        <w:pStyle w:val="739"/>
        <w:ind w:firstLine="480"/>
      </w:pPr>
      <w:r>
        <w:rPr>
          <w:rFonts w:hint="eastAsia"/>
        </w:rPr>
        <w:t>当风险事件发生时，根据政府命令，按照规定的应急状态和应急响应等级，各级组织实施。各级指挥部根据政府命令开设。</w:t>
      </w:r>
    </w:p>
    <w:p>
      <w:pPr>
        <w:pStyle w:val="739"/>
        <w:ind w:firstLine="480"/>
        <w:outlineLvl w:val="0"/>
      </w:pPr>
      <w:r>
        <w:rPr>
          <w:rFonts w:hint="eastAsia"/>
        </w:rPr>
        <w:fldChar w:fldCharType="begin"/>
      </w:r>
      <w:r>
        <w:instrText xml:space="preserve">= 2 \* GB2</w:instrText>
      </w:r>
      <w:r>
        <w:rPr>
          <w:rFonts w:hint="eastAsia"/>
        </w:rPr>
        <w:fldChar w:fldCharType="separate"/>
      </w:r>
      <w:bookmarkStart w:id="805" w:name="_Toc5286470"/>
      <w:bookmarkStart w:id="806" w:name="_Toc13760331"/>
      <w:bookmarkStart w:id="807" w:name="_Toc9403208"/>
      <w:bookmarkStart w:id="808" w:name="_Toc13582303"/>
      <w:r>
        <w:rPr>
          <w:rFonts w:hint="eastAsia"/>
        </w:rPr>
        <w:t>⑵</w:t>
      </w:r>
      <w:r>
        <w:rPr>
          <w:rFonts w:hint="eastAsia"/>
        </w:rPr>
        <w:fldChar w:fldCharType="end"/>
      </w:r>
      <w:r>
        <w:rPr>
          <w:rFonts w:hint="eastAsia"/>
        </w:rPr>
        <w:t>社会应急救援保障</w:t>
      </w:r>
      <w:bookmarkEnd w:id="805"/>
      <w:bookmarkEnd w:id="806"/>
      <w:bookmarkEnd w:id="807"/>
      <w:bookmarkEnd w:id="808"/>
    </w:p>
    <w:p>
      <w:pPr>
        <w:adjustRightInd w:val="0"/>
        <w:snapToGrid w:val="0"/>
        <w:ind w:firstLine="480"/>
        <w:rPr>
          <w:szCs w:val="24"/>
        </w:rPr>
      </w:pPr>
      <w:r>
        <w:rPr>
          <w:szCs w:val="24"/>
        </w:rPr>
        <w:fldChar w:fldCharType="begin"/>
      </w:r>
      <w:r>
        <w:rPr>
          <w:szCs w:val="24"/>
        </w:rPr>
        <w:instrText xml:space="preserve">= 1 \* GB3</w:instrText>
      </w:r>
      <w:r>
        <w:rPr>
          <w:szCs w:val="24"/>
        </w:rPr>
        <w:fldChar w:fldCharType="separate"/>
      </w:r>
      <w:r>
        <w:rPr>
          <w:rFonts w:hint="eastAsia"/>
          <w:szCs w:val="24"/>
        </w:rPr>
        <w:t>①</w:t>
      </w:r>
      <w:r>
        <w:rPr>
          <w:szCs w:val="24"/>
        </w:rPr>
        <w:fldChar w:fldCharType="end"/>
      </w:r>
      <w:r>
        <w:rPr>
          <w:rFonts w:hint="eastAsia"/>
          <w:szCs w:val="24"/>
        </w:rPr>
        <w:t>专业部门制定相关的专业保障方案及落实相应的准备工作。</w:t>
      </w:r>
    </w:p>
    <w:p>
      <w:pPr>
        <w:adjustRightInd w:val="0"/>
        <w:snapToGrid w:val="0"/>
        <w:ind w:firstLine="480"/>
        <w:rPr>
          <w:szCs w:val="24"/>
        </w:rPr>
      </w:pPr>
      <w:r>
        <w:rPr>
          <w:szCs w:val="24"/>
        </w:rPr>
        <w:fldChar w:fldCharType="begin"/>
      </w:r>
      <w:r>
        <w:rPr>
          <w:szCs w:val="24"/>
        </w:rPr>
        <w:instrText xml:space="preserve">= 2 \* GB3</w:instrText>
      </w:r>
      <w:r>
        <w:rPr>
          <w:szCs w:val="24"/>
        </w:rPr>
        <w:fldChar w:fldCharType="separate"/>
      </w:r>
      <w:r>
        <w:rPr>
          <w:rFonts w:hint="eastAsia"/>
          <w:szCs w:val="24"/>
        </w:rPr>
        <w:t>②</w:t>
      </w:r>
      <w:r>
        <w:rPr>
          <w:szCs w:val="24"/>
        </w:rPr>
        <w:fldChar w:fldCharType="end"/>
      </w:r>
      <w:r>
        <w:rPr>
          <w:rFonts w:hint="eastAsia"/>
          <w:szCs w:val="24"/>
        </w:rPr>
        <w:t>事故应急专家委员会制定应急技术保障，并制定相应的计划和行动方案。</w:t>
      </w:r>
    </w:p>
    <w:p>
      <w:pPr>
        <w:adjustRightInd w:val="0"/>
        <w:snapToGrid w:val="0"/>
        <w:ind w:firstLine="480"/>
        <w:rPr>
          <w:szCs w:val="24"/>
        </w:rPr>
      </w:pPr>
      <w:r>
        <w:rPr>
          <w:szCs w:val="24"/>
        </w:rPr>
        <w:fldChar w:fldCharType="begin"/>
      </w:r>
      <w:r>
        <w:rPr>
          <w:szCs w:val="24"/>
        </w:rPr>
        <w:instrText xml:space="preserve">= 3 \* GB3</w:instrText>
      </w:r>
      <w:r>
        <w:rPr>
          <w:szCs w:val="24"/>
        </w:rPr>
        <w:fldChar w:fldCharType="separate"/>
      </w:r>
      <w:r>
        <w:rPr>
          <w:rFonts w:hint="eastAsia"/>
          <w:szCs w:val="24"/>
        </w:rPr>
        <w:t>③</w:t>
      </w:r>
      <w:r>
        <w:rPr>
          <w:szCs w:val="24"/>
        </w:rPr>
        <w:fldChar w:fldCharType="end"/>
      </w:r>
      <w:r>
        <w:rPr>
          <w:rFonts w:hint="eastAsia"/>
          <w:szCs w:val="24"/>
        </w:rPr>
        <w:t>物资保障部门制定相应的计划并落实相应的准备工作。</w:t>
      </w:r>
    </w:p>
    <w:p>
      <w:pPr>
        <w:adjustRightInd w:val="0"/>
        <w:snapToGrid w:val="0"/>
        <w:ind w:firstLine="480"/>
        <w:rPr>
          <w:szCs w:val="24"/>
        </w:rPr>
      </w:pPr>
      <w:r>
        <w:rPr>
          <w:szCs w:val="24"/>
        </w:rPr>
        <w:fldChar w:fldCharType="begin"/>
      </w:r>
      <w:r>
        <w:rPr>
          <w:szCs w:val="24"/>
        </w:rPr>
        <w:instrText xml:space="preserve">= 4 \* GB3</w:instrText>
      </w:r>
      <w:r>
        <w:rPr>
          <w:szCs w:val="24"/>
        </w:rPr>
        <w:fldChar w:fldCharType="separate"/>
      </w:r>
      <w:r>
        <w:rPr>
          <w:rFonts w:hint="eastAsia"/>
          <w:szCs w:val="24"/>
        </w:rPr>
        <w:t>④</w:t>
      </w:r>
      <w:r>
        <w:rPr>
          <w:szCs w:val="24"/>
        </w:rPr>
        <w:fldChar w:fldCharType="end"/>
      </w:r>
      <w:r>
        <w:rPr>
          <w:rFonts w:hint="eastAsia"/>
          <w:szCs w:val="24"/>
        </w:rPr>
        <w:t>宣传部门制定对公众宣传教育计划并组织实施。</w:t>
      </w:r>
    </w:p>
    <w:p>
      <w:pPr>
        <w:adjustRightInd w:val="0"/>
        <w:snapToGrid w:val="0"/>
        <w:ind w:firstLine="480"/>
        <w:rPr>
          <w:rFonts w:cs="Times New Roman"/>
          <w:szCs w:val="24"/>
        </w:rPr>
      </w:pPr>
      <w:r>
        <w:rPr>
          <w:szCs w:val="24"/>
        </w:rPr>
        <w:fldChar w:fldCharType="begin"/>
      </w:r>
      <w:r>
        <w:rPr>
          <w:szCs w:val="24"/>
        </w:rPr>
        <w:instrText xml:space="preserve">= 5 \* GB3</w:instrText>
      </w:r>
      <w:r>
        <w:rPr>
          <w:szCs w:val="24"/>
        </w:rPr>
        <w:fldChar w:fldCharType="separate"/>
      </w:r>
      <w:r>
        <w:rPr>
          <w:rFonts w:hint="eastAsia"/>
          <w:szCs w:val="24"/>
        </w:rPr>
        <w:t>⑤</w:t>
      </w:r>
      <w:r>
        <w:rPr>
          <w:szCs w:val="24"/>
        </w:rPr>
        <w:fldChar w:fldCharType="end"/>
      </w:r>
      <w:r>
        <w:rPr>
          <w:rFonts w:hint="eastAsia"/>
          <w:szCs w:val="24"/>
        </w:rPr>
        <w:t>工业企业部门配备相应的救灾设施、设备以备紧急调配等。</w:t>
      </w:r>
    </w:p>
    <w:p>
      <w:pPr>
        <w:pStyle w:val="6"/>
        <w:rPr>
          <w:rFonts w:asciiTheme="majorHAnsi" w:hAnsiTheme="majorHAnsi"/>
        </w:rPr>
      </w:pPr>
      <w:r>
        <w:t>8.7.2.12</w:t>
      </w:r>
      <w:r>
        <w:rPr>
          <w:rFonts w:hint="eastAsia" w:ascii="宋体" w:hAnsi="宋体" w:eastAsia="宋体" w:cs="宋体"/>
        </w:rPr>
        <w:t>应急能力评价</w:t>
      </w:r>
    </w:p>
    <w:p>
      <w:pPr>
        <w:adjustRightInd w:val="0"/>
        <w:snapToGrid w:val="0"/>
        <w:ind w:firstLine="480"/>
        <w:rPr>
          <w:szCs w:val="24"/>
        </w:rPr>
      </w:pPr>
      <w:r>
        <w:rPr>
          <w:rFonts w:hint="eastAsia"/>
          <w:szCs w:val="24"/>
        </w:rPr>
        <w:t>为保障环境应急体系始终处于良好的战备状态，并实现持续改进，对各级环境应急机构的设置情况、制度和工作程序的建立与执行情况、队伍的建设和人员培训与考核情况、应急装备和经费管理与使用情况等，在环境应急能力评价体系中实行自上而下的监督、检查和考核工作机制。严格内部管理，全面推行</w:t>
      </w:r>
      <w:r>
        <w:rPr>
          <w:szCs w:val="24"/>
        </w:rPr>
        <w:t xml:space="preserve"> ISO9000(</w:t>
      </w:r>
      <w:r>
        <w:rPr>
          <w:rFonts w:hint="eastAsia"/>
          <w:szCs w:val="24"/>
        </w:rPr>
        <w:t>质量管理</w:t>
      </w:r>
      <w:r>
        <w:rPr>
          <w:szCs w:val="24"/>
        </w:rPr>
        <w:t>)</w:t>
      </w:r>
      <w:r>
        <w:rPr>
          <w:rFonts w:hint="eastAsia"/>
          <w:szCs w:val="24"/>
        </w:rPr>
        <w:t>、</w:t>
      </w:r>
      <w:r>
        <w:rPr>
          <w:szCs w:val="24"/>
        </w:rPr>
        <w:t>ISO14000(</w:t>
      </w:r>
      <w:r>
        <w:rPr>
          <w:rFonts w:hint="eastAsia"/>
          <w:szCs w:val="24"/>
        </w:rPr>
        <w:t>环境管理</w:t>
      </w:r>
      <w:r>
        <w:rPr>
          <w:szCs w:val="24"/>
        </w:rPr>
        <w:t>)</w:t>
      </w:r>
      <w:r>
        <w:rPr>
          <w:rFonts w:hint="eastAsia"/>
          <w:szCs w:val="24"/>
        </w:rPr>
        <w:t>、</w:t>
      </w:r>
      <w:r>
        <w:rPr>
          <w:szCs w:val="24"/>
        </w:rPr>
        <w:t>OSHMS(</w:t>
      </w:r>
      <w:r>
        <w:rPr>
          <w:rFonts w:hint="eastAsia"/>
          <w:szCs w:val="24"/>
        </w:rPr>
        <w:t>职业安全卫生管理</w:t>
      </w:r>
      <w:r>
        <w:rPr>
          <w:szCs w:val="24"/>
        </w:rPr>
        <w:t>)</w:t>
      </w:r>
      <w:r>
        <w:rPr>
          <w:rFonts w:hint="eastAsia"/>
          <w:szCs w:val="24"/>
        </w:rPr>
        <w:t>等管理体系，及时检查、维护生产、安全设施，精心作业，减少事故发生的风险。</w:t>
      </w:r>
    </w:p>
    <w:p>
      <w:pPr>
        <w:pStyle w:val="4"/>
        <w:rPr>
          <w:rFonts w:asciiTheme="majorHAnsi" w:hAnsiTheme="majorHAnsi"/>
          <w:sz w:val="28"/>
        </w:rPr>
      </w:pPr>
      <w:bookmarkStart w:id="809" w:name="_Toc9403209"/>
      <w:bookmarkStart w:id="810" w:name="_Toc13760332"/>
      <w:r>
        <w:t>8.8</w:t>
      </w:r>
      <w:r>
        <w:rPr>
          <w:rFonts w:hint="eastAsia"/>
        </w:rPr>
        <w:t>环境风险评价结论与建议</w:t>
      </w:r>
      <w:bookmarkEnd w:id="809"/>
      <w:bookmarkEnd w:id="810"/>
    </w:p>
    <w:p>
      <w:pPr>
        <w:adjustRightInd w:val="0"/>
        <w:snapToGrid w:val="0"/>
        <w:ind w:firstLine="480"/>
        <w:rPr>
          <w:szCs w:val="24"/>
        </w:rPr>
      </w:pPr>
      <w:r>
        <w:rPr>
          <w:rFonts w:hint="eastAsia"/>
          <w:szCs w:val="24"/>
        </w:rPr>
        <w:t>本项目为了防范事故和减少危害，建设项目从厂区总平面布置、危化品储存管理、污染治理系统事故运行机制、工艺设备及装置、火灾报警系统等方面编制了详细的风险防范措施，并根据有关规定制定了企业的环境突发事件应急救援预案，并定期进行演练。当出现事故时，要采取紧急的工程应急措施，如有必要，要采取社会应急措施，以控制事故和减少对环境造成的危害。企业设有</w:t>
      </w:r>
      <w:r>
        <w:rPr>
          <w:rFonts w:cs="Times New Roman"/>
          <w:szCs w:val="24"/>
        </w:rPr>
        <w:t>1406.25m</w:t>
      </w:r>
      <w:r>
        <w:rPr>
          <w:rFonts w:cs="Times New Roman"/>
          <w:szCs w:val="24"/>
          <w:vertAlign w:val="superscript"/>
        </w:rPr>
        <w:t>3</w:t>
      </w:r>
      <w:r>
        <w:rPr>
          <w:rFonts w:hint="eastAsia"/>
        </w:rPr>
        <w:t>的全厂事故及雨水收集池</w:t>
      </w:r>
      <w:r>
        <w:rPr>
          <w:rFonts w:hint="eastAsia"/>
          <w:szCs w:val="24"/>
        </w:rPr>
        <w:t>，并应配套设置迅速切断事故排水直接外排并使其进入储存设施的措施。事故池应采取安全措施，且事故池在非事故状态下不得占用，以保证可以随时容纳可能发生的事故废水。</w:t>
      </w:r>
    </w:p>
    <w:p>
      <w:pPr>
        <w:adjustRightInd w:val="0"/>
        <w:snapToGrid w:val="0"/>
        <w:ind w:firstLine="480"/>
        <w:rPr>
          <w:szCs w:val="24"/>
        </w:rPr>
      </w:pPr>
      <w:r>
        <w:rPr>
          <w:rFonts w:hint="eastAsia"/>
          <w:szCs w:val="24"/>
        </w:rPr>
        <w:t>针对可能发生的环境风险所产生的特征污染物，在各类事故发生时，选择适当的因子进行应急检测，指导应急救援及环境污染治理方案的编制和实施。</w:t>
      </w:r>
    </w:p>
    <w:p>
      <w:pPr>
        <w:ind w:firstLine="480"/>
        <w:rPr>
          <w:rFonts w:asciiTheme="minorEastAsia" w:hAnsiTheme="minorEastAsia" w:eastAsiaTheme="minorEastAsia"/>
          <w:szCs w:val="24"/>
        </w:rPr>
      </w:pPr>
      <w:r>
        <w:rPr>
          <w:rFonts w:hint="eastAsia"/>
          <w:szCs w:val="24"/>
        </w:rPr>
        <w:t>项目建成后，除了进行必要的工程质量、施工等方面的验收外，还必须经公安消防部门审核合格，具有国家安全评价资质的评价机构进行安全验收评价，报请国家主管部门审批后，方投入正常生产。厂内主要责任人及安全管理人员必须经安监部门培训，考核合格后持证上岗；特种作业人员必须经过专业培训持证上岗。其他从业人员均应经过三级安全教育，持证上岗。在各环境风险防范措施落实到位的情况下，将可大大降低本项目的环境风险，最大程度减少对环境可能造成的危害。</w:t>
      </w: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sectPr>
          <w:pgSz w:w="11906" w:h="16838"/>
          <w:pgMar w:top="1418" w:right="1134" w:bottom="1418" w:left="1134" w:header="851" w:footer="850" w:gutter="0"/>
          <w:cols w:space="425" w:num="1"/>
          <w:docGrid w:type="lines" w:linePitch="326" w:charSpace="0"/>
        </w:sectPr>
      </w:pPr>
    </w:p>
    <w:p>
      <w:pPr>
        <w:pStyle w:val="3"/>
        <w:spacing w:before="120" w:after="120"/>
        <w:rPr>
          <w:rFonts w:asciiTheme="minorEastAsia" w:hAnsiTheme="minorEastAsia" w:eastAsiaTheme="minorEastAsia"/>
          <w:szCs w:val="24"/>
        </w:rPr>
      </w:pPr>
      <w:bookmarkStart w:id="811" w:name="_Toc13760333"/>
      <w:r>
        <w:rPr>
          <w:rFonts w:hint="eastAsia"/>
          <w:kern w:val="0"/>
        </w:rPr>
        <w:t>9.改扩建后环保投资、监测计划及“三同时”汇总</w:t>
      </w:r>
      <w:bookmarkEnd w:id="811"/>
    </w:p>
    <w:p>
      <w:pPr>
        <w:pStyle w:val="4"/>
      </w:pPr>
      <w:bookmarkStart w:id="812" w:name="_Toc13760334"/>
      <w:bookmarkStart w:id="813" w:name="_Toc182978217"/>
      <w:bookmarkStart w:id="814" w:name="_Toc354065945"/>
      <w:bookmarkStart w:id="815" w:name="_Toc532546139"/>
      <w:bookmarkStart w:id="816" w:name="_Toc229894330"/>
      <w:r>
        <w:rPr>
          <w:rFonts w:hint="eastAsia"/>
          <w:lang w:val="zh-CN"/>
        </w:rPr>
        <w:t>9</w:t>
      </w:r>
      <w:r>
        <w:rPr>
          <w:lang w:val="zh-CN"/>
        </w:rPr>
        <w:t>.1</w:t>
      </w:r>
      <w:r>
        <w:rPr>
          <w:rFonts w:hint="eastAsia"/>
          <w:lang w:val="zh-CN"/>
        </w:rPr>
        <w:t>环保设施投资分析</w:t>
      </w:r>
      <w:bookmarkEnd w:id="812"/>
      <w:bookmarkEnd w:id="813"/>
      <w:bookmarkEnd w:id="814"/>
      <w:bookmarkEnd w:id="815"/>
      <w:bookmarkEnd w:id="816"/>
    </w:p>
    <w:p>
      <w:pPr>
        <w:ind w:firstLine="480"/>
      </w:pPr>
      <w:bookmarkStart w:id="817" w:name="_Toc229894331"/>
      <w:bookmarkStart w:id="818" w:name="_Toc182978218"/>
      <w:r>
        <w:rPr>
          <w:rFonts w:hint="eastAsia"/>
          <w:lang w:val="zh-CN"/>
        </w:rPr>
        <w:t>本项目改扩建前全厂总投资为</w:t>
      </w:r>
      <w:r>
        <w:rPr>
          <w:rFonts w:hint="eastAsia"/>
        </w:rPr>
        <w:t>11628.80</w:t>
      </w:r>
      <w:r>
        <w:t>×10</w:t>
      </w:r>
      <w:r>
        <w:rPr>
          <w:vertAlign w:val="superscript"/>
        </w:rPr>
        <w:t>4</w:t>
      </w:r>
      <w:r>
        <w:rPr>
          <w:rFonts w:hint="eastAsia"/>
        </w:rPr>
        <w:t>元</w:t>
      </w:r>
      <w:r>
        <w:rPr>
          <w:rFonts w:hint="eastAsia"/>
          <w:lang w:val="zh-CN"/>
        </w:rPr>
        <w:t>，</w:t>
      </w:r>
      <w:r>
        <w:rPr>
          <w:rFonts w:hint="eastAsia"/>
        </w:rPr>
        <w:t>其中环保设施投资3790.00</w:t>
      </w:r>
      <w:r>
        <w:t>×10</w:t>
      </w:r>
      <w:r>
        <w:rPr>
          <w:vertAlign w:val="superscript"/>
        </w:rPr>
        <w:t>4</w:t>
      </w:r>
      <w:r>
        <w:rPr>
          <w:rFonts w:hint="eastAsia"/>
        </w:rPr>
        <w:t>元，环保设施投资占工程总投资32.59</w:t>
      </w:r>
      <w:r>
        <w:t>%</w:t>
      </w:r>
      <w:r>
        <w:rPr>
          <w:rFonts w:hint="eastAsia"/>
        </w:rPr>
        <w:t>；</w:t>
      </w:r>
      <w:r>
        <w:rPr>
          <w:rFonts w:hint="eastAsia"/>
          <w:lang w:val="zh-CN"/>
        </w:rPr>
        <w:t>本项目改扩建后全厂总投资增加</w:t>
      </w:r>
      <w:r>
        <w:rPr>
          <w:rFonts w:hint="eastAsia"/>
        </w:rPr>
        <w:t>3528.70</w:t>
      </w:r>
      <w:r>
        <w:t>×10</w:t>
      </w:r>
      <w:r>
        <w:rPr>
          <w:vertAlign w:val="superscript"/>
        </w:rPr>
        <w:t>4</w:t>
      </w:r>
      <w:r>
        <w:rPr>
          <w:rFonts w:hint="eastAsia"/>
        </w:rPr>
        <w:t>元</w:t>
      </w:r>
      <w:r>
        <w:rPr>
          <w:rFonts w:hint="eastAsia"/>
          <w:lang w:val="zh-CN"/>
        </w:rPr>
        <w:t>，</w:t>
      </w:r>
      <w:r>
        <w:rPr>
          <w:rFonts w:hint="eastAsia"/>
        </w:rPr>
        <w:t>其中环保设施投资增加为1090.00</w:t>
      </w:r>
      <w:r>
        <w:t>×10</w:t>
      </w:r>
      <w:r>
        <w:rPr>
          <w:vertAlign w:val="superscript"/>
        </w:rPr>
        <w:t>4</w:t>
      </w:r>
      <w:r>
        <w:rPr>
          <w:rFonts w:hint="eastAsia"/>
        </w:rPr>
        <w:t>元，环保设施投资占工程总投资30.89</w:t>
      </w:r>
      <w:r>
        <w:t>%</w:t>
      </w:r>
      <w:r>
        <w:rPr>
          <w:rFonts w:hint="eastAsia"/>
        </w:rPr>
        <w:t>。改扩建后全厂</w:t>
      </w:r>
      <w:r>
        <w:rPr>
          <w:rFonts w:hint="eastAsia"/>
          <w:lang w:val="zh-CN"/>
        </w:rPr>
        <w:t>环保设施投资分项见表9</w:t>
      </w:r>
      <w:r>
        <w:rPr>
          <w:lang w:val="zh-CN"/>
        </w:rPr>
        <w:t>.1</w:t>
      </w:r>
      <w:r>
        <w:rPr>
          <w:rFonts w:hint="eastAsia"/>
          <w:lang w:val="zh-CN"/>
        </w:rPr>
        <w:t>—</w:t>
      </w:r>
      <w:r>
        <w:rPr>
          <w:lang w:val="zh-CN"/>
        </w:rPr>
        <w:t>1</w:t>
      </w:r>
      <w:r>
        <w:rPr>
          <w:rFonts w:hint="eastAsia"/>
          <w:lang w:val="zh-CN"/>
        </w:rPr>
        <w:t>。</w:t>
      </w:r>
    </w:p>
    <w:p>
      <w:pPr>
        <w:pStyle w:val="161"/>
        <w:ind w:firstLine="480"/>
      </w:pPr>
      <w:r>
        <w:rPr>
          <w:rFonts w:hint="eastAsia"/>
        </w:rPr>
        <w:t>表9.1—1环保设施投资分项表</w:t>
      </w:r>
    </w:p>
    <w:tbl>
      <w:tblPr>
        <w:tblStyle w:val="88"/>
        <w:tblW w:w="9638"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05"/>
        <w:gridCol w:w="603"/>
        <w:gridCol w:w="3913"/>
        <w:gridCol w:w="1355"/>
        <w:gridCol w:w="1207"/>
        <w:gridCol w:w="1955"/>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restart"/>
            <w:tcBorders>
              <w:top w:val="single" w:color="000000"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工程</w:t>
            </w:r>
          </w:p>
        </w:tc>
        <w:tc>
          <w:tcPr>
            <w:tcW w:w="603" w:type="dxa"/>
            <w:vMerge w:val="restart"/>
            <w:tcBorders>
              <w:top w:val="single" w:color="000000"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序号</w:t>
            </w:r>
          </w:p>
        </w:tc>
        <w:tc>
          <w:tcPr>
            <w:tcW w:w="3913" w:type="dxa"/>
            <w:vMerge w:val="restart"/>
            <w:tcBorders>
              <w:top w:val="single" w:color="000000"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工程及费用名称</w:t>
            </w:r>
          </w:p>
        </w:tc>
        <w:tc>
          <w:tcPr>
            <w:tcW w:w="2562" w:type="dxa"/>
            <w:gridSpan w:val="2"/>
            <w:tcBorders>
              <w:top w:val="single" w:color="000000"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合计人民币</w:t>
            </w:r>
            <w:r>
              <w:rPr>
                <w:sz w:val="21"/>
              </w:rPr>
              <w:t>(</w:t>
            </w:r>
            <w:r>
              <w:rPr>
                <w:rFonts w:hint="eastAsia"/>
                <w:sz w:val="21"/>
              </w:rPr>
              <w:t>×</w:t>
            </w:r>
            <w:r>
              <w:rPr>
                <w:sz w:val="21"/>
              </w:rPr>
              <w:t>10</w:t>
            </w:r>
            <w:r>
              <w:rPr>
                <w:sz w:val="21"/>
                <w:vertAlign w:val="superscript"/>
              </w:rPr>
              <w:t>4</w:t>
            </w:r>
            <w:r>
              <w:rPr>
                <w:rFonts w:hint="eastAsia"/>
                <w:sz w:val="21"/>
              </w:rPr>
              <w:t>元</w:t>
            </w:r>
            <w:r>
              <w:rPr>
                <w:sz w:val="21"/>
              </w:rPr>
              <w:t>)</w:t>
            </w:r>
          </w:p>
        </w:tc>
        <w:tc>
          <w:tcPr>
            <w:tcW w:w="1955" w:type="dxa"/>
            <w:vMerge w:val="restart"/>
            <w:tcBorders>
              <w:top w:val="single" w:color="000000" w:sz="12" w:space="0"/>
              <w:left w:val="dotted" w:color="auto" w:sz="4" w:space="0"/>
              <w:right w:val="nil"/>
            </w:tcBorders>
            <w:vAlign w:val="center"/>
          </w:tcPr>
          <w:p>
            <w:pPr>
              <w:tabs>
                <w:tab w:val="center" w:pos="670"/>
              </w:tabs>
              <w:spacing w:line="240" w:lineRule="atLeast"/>
              <w:ind w:firstLine="0" w:firstLineChars="0"/>
              <w:jc w:val="center"/>
              <w:rPr>
                <w:sz w:val="21"/>
              </w:rPr>
            </w:pPr>
            <w:r>
              <w:rPr>
                <w:rFonts w:hint="eastAsia"/>
                <w:sz w:val="21"/>
              </w:rPr>
              <w:t>备注</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single" w:color="000000" w:sz="12" w:space="0"/>
              <w:left w:val="nil"/>
              <w:bottom w:val="single" w:color="auto" w:sz="12" w:space="0"/>
              <w:right w:val="dotted" w:color="auto" w:sz="4" w:space="0"/>
            </w:tcBorders>
            <w:vAlign w:val="center"/>
          </w:tcPr>
          <w:p>
            <w:pPr>
              <w:widowControl/>
              <w:spacing w:line="240" w:lineRule="atLeast"/>
              <w:ind w:firstLine="0" w:firstLineChars="0"/>
              <w:jc w:val="center"/>
              <w:rPr>
                <w:sz w:val="21"/>
              </w:rPr>
            </w:pPr>
          </w:p>
        </w:tc>
        <w:tc>
          <w:tcPr>
            <w:tcW w:w="603"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sz w:val="21"/>
              </w:rPr>
            </w:pPr>
          </w:p>
        </w:tc>
        <w:tc>
          <w:tcPr>
            <w:tcW w:w="3913" w:type="dxa"/>
            <w:vMerge w:val="continue"/>
            <w:tcBorders>
              <w:top w:val="single" w:color="000000" w:sz="12" w:space="0"/>
              <w:left w:val="dotted" w:color="auto" w:sz="4" w:space="0"/>
              <w:bottom w:val="single" w:color="auto" w:sz="12" w:space="0"/>
              <w:right w:val="dotted" w:color="auto" w:sz="4" w:space="0"/>
            </w:tcBorders>
            <w:vAlign w:val="center"/>
          </w:tcPr>
          <w:p>
            <w:pPr>
              <w:widowControl/>
              <w:spacing w:line="240" w:lineRule="atLeast"/>
              <w:ind w:firstLine="0" w:firstLineChars="0"/>
              <w:jc w:val="center"/>
              <w:rPr>
                <w:sz w:val="21"/>
              </w:rPr>
            </w:pPr>
          </w:p>
        </w:tc>
        <w:tc>
          <w:tcPr>
            <w:tcW w:w="1355"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改扩建前</w:t>
            </w:r>
          </w:p>
        </w:tc>
        <w:tc>
          <w:tcPr>
            <w:tcW w:w="1207" w:type="dxa"/>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改扩建后</w:t>
            </w:r>
          </w:p>
        </w:tc>
        <w:tc>
          <w:tcPr>
            <w:tcW w:w="1955" w:type="dxa"/>
            <w:vMerge w:val="continue"/>
            <w:tcBorders>
              <w:left w:val="dotted" w:color="auto" w:sz="4" w:space="0"/>
              <w:bottom w:val="single" w:color="auto" w:sz="12"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restart"/>
            <w:tcBorders>
              <w:top w:val="single" w:color="auto" w:sz="12"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废气</w:t>
            </w:r>
          </w:p>
          <w:p>
            <w:pPr>
              <w:spacing w:line="240" w:lineRule="atLeast"/>
              <w:ind w:firstLine="0" w:firstLineChars="0"/>
              <w:jc w:val="center"/>
              <w:rPr>
                <w:sz w:val="21"/>
              </w:rPr>
            </w:pPr>
            <w:r>
              <w:rPr>
                <w:rFonts w:hint="eastAsia"/>
                <w:sz w:val="21"/>
              </w:rPr>
              <w:t>治理</w:t>
            </w:r>
          </w:p>
        </w:tc>
        <w:tc>
          <w:tcPr>
            <w:tcW w:w="60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3913" w:type="dxa"/>
            <w:tcBorders>
              <w:top w:val="single" w:color="auto" w:sz="12"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危废暂存库紫外光处理器</w:t>
            </w:r>
            <w:r>
              <w:rPr>
                <w:sz w:val="21"/>
              </w:rPr>
              <w:t>+</w:t>
            </w:r>
            <w:r>
              <w:rPr>
                <w:rFonts w:hint="eastAsia"/>
                <w:sz w:val="21"/>
              </w:rPr>
              <w:t>活性炭纤维有机废气净化器</w:t>
            </w:r>
          </w:p>
        </w:tc>
        <w:tc>
          <w:tcPr>
            <w:tcW w:w="1355"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150</w:t>
            </w:r>
          </w:p>
        </w:tc>
        <w:tc>
          <w:tcPr>
            <w:tcW w:w="1207"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260</w:t>
            </w:r>
          </w:p>
        </w:tc>
        <w:tc>
          <w:tcPr>
            <w:tcW w:w="1955" w:type="dxa"/>
            <w:tcBorders>
              <w:top w:val="single" w:color="auto" w:sz="12"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规模扩大</w:t>
            </w:r>
          </w:p>
          <w:p>
            <w:pPr>
              <w:spacing w:line="240" w:lineRule="atLeast"/>
              <w:ind w:firstLine="0" w:firstLineChars="0"/>
              <w:jc w:val="center"/>
              <w:rPr>
                <w:sz w:val="21"/>
              </w:rPr>
            </w:pPr>
            <w:r>
              <w:rPr>
                <w:rFonts w:hint="eastAsia"/>
                <w:sz w:val="21"/>
              </w:rPr>
              <w:t>增加投资90万</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物化车间碱液喷淋系统</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100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SNCR</w:t>
            </w:r>
            <w:r>
              <w:rPr>
                <w:rFonts w:hint="eastAsia"/>
                <w:sz w:val="21"/>
              </w:rPr>
              <w:t>脱硝系统</w:t>
            </w:r>
            <w:r>
              <w:rPr>
                <w:sz w:val="21"/>
              </w:rPr>
              <w:t>+</w:t>
            </w:r>
            <w:r>
              <w:rPr>
                <w:rFonts w:hint="eastAsia"/>
                <w:sz w:val="21"/>
              </w:rPr>
              <w:t>急冷脱酸塔</w:t>
            </w:r>
            <w:r>
              <w:rPr>
                <w:sz w:val="21"/>
              </w:rPr>
              <w:t>+</w:t>
            </w:r>
            <w:r>
              <w:rPr>
                <w:rFonts w:hint="eastAsia"/>
                <w:sz w:val="21"/>
              </w:rPr>
              <w:t>干式反应器</w:t>
            </w:r>
            <w:r>
              <w:rPr>
                <w:sz w:val="21"/>
              </w:rPr>
              <w:t>+</w:t>
            </w:r>
            <w:r>
              <w:rPr>
                <w:rFonts w:hint="eastAsia"/>
                <w:sz w:val="21"/>
              </w:rPr>
              <w:t>袋式除尘器</w:t>
            </w:r>
            <w:r>
              <w:rPr>
                <w:sz w:val="21"/>
              </w:rPr>
              <w:t>+</w:t>
            </w:r>
            <w:r>
              <w:rPr>
                <w:rFonts w:hint="eastAsia"/>
                <w:sz w:val="21"/>
              </w:rPr>
              <w:t>喷淋洗涤塔</w:t>
            </w:r>
            <w:r>
              <w:rPr>
                <w:sz w:val="21"/>
              </w:rPr>
              <w:t>+</w:t>
            </w:r>
            <w:r>
              <w:rPr>
                <w:rFonts w:hint="eastAsia"/>
                <w:sz w:val="21"/>
              </w:rPr>
              <w:t>湿电除尘</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450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900</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规模扩大</w:t>
            </w:r>
          </w:p>
          <w:p>
            <w:pPr>
              <w:spacing w:line="240" w:lineRule="atLeast"/>
              <w:ind w:firstLine="0" w:firstLineChars="0"/>
              <w:jc w:val="center"/>
              <w:rPr>
                <w:sz w:val="21"/>
              </w:rPr>
            </w:pPr>
            <w:r>
              <w:rPr>
                <w:rFonts w:hint="eastAsia"/>
                <w:sz w:val="21"/>
              </w:rPr>
              <w:t>增加投资450万</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固化车间布袋除尘系统</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80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强制循环蒸发器</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100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w:t>
            </w:r>
            <w:r>
              <w:rPr>
                <w:rFonts w:hint="eastAsia"/>
                <w:sz w:val="21"/>
              </w:rPr>
              <w:t>5</w:t>
            </w:r>
            <w:r>
              <w:rPr>
                <w:sz w:val="21"/>
              </w:rPr>
              <w:t>0</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规模扩大</w:t>
            </w:r>
          </w:p>
          <w:p>
            <w:pPr>
              <w:spacing w:line="240" w:lineRule="atLeast"/>
              <w:ind w:firstLine="0" w:firstLineChars="0"/>
              <w:jc w:val="center"/>
              <w:rPr>
                <w:sz w:val="21"/>
              </w:rPr>
            </w:pPr>
            <w:r>
              <w:rPr>
                <w:rFonts w:hint="eastAsia"/>
                <w:sz w:val="21"/>
              </w:rPr>
              <w:t>增加投资50万</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restart"/>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废水</w:t>
            </w:r>
          </w:p>
          <w:p>
            <w:pPr>
              <w:spacing w:line="240" w:lineRule="atLeast"/>
              <w:ind w:firstLine="0" w:firstLineChars="0"/>
              <w:jc w:val="center"/>
              <w:rPr>
                <w:sz w:val="21"/>
              </w:rPr>
            </w:pPr>
            <w:r>
              <w:rPr>
                <w:rFonts w:hint="eastAsia"/>
                <w:sz w:val="21"/>
              </w:rPr>
              <w:t>治理</w:t>
            </w:r>
          </w:p>
        </w:tc>
        <w:tc>
          <w:tcPr>
            <w:tcW w:w="6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厂区污水处理系统</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200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500</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规模扩大</w:t>
            </w:r>
          </w:p>
          <w:p>
            <w:pPr>
              <w:spacing w:line="240" w:lineRule="atLeast"/>
              <w:ind w:firstLine="0" w:firstLineChars="0"/>
              <w:jc w:val="center"/>
              <w:rPr>
                <w:sz w:val="21"/>
              </w:rPr>
            </w:pPr>
            <w:r>
              <w:rPr>
                <w:rFonts w:hint="eastAsia"/>
                <w:sz w:val="21"/>
              </w:rPr>
              <w:t>增加投资300万</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8</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化粪池</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9</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全厂排水管网</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100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事故水池</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200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11</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初期雨水收集池</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80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12</w:t>
            </w:r>
          </w:p>
        </w:tc>
        <w:tc>
          <w:tcPr>
            <w:tcW w:w="39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渗滤液收集池</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200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1120" w:hRule="atLeast"/>
        </w:trPr>
        <w:tc>
          <w:tcPr>
            <w:tcW w:w="605"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固体</w:t>
            </w:r>
          </w:p>
          <w:p>
            <w:pPr>
              <w:spacing w:line="240" w:lineRule="atLeast"/>
              <w:ind w:firstLine="0" w:firstLineChars="0"/>
              <w:jc w:val="center"/>
              <w:rPr>
                <w:sz w:val="21"/>
              </w:rPr>
            </w:pPr>
            <w:r>
              <w:rPr>
                <w:rFonts w:hint="eastAsia"/>
                <w:sz w:val="21"/>
              </w:rPr>
              <w:t>废物</w:t>
            </w:r>
          </w:p>
        </w:tc>
        <w:tc>
          <w:tcPr>
            <w:tcW w:w="6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13</w:t>
            </w:r>
          </w:p>
        </w:tc>
        <w:tc>
          <w:tcPr>
            <w:tcW w:w="391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本项目无机废物仓库、有机废物仓库、甲类仓库按照</w:t>
            </w:r>
            <w:r>
              <w:rPr>
                <w:sz w:val="21"/>
              </w:rPr>
              <w:t>(</w:t>
            </w:r>
            <w:r>
              <w:rPr>
                <w:rFonts w:hint="eastAsia"/>
                <w:sz w:val="21"/>
              </w:rPr>
              <w:t>《危险废物贮存污染控制标准》</w:t>
            </w:r>
            <w:r>
              <w:rPr>
                <w:sz w:val="21"/>
              </w:rPr>
              <w:t>(GB18597-2001))</w:t>
            </w:r>
            <w:r>
              <w:rPr>
                <w:rFonts w:hint="eastAsia"/>
                <w:sz w:val="21"/>
              </w:rPr>
              <w:t>要求进行建设。</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300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500</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扩建</w:t>
            </w:r>
          </w:p>
          <w:p>
            <w:pPr>
              <w:spacing w:line="240" w:lineRule="atLeast"/>
              <w:ind w:firstLine="0" w:firstLineChars="0"/>
              <w:jc w:val="center"/>
              <w:rPr>
                <w:sz w:val="21"/>
              </w:rPr>
            </w:pPr>
            <w:r>
              <w:rPr>
                <w:rFonts w:hint="eastAsia"/>
                <w:sz w:val="21"/>
              </w:rPr>
              <w:t>增加投资200万</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噪声</w:t>
            </w:r>
          </w:p>
        </w:tc>
        <w:tc>
          <w:tcPr>
            <w:tcW w:w="6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14</w:t>
            </w:r>
          </w:p>
        </w:tc>
        <w:tc>
          <w:tcPr>
            <w:tcW w:w="391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噪声治理措施</w:t>
            </w:r>
          </w:p>
        </w:tc>
        <w:tc>
          <w:tcPr>
            <w:tcW w:w="13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sz w:val="21"/>
              </w:rPr>
              <w:t>200</w:t>
            </w:r>
          </w:p>
        </w:tc>
        <w:tc>
          <w:tcPr>
            <w:tcW w:w="120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生态</w:t>
            </w:r>
          </w:p>
        </w:tc>
        <w:tc>
          <w:tcPr>
            <w:tcW w:w="6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15</w:t>
            </w:r>
          </w:p>
        </w:tc>
        <w:tc>
          <w:tcPr>
            <w:tcW w:w="391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厂区绿化</w:t>
            </w:r>
          </w:p>
        </w:tc>
        <w:tc>
          <w:tcPr>
            <w:tcW w:w="13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sz w:val="21"/>
              </w:rPr>
              <w:t>80</w:t>
            </w:r>
          </w:p>
        </w:tc>
        <w:tc>
          <w:tcPr>
            <w:tcW w:w="120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监测</w:t>
            </w:r>
          </w:p>
        </w:tc>
        <w:tc>
          <w:tcPr>
            <w:tcW w:w="6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w:t>
            </w:r>
            <w:r>
              <w:rPr>
                <w:rFonts w:hint="eastAsia"/>
                <w:sz w:val="21"/>
              </w:rPr>
              <w:t>6</w:t>
            </w:r>
          </w:p>
        </w:tc>
        <w:tc>
          <w:tcPr>
            <w:tcW w:w="391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环境监测与管理</w:t>
            </w:r>
          </w:p>
        </w:tc>
        <w:tc>
          <w:tcPr>
            <w:tcW w:w="13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sz w:val="21"/>
              </w:rPr>
              <w:t>230</w:t>
            </w:r>
          </w:p>
        </w:tc>
        <w:tc>
          <w:tcPr>
            <w:tcW w:w="120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restart"/>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地下水</w:t>
            </w:r>
          </w:p>
        </w:tc>
        <w:tc>
          <w:tcPr>
            <w:tcW w:w="6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sz w:val="21"/>
              </w:rPr>
              <w:t>1</w:t>
            </w:r>
            <w:r>
              <w:rPr>
                <w:rFonts w:hint="eastAsia"/>
                <w:sz w:val="21"/>
              </w:rPr>
              <w:t>7</w:t>
            </w:r>
          </w:p>
        </w:tc>
        <w:tc>
          <w:tcPr>
            <w:tcW w:w="391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全厂地面防渗措施</w:t>
            </w:r>
          </w:p>
        </w:tc>
        <w:tc>
          <w:tcPr>
            <w:tcW w:w="13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sz w:val="21"/>
              </w:rPr>
              <w:t>730</w:t>
            </w:r>
          </w:p>
        </w:tc>
        <w:tc>
          <w:tcPr>
            <w:tcW w:w="120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center"/>
              <w:rPr>
                <w:sz w:val="21"/>
              </w:rPr>
            </w:pPr>
          </w:p>
        </w:tc>
        <w:tc>
          <w:tcPr>
            <w:tcW w:w="6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18</w:t>
            </w:r>
          </w:p>
        </w:tc>
        <w:tc>
          <w:tcPr>
            <w:tcW w:w="391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布置水质跟踪监测井</w:t>
            </w:r>
          </w:p>
        </w:tc>
        <w:tc>
          <w:tcPr>
            <w:tcW w:w="13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sz w:val="21"/>
              </w:rPr>
              <w:t>120</w:t>
            </w:r>
          </w:p>
        </w:tc>
        <w:tc>
          <w:tcPr>
            <w:tcW w:w="120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75" w:hRule="atLeast"/>
        </w:trPr>
        <w:tc>
          <w:tcPr>
            <w:tcW w:w="605" w:type="dxa"/>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在线监测</w:t>
            </w:r>
          </w:p>
        </w:tc>
        <w:tc>
          <w:tcPr>
            <w:tcW w:w="60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19</w:t>
            </w:r>
          </w:p>
        </w:tc>
        <w:tc>
          <w:tcPr>
            <w:tcW w:w="391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全厂在线监测设施</w:t>
            </w:r>
          </w:p>
        </w:tc>
        <w:tc>
          <w:tcPr>
            <w:tcW w:w="13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sz w:val="21"/>
              </w:rPr>
              <w:t>200</w:t>
            </w:r>
          </w:p>
        </w:tc>
        <w:tc>
          <w:tcPr>
            <w:tcW w:w="1207"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r>
              <w:rPr>
                <w:rFonts w:hint="eastAsia"/>
                <w:sz w:val="21"/>
              </w:rPr>
              <w:t>-</w:t>
            </w:r>
          </w:p>
        </w:tc>
        <w:tc>
          <w:tcPr>
            <w:tcW w:w="1955" w:type="dxa"/>
            <w:tcBorders>
              <w:top w:val="dotted" w:color="auto" w:sz="4" w:space="0"/>
              <w:left w:val="dotted" w:color="auto" w:sz="4" w:space="0"/>
              <w:bottom w:val="dotted" w:color="auto" w:sz="4" w:space="0"/>
              <w:right w:val="nil"/>
            </w:tcBorders>
            <w:vAlign w:val="center"/>
          </w:tcPr>
          <w:p>
            <w:pPr>
              <w:adjustRightInd w:val="0"/>
              <w:snapToGrid w:val="0"/>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41" w:hRule="atLeast"/>
        </w:trPr>
        <w:tc>
          <w:tcPr>
            <w:tcW w:w="5121" w:type="dxa"/>
            <w:gridSpan w:val="3"/>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合计</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3790</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41" w:hRule="atLeast"/>
        </w:trPr>
        <w:tc>
          <w:tcPr>
            <w:tcW w:w="5121" w:type="dxa"/>
            <w:gridSpan w:val="3"/>
            <w:tcBorders>
              <w:top w:val="dotted" w:color="auto" w:sz="4" w:space="0"/>
              <w:left w:val="nil"/>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总投资</w:t>
            </w:r>
          </w:p>
        </w:tc>
        <w:tc>
          <w:tcPr>
            <w:tcW w:w="13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11628.8</w:t>
            </w:r>
          </w:p>
        </w:tc>
        <w:tc>
          <w:tcPr>
            <w:tcW w:w="1207"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3528.70</w:t>
            </w:r>
          </w:p>
        </w:tc>
        <w:tc>
          <w:tcPr>
            <w:tcW w:w="1955"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41" w:hRule="atLeast"/>
        </w:trPr>
        <w:tc>
          <w:tcPr>
            <w:tcW w:w="5121" w:type="dxa"/>
            <w:gridSpan w:val="3"/>
            <w:tcBorders>
              <w:top w:val="dotted" w:color="auto" w:sz="4" w:space="0"/>
              <w:left w:val="nil"/>
              <w:bottom w:val="single" w:color="000000" w:sz="12"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环保投资占总投资的比例</w:t>
            </w:r>
            <w:r>
              <w:rPr>
                <w:sz w:val="21"/>
              </w:rPr>
              <w:t>(%)</w:t>
            </w:r>
          </w:p>
        </w:tc>
        <w:tc>
          <w:tcPr>
            <w:tcW w:w="1355"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sz w:val="21"/>
              </w:rPr>
            </w:pPr>
            <w:r>
              <w:rPr>
                <w:sz w:val="21"/>
              </w:rPr>
              <w:t>32.59</w:t>
            </w:r>
          </w:p>
        </w:tc>
        <w:tc>
          <w:tcPr>
            <w:tcW w:w="1207"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sz w:val="21"/>
              </w:rPr>
            </w:pPr>
            <w:r>
              <w:rPr>
                <w:rFonts w:hint="eastAsia"/>
                <w:sz w:val="21"/>
              </w:rPr>
              <w:t>30.89</w:t>
            </w:r>
          </w:p>
        </w:tc>
        <w:tc>
          <w:tcPr>
            <w:tcW w:w="1955" w:type="dxa"/>
            <w:tcBorders>
              <w:top w:val="dotted" w:color="auto" w:sz="4" w:space="0"/>
              <w:left w:val="dotted" w:color="auto" w:sz="4" w:space="0"/>
              <w:bottom w:val="single" w:color="000000" w:sz="12" w:space="0"/>
              <w:right w:val="nil"/>
            </w:tcBorders>
            <w:vAlign w:val="center"/>
          </w:tcPr>
          <w:p>
            <w:pPr>
              <w:spacing w:line="240" w:lineRule="atLeast"/>
              <w:ind w:firstLine="0" w:firstLineChars="0"/>
              <w:jc w:val="center"/>
              <w:rPr>
                <w:sz w:val="21"/>
              </w:rPr>
            </w:pPr>
            <w:r>
              <w:rPr>
                <w:rFonts w:hint="eastAsia"/>
                <w:sz w:val="21"/>
              </w:rPr>
              <w:t>增加1090万</w:t>
            </w:r>
          </w:p>
        </w:tc>
      </w:tr>
    </w:tbl>
    <w:p>
      <w:pPr>
        <w:pStyle w:val="161"/>
        <w:ind w:firstLine="480"/>
      </w:pPr>
    </w:p>
    <w:bookmarkEnd w:id="817"/>
    <w:bookmarkEnd w:id="818"/>
    <w:p>
      <w:pPr>
        <w:pStyle w:val="4"/>
        <w:rPr>
          <w:lang w:val="zh-CN"/>
        </w:rPr>
      </w:pPr>
      <w:bookmarkStart w:id="819" w:name="_Toc532546140"/>
      <w:bookmarkStart w:id="820" w:name="_Toc13760335"/>
      <w:r>
        <w:rPr>
          <w:rFonts w:hint="eastAsia"/>
          <w:lang w:val="zh-CN"/>
        </w:rPr>
        <w:t>9.2环境监测计划</w:t>
      </w:r>
      <w:bookmarkEnd w:id="819"/>
      <w:bookmarkEnd w:id="820"/>
    </w:p>
    <w:p>
      <w:pPr>
        <w:pStyle w:val="161"/>
        <w:ind w:firstLine="480"/>
        <w:rPr>
          <w:szCs w:val="20"/>
        </w:rPr>
      </w:pPr>
      <w:r>
        <w:rPr>
          <w:rFonts w:hint="eastAsia"/>
        </w:rPr>
        <w:t>为了掌握项目建成后各项污染物的排放情况，以利于采取有针对性的措施对污染进行治理，变更后本项目应进行相应的环境监测。</w:t>
      </w:r>
    </w:p>
    <w:p>
      <w:pPr>
        <w:autoSpaceDE w:val="0"/>
        <w:autoSpaceDN w:val="0"/>
        <w:adjustRightInd w:val="0"/>
        <w:snapToGrid w:val="0"/>
        <w:ind w:firstLine="480"/>
        <w:rPr>
          <w:lang w:val="zh-CN"/>
        </w:rPr>
      </w:pPr>
      <w:r>
        <w:rPr>
          <w:rFonts w:hint="eastAsia" w:hAnsi="宋体"/>
          <w:lang w:val="zh-CN"/>
        </w:rPr>
        <w:t>建设项目排放的各类污染物、环境噪声、除尘器效率的测试方法，各类样品的采集、保存、处理的技术规范，污染物的监测采样及分析方法、监测数据的处理，监测仪器仪表的精度要求等，按执行国家标准、部颁标准和有关规定执行。</w:t>
      </w:r>
    </w:p>
    <w:p>
      <w:pPr>
        <w:autoSpaceDE w:val="0"/>
        <w:autoSpaceDN w:val="0"/>
        <w:adjustRightInd w:val="0"/>
        <w:snapToGrid w:val="0"/>
        <w:ind w:firstLine="480"/>
        <w:outlineLvl w:val="0"/>
        <w:rPr>
          <w:rFonts w:hAnsi="宋体"/>
          <w:lang w:val="zh-CN"/>
        </w:rPr>
      </w:pPr>
      <w:r>
        <w:rPr>
          <w:rFonts w:hAnsi="宋体"/>
          <w:lang w:val="zh-CN"/>
        </w:rPr>
        <w:t>(1)</w:t>
      </w:r>
      <w:r>
        <w:rPr>
          <w:rFonts w:hint="eastAsia" w:hAnsi="宋体"/>
          <w:lang w:val="zh-CN"/>
        </w:rPr>
        <w:t>大气环境污染源监测计划</w:t>
      </w:r>
    </w:p>
    <w:p>
      <w:pPr>
        <w:autoSpaceDE w:val="0"/>
        <w:autoSpaceDN w:val="0"/>
        <w:adjustRightInd w:val="0"/>
        <w:snapToGrid w:val="0"/>
        <w:ind w:firstLine="480"/>
        <w:rPr>
          <w:lang w:val="zh-CN"/>
        </w:rPr>
      </w:pPr>
      <w:r>
        <w:rPr>
          <w:rFonts w:hint="eastAsia" w:hAnsi="宋体"/>
          <w:lang w:val="zh-CN"/>
        </w:rPr>
        <w:t>变更后本项目全厂监测要素、监测点位、监测因子和监测频次见表</w:t>
      </w:r>
      <w:r>
        <w:rPr>
          <w:rFonts w:hint="eastAsia"/>
          <w:lang w:val="zh-CN"/>
        </w:rPr>
        <w:t>9</w:t>
      </w:r>
      <w:r>
        <w:rPr>
          <w:lang w:val="zh-CN"/>
        </w:rPr>
        <w:t>.2</w:t>
      </w:r>
      <w:r>
        <w:rPr>
          <w:rFonts w:hint="eastAsia"/>
          <w:lang w:val="zh-CN"/>
        </w:rPr>
        <w:t>—</w:t>
      </w:r>
      <w:r>
        <w:rPr>
          <w:lang w:val="zh-CN"/>
        </w:rPr>
        <w:t>1</w:t>
      </w:r>
      <w:r>
        <w:rPr>
          <w:rFonts w:hint="eastAsia" w:hAnsi="宋体"/>
          <w:lang w:val="zh-CN"/>
        </w:rPr>
        <w:t>。</w:t>
      </w:r>
    </w:p>
    <w:p>
      <w:pPr>
        <w:autoSpaceDE w:val="0"/>
        <w:autoSpaceDN w:val="0"/>
        <w:adjustRightInd w:val="0"/>
        <w:snapToGrid w:val="0"/>
        <w:ind w:firstLine="480"/>
        <w:rPr>
          <w:rFonts w:hAnsi="宋体"/>
          <w:lang w:val="zh-CN"/>
        </w:rPr>
      </w:pPr>
      <w:r>
        <w:rPr>
          <w:rFonts w:hint="eastAsia" w:hAnsi="宋体"/>
          <w:lang w:val="zh-CN"/>
        </w:rPr>
        <w:t>表</w:t>
      </w:r>
      <w:r>
        <w:rPr>
          <w:rFonts w:hint="eastAsia"/>
          <w:lang w:val="zh-CN"/>
        </w:rPr>
        <w:t>9</w:t>
      </w:r>
      <w:r>
        <w:rPr>
          <w:lang w:val="zh-CN"/>
        </w:rPr>
        <w:t>.2</w:t>
      </w:r>
      <w:r>
        <w:rPr>
          <w:rFonts w:hint="eastAsia"/>
          <w:lang w:val="zh-CN"/>
        </w:rPr>
        <w:t>—</w:t>
      </w:r>
      <w:r>
        <w:rPr>
          <w:lang w:val="zh-CN"/>
        </w:rPr>
        <w:t xml:space="preserve">1        </w:t>
      </w:r>
      <w:r>
        <w:rPr>
          <w:rFonts w:hint="eastAsia" w:hAnsi="宋体"/>
          <w:lang w:val="zh-CN"/>
        </w:rPr>
        <w:t>变更后全厂运行期大气环境污染物监测建议表</w:t>
      </w:r>
    </w:p>
    <w:tbl>
      <w:tblPr>
        <w:tblStyle w:val="88"/>
        <w:tblW w:w="9854"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30"/>
        <w:gridCol w:w="2514"/>
        <w:gridCol w:w="3571"/>
        <w:gridCol w:w="193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830" w:type="dxa"/>
            <w:tcBorders>
              <w:top w:val="single" w:color="auto" w:sz="12" w:space="0"/>
              <w:left w:val="nil"/>
              <w:bottom w:val="single" w:color="auto" w:sz="12" w:space="0"/>
              <w:right w:val="dotted" w:color="auto" w:sz="4" w:space="0"/>
            </w:tcBorders>
            <w:vAlign w:val="center"/>
          </w:tcPr>
          <w:p>
            <w:pPr>
              <w:autoSpaceDE w:val="0"/>
              <w:autoSpaceDN w:val="0"/>
              <w:adjustRightInd w:val="0"/>
              <w:spacing w:line="240" w:lineRule="atLeast"/>
              <w:ind w:firstLine="0" w:firstLineChars="0"/>
              <w:jc w:val="center"/>
              <w:rPr>
                <w:rFonts w:ascii="宋体" w:hAnsi="宋体" w:cs="Arial"/>
                <w:sz w:val="21"/>
                <w:lang w:val="zh-CN"/>
              </w:rPr>
            </w:pPr>
            <w:r>
              <w:rPr>
                <w:rFonts w:hint="eastAsia" w:ascii="宋体" w:hAnsi="宋体" w:cs="Arial"/>
                <w:sz w:val="21"/>
                <w:lang w:val="zh-CN"/>
              </w:rPr>
              <w:t>监测要素</w:t>
            </w:r>
          </w:p>
        </w:tc>
        <w:tc>
          <w:tcPr>
            <w:tcW w:w="2514" w:type="dxa"/>
            <w:tcBorders>
              <w:top w:val="single" w:color="auto" w:sz="12" w:space="0"/>
              <w:left w:val="dotted" w:color="auto" w:sz="4" w:space="0"/>
              <w:bottom w:val="single" w:color="auto" w:sz="12" w:space="0"/>
              <w:right w:val="dotted" w:color="auto" w:sz="4" w:space="0"/>
            </w:tcBorders>
            <w:vAlign w:val="center"/>
          </w:tcPr>
          <w:p>
            <w:pPr>
              <w:autoSpaceDE w:val="0"/>
              <w:autoSpaceDN w:val="0"/>
              <w:adjustRightInd w:val="0"/>
              <w:spacing w:line="240" w:lineRule="atLeast"/>
              <w:ind w:firstLine="0" w:firstLineChars="0"/>
              <w:jc w:val="center"/>
              <w:rPr>
                <w:rFonts w:ascii="宋体" w:hAnsi="宋体" w:cs="Arial"/>
                <w:sz w:val="21"/>
                <w:lang w:val="zh-CN"/>
              </w:rPr>
            </w:pPr>
            <w:r>
              <w:rPr>
                <w:rFonts w:hint="eastAsia" w:ascii="宋体" w:hAnsi="宋体" w:cs="Arial"/>
                <w:sz w:val="21"/>
                <w:lang w:val="zh-CN"/>
              </w:rPr>
              <w:t>监测点位</w:t>
            </w:r>
          </w:p>
        </w:tc>
        <w:tc>
          <w:tcPr>
            <w:tcW w:w="3571" w:type="dxa"/>
            <w:tcBorders>
              <w:top w:val="single" w:color="auto" w:sz="12" w:space="0"/>
              <w:left w:val="dotted" w:color="auto" w:sz="4" w:space="0"/>
              <w:bottom w:val="single" w:color="auto" w:sz="12" w:space="0"/>
              <w:right w:val="dotted" w:color="auto" w:sz="4" w:space="0"/>
            </w:tcBorders>
            <w:vAlign w:val="center"/>
          </w:tcPr>
          <w:p>
            <w:pPr>
              <w:autoSpaceDE w:val="0"/>
              <w:autoSpaceDN w:val="0"/>
              <w:adjustRightInd w:val="0"/>
              <w:spacing w:line="240" w:lineRule="atLeast"/>
              <w:ind w:firstLine="0" w:firstLineChars="0"/>
              <w:jc w:val="center"/>
              <w:rPr>
                <w:rFonts w:ascii="宋体" w:hAnsi="宋体" w:cs="Arial"/>
                <w:sz w:val="21"/>
                <w:lang w:val="zh-CN"/>
              </w:rPr>
            </w:pPr>
            <w:r>
              <w:rPr>
                <w:rFonts w:hint="eastAsia" w:ascii="宋体" w:hAnsi="宋体" w:cs="Arial"/>
                <w:sz w:val="21"/>
                <w:lang w:val="zh-CN"/>
              </w:rPr>
              <w:t>监测项目</w:t>
            </w:r>
          </w:p>
        </w:tc>
        <w:tc>
          <w:tcPr>
            <w:tcW w:w="1939" w:type="dxa"/>
            <w:tcBorders>
              <w:top w:val="single" w:color="auto" w:sz="12" w:space="0"/>
              <w:left w:val="dotted" w:color="auto" w:sz="4" w:space="0"/>
              <w:bottom w:val="single" w:color="auto" w:sz="12" w:space="0"/>
              <w:right w:val="nil"/>
            </w:tcBorders>
            <w:vAlign w:val="center"/>
          </w:tcPr>
          <w:p>
            <w:pPr>
              <w:autoSpaceDE w:val="0"/>
              <w:autoSpaceDN w:val="0"/>
              <w:adjustRightInd w:val="0"/>
              <w:spacing w:line="240" w:lineRule="atLeast"/>
              <w:ind w:firstLine="0" w:firstLineChars="0"/>
              <w:jc w:val="center"/>
              <w:rPr>
                <w:rFonts w:ascii="宋体" w:hAnsi="宋体" w:cs="Arial"/>
                <w:sz w:val="21"/>
                <w:lang w:val="zh-CN"/>
              </w:rPr>
            </w:pPr>
            <w:r>
              <w:rPr>
                <w:rFonts w:hint="eastAsia" w:ascii="宋体" w:hAnsi="宋体" w:cs="Arial"/>
                <w:sz w:val="21"/>
                <w:lang w:val="zh-CN"/>
              </w:rPr>
              <w:t>监测频次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0" w:hRule="atLeast"/>
        </w:trPr>
        <w:tc>
          <w:tcPr>
            <w:tcW w:w="1830" w:type="dxa"/>
            <w:vMerge w:val="restart"/>
            <w:tcBorders>
              <w:top w:val="single" w:color="auto" w:sz="12" w:space="0"/>
              <w:left w:val="nil"/>
              <w:bottom w:val="dotted" w:color="auto" w:sz="4" w:space="0"/>
              <w:right w:val="dotted" w:color="auto" w:sz="4" w:space="0"/>
            </w:tcBorders>
            <w:vAlign w:val="center"/>
          </w:tcPr>
          <w:p>
            <w:pPr>
              <w:autoSpaceDE w:val="0"/>
              <w:autoSpaceDN w:val="0"/>
              <w:adjustRightInd w:val="0"/>
              <w:spacing w:line="240" w:lineRule="atLeast"/>
              <w:ind w:firstLine="0" w:firstLineChars="0"/>
              <w:jc w:val="center"/>
              <w:rPr>
                <w:rFonts w:ascii="宋体" w:hAnsi="宋体" w:cs="Arial"/>
                <w:sz w:val="21"/>
                <w:lang w:val="zh-CN"/>
              </w:rPr>
            </w:pPr>
            <w:r>
              <w:rPr>
                <w:rFonts w:hint="eastAsia" w:ascii="宋体" w:hAnsi="宋体" w:cs="Arial"/>
                <w:sz w:val="21"/>
                <w:lang w:val="zh-CN"/>
              </w:rPr>
              <w:t>有组织排放</w:t>
            </w:r>
          </w:p>
        </w:tc>
        <w:tc>
          <w:tcPr>
            <w:tcW w:w="2514" w:type="dxa"/>
            <w:tcBorders>
              <w:top w:val="single" w:color="auto" w:sz="12" w:space="0"/>
              <w:left w:val="dotted" w:color="auto" w:sz="4" w:space="0"/>
              <w:bottom w:val="dotted" w:color="auto" w:sz="4" w:space="0"/>
              <w:right w:val="dotted" w:color="auto" w:sz="4" w:space="0"/>
            </w:tcBorders>
            <w:vAlign w:val="center"/>
          </w:tcPr>
          <w:p>
            <w:pPr>
              <w:autoSpaceDE w:val="0"/>
              <w:autoSpaceDN w:val="0"/>
              <w:adjustRightInd w:val="0"/>
              <w:spacing w:line="240" w:lineRule="atLeast"/>
              <w:ind w:firstLine="0" w:firstLineChars="0"/>
              <w:jc w:val="center"/>
              <w:rPr>
                <w:sz w:val="21"/>
                <w:lang w:val="zh-CN"/>
              </w:rPr>
            </w:pPr>
            <w:r>
              <w:rPr>
                <w:rFonts w:hint="eastAsia" w:hAnsi="宋体"/>
                <w:sz w:val="21"/>
                <w:lang w:val="zh-CN"/>
              </w:rPr>
              <w:t>危废暂存库</w:t>
            </w:r>
          </w:p>
        </w:tc>
        <w:tc>
          <w:tcPr>
            <w:tcW w:w="3571" w:type="dxa"/>
            <w:tcBorders>
              <w:top w:val="single" w:color="auto" w:sz="12" w:space="0"/>
              <w:left w:val="dotted" w:color="auto" w:sz="4" w:space="0"/>
              <w:bottom w:val="dotted" w:color="auto" w:sz="4" w:space="0"/>
              <w:right w:val="dotted" w:color="auto" w:sz="4" w:space="0"/>
            </w:tcBorders>
            <w:vAlign w:val="center"/>
          </w:tcPr>
          <w:p>
            <w:pPr>
              <w:autoSpaceDE w:val="0"/>
              <w:autoSpaceDN w:val="0"/>
              <w:adjustRightInd w:val="0"/>
              <w:spacing w:line="240" w:lineRule="atLeast"/>
              <w:ind w:firstLine="0" w:firstLineChars="0"/>
              <w:jc w:val="center"/>
              <w:rPr>
                <w:sz w:val="21"/>
                <w:lang w:val="zh-CN"/>
              </w:rPr>
            </w:pPr>
            <w:r>
              <w:rPr>
                <w:rFonts w:hAnsi="宋体"/>
                <w:kern w:val="0"/>
                <w:sz w:val="21"/>
              </w:rPr>
              <w:t>VOC</w:t>
            </w:r>
            <w:r>
              <w:rPr>
                <w:rFonts w:hint="eastAsia" w:hAnsi="宋体"/>
                <w:kern w:val="0"/>
                <w:sz w:val="21"/>
              </w:rPr>
              <w:t>、</w:t>
            </w:r>
            <w:r>
              <w:rPr>
                <w:rFonts w:hAnsi="宋体"/>
                <w:kern w:val="0"/>
                <w:sz w:val="21"/>
              </w:rPr>
              <w:t>H</w:t>
            </w:r>
            <w:r>
              <w:rPr>
                <w:rFonts w:hAnsi="宋体"/>
                <w:kern w:val="0"/>
                <w:sz w:val="21"/>
                <w:vertAlign w:val="subscript"/>
              </w:rPr>
              <w:t>2</w:t>
            </w:r>
            <w:r>
              <w:rPr>
                <w:rFonts w:hAnsi="宋体"/>
                <w:kern w:val="0"/>
                <w:sz w:val="21"/>
              </w:rPr>
              <w:t>S</w:t>
            </w:r>
            <w:r>
              <w:rPr>
                <w:rFonts w:hint="eastAsia" w:hAnsi="宋体"/>
                <w:kern w:val="0"/>
                <w:sz w:val="21"/>
              </w:rPr>
              <w:t>、</w:t>
            </w:r>
            <w:r>
              <w:rPr>
                <w:rFonts w:hAnsi="宋体"/>
                <w:kern w:val="0"/>
                <w:sz w:val="21"/>
              </w:rPr>
              <w:t>NH</w:t>
            </w:r>
            <w:r>
              <w:rPr>
                <w:rFonts w:hAnsi="宋体"/>
                <w:kern w:val="0"/>
                <w:sz w:val="21"/>
                <w:vertAlign w:val="subscript"/>
              </w:rPr>
              <w:t>3</w:t>
            </w:r>
          </w:p>
        </w:tc>
        <w:tc>
          <w:tcPr>
            <w:tcW w:w="1939" w:type="dxa"/>
            <w:vMerge w:val="restart"/>
            <w:tcBorders>
              <w:top w:val="single" w:color="auto" w:sz="12" w:space="0"/>
              <w:left w:val="dotted" w:color="auto" w:sz="4" w:space="0"/>
              <w:bottom w:val="dotted" w:color="auto" w:sz="4" w:space="0"/>
              <w:right w:val="nil"/>
            </w:tcBorders>
            <w:vAlign w:val="center"/>
          </w:tcPr>
          <w:p>
            <w:pPr>
              <w:autoSpaceDE w:val="0"/>
              <w:autoSpaceDN w:val="0"/>
              <w:adjustRightInd w:val="0"/>
              <w:spacing w:line="240" w:lineRule="atLeast"/>
              <w:ind w:firstLine="0" w:firstLineChars="0"/>
              <w:rPr>
                <w:sz w:val="21"/>
                <w:lang w:val="zh-CN"/>
              </w:rPr>
            </w:pPr>
            <w:r>
              <w:rPr>
                <w:rFonts w:hint="eastAsia"/>
                <w:kern w:val="0"/>
                <w:sz w:val="21"/>
              </w:rPr>
              <w:t>每年</w:t>
            </w:r>
            <w:r>
              <w:rPr>
                <w:kern w:val="0"/>
                <w:sz w:val="21"/>
              </w:rPr>
              <w:t>4</w:t>
            </w:r>
            <w:r>
              <w:rPr>
                <w:rFonts w:hint="eastAsia"/>
                <w:kern w:val="0"/>
                <w:sz w:val="21"/>
              </w:rPr>
              <w:t>次，每次</w:t>
            </w:r>
            <w:r>
              <w:rPr>
                <w:kern w:val="0"/>
                <w:sz w:val="21"/>
              </w:rPr>
              <w:t>3</w:t>
            </w:r>
            <w:r>
              <w:rPr>
                <w:rFonts w:hint="eastAsia"/>
                <w:kern w:val="0"/>
                <w:sz w:val="21"/>
              </w:rPr>
              <w:t>天，每天</w:t>
            </w:r>
            <w:r>
              <w:rPr>
                <w:kern w:val="0"/>
                <w:sz w:val="21"/>
              </w:rPr>
              <w:t>2</w:t>
            </w:r>
            <w:r>
              <w:rPr>
                <w:rFonts w:hint="eastAsia"/>
                <w:kern w:val="0"/>
                <w:sz w:val="21"/>
              </w:rPr>
              <w:t>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01" w:hRule="atLeast"/>
        </w:trPr>
        <w:tc>
          <w:tcPr>
            <w:tcW w:w="1830"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ascii="宋体" w:hAnsi="宋体" w:cs="Arial"/>
                <w:sz w:val="21"/>
                <w:lang w:val="zh-CN"/>
              </w:rPr>
            </w:pPr>
          </w:p>
        </w:tc>
        <w:tc>
          <w:tcPr>
            <w:tcW w:w="2514"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autoSpaceDE w:val="0"/>
              <w:autoSpaceDN w:val="0"/>
              <w:adjustRightInd w:val="0"/>
              <w:spacing w:line="240" w:lineRule="atLeast"/>
              <w:ind w:firstLine="0" w:firstLineChars="0"/>
              <w:jc w:val="center"/>
              <w:rPr>
                <w:sz w:val="21"/>
              </w:rPr>
            </w:pPr>
            <w:r>
              <w:rPr>
                <w:rFonts w:hint="eastAsia"/>
                <w:sz w:val="21"/>
              </w:rPr>
              <w:t>物化车间中和反应池</w:t>
            </w:r>
          </w:p>
        </w:tc>
        <w:tc>
          <w:tcPr>
            <w:tcW w:w="357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atLeast"/>
              <w:ind w:firstLine="0" w:firstLineChars="0"/>
              <w:jc w:val="center"/>
              <w:rPr>
                <w:rFonts w:hAnsi="宋体"/>
                <w:kern w:val="0"/>
                <w:sz w:val="21"/>
              </w:rPr>
            </w:pPr>
            <w:r>
              <w:rPr>
                <w:rFonts w:hint="eastAsia" w:hAnsi="宋体"/>
                <w:kern w:val="0"/>
                <w:sz w:val="21"/>
              </w:rPr>
              <w:t>硫酸雾、</w:t>
            </w:r>
            <w:r>
              <w:rPr>
                <w:sz w:val="21"/>
              </w:rPr>
              <w:t>HCl</w:t>
            </w:r>
            <w:r>
              <w:rPr>
                <w:rFonts w:hint="eastAsia"/>
                <w:sz w:val="21"/>
              </w:rPr>
              <w:t>、</w:t>
            </w:r>
            <w:r>
              <w:rPr>
                <w:sz w:val="21"/>
              </w:rPr>
              <w:t>HF</w:t>
            </w:r>
          </w:p>
        </w:tc>
        <w:tc>
          <w:tcPr>
            <w:tcW w:w="1939" w:type="dxa"/>
            <w:vMerge w:val="continue"/>
            <w:tcBorders>
              <w:top w:val="single" w:color="auto" w:sz="12" w:space="0"/>
              <w:left w:val="dotted" w:color="auto" w:sz="4" w:space="0"/>
              <w:bottom w:val="dotted" w:color="auto" w:sz="4" w:space="0"/>
              <w:right w:val="nil"/>
            </w:tcBorders>
            <w:vAlign w:val="center"/>
          </w:tcPr>
          <w:p>
            <w:pPr>
              <w:widowControl/>
              <w:spacing w:line="240" w:lineRule="atLeast"/>
              <w:ind w:firstLine="0" w:firstLineChars="0"/>
              <w:jc w:val="left"/>
              <w:rPr>
                <w:sz w:val="21"/>
                <w:lang w:val="zh-CN"/>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70" w:hRule="atLeast"/>
        </w:trPr>
        <w:tc>
          <w:tcPr>
            <w:tcW w:w="1830"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ascii="宋体" w:hAnsi="宋体" w:cs="Arial"/>
                <w:sz w:val="21"/>
                <w:lang w:val="zh-CN"/>
              </w:rPr>
            </w:pPr>
          </w:p>
        </w:tc>
        <w:tc>
          <w:tcPr>
            <w:tcW w:w="2514" w:type="dxa"/>
            <w:vMerge w:val="restart"/>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autoSpaceDE w:val="0"/>
              <w:autoSpaceDN w:val="0"/>
              <w:adjustRightInd w:val="0"/>
              <w:spacing w:line="240" w:lineRule="atLeast"/>
              <w:ind w:firstLine="0" w:firstLineChars="0"/>
              <w:jc w:val="center"/>
              <w:rPr>
                <w:sz w:val="21"/>
              </w:rPr>
            </w:pPr>
            <w:r>
              <w:rPr>
                <w:rFonts w:hint="eastAsia"/>
                <w:sz w:val="21"/>
              </w:rPr>
              <w:t>焚烧车间废气处理系统</w:t>
            </w:r>
          </w:p>
        </w:tc>
        <w:tc>
          <w:tcPr>
            <w:tcW w:w="357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atLeast"/>
              <w:ind w:firstLine="0" w:firstLineChars="0"/>
              <w:rPr>
                <w:rFonts w:hAnsi="宋体"/>
                <w:kern w:val="0"/>
                <w:sz w:val="21"/>
              </w:rPr>
            </w:pPr>
            <w:r>
              <w:rPr>
                <w:rFonts w:hint="eastAsia" w:ascii="宋体" w:cs="宋体"/>
                <w:kern w:val="0"/>
                <w:sz w:val="21"/>
              </w:rPr>
              <w:t>气量，湿度、温度、压力、烟尘、</w:t>
            </w:r>
            <w:r>
              <w:rPr>
                <w:kern w:val="0"/>
                <w:sz w:val="21"/>
              </w:rPr>
              <w:t>SO</w:t>
            </w:r>
            <w:r>
              <w:rPr>
                <w:kern w:val="0"/>
                <w:sz w:val="21"/>
                <w:vertAlign w:val="subscript"/>
              </w:rPr>
              <w:t>2</w:t>
            </w:r>
            <w:r>
              <w:rPr>
                <w:rFonts w:hint="eastAsia" w:ascii="宋体" w:cs="宋体"/>
                <w:kern w:val="0"/>
                <w:sz w:val="21"/>
              </w:rPr>
              <w:t>、</w:t>
            </w:r>
            <w:r>
              <w:rPr>
                <w:kern w:val="0"/>
                <w:sz w:val="21"/>
              </w:rPr>
              <w:t>NOx</w:t>
            </w:r>
            <w:r>
              <w:rPr>
                <w:rFonts w:hint="eastAsia" w:ascii="宋体" w:cs="宋体"/>
                <w:kern w:val="0"/>
                <w:sz w:val="21"/>
              </w:rPr>
              <w:t xml:space="preserve">、 </w:t>
            </w:r>
            <w:r>
              <w:rPr>
                <w:kern w:val="0"/>
                <w:sz w:val="21"/>
              </w:rPr>
              <w:t xml:space="preserve">HCl </w:t>
            </w:r>
            <w:r>
              <w:rPr>
                <w:rFonts w:hint="eastAsia" w:ascii="宋体" w:cs="宋体"/>
                <w:kern w:val="0"/>
                <w:sz w:val="21"/>
              </w:rPr>
              <w:t>、</w:t>
            </w:r>
            <w:r>
              <w:rPr>
                <w:kern w:val="0"/>
                <w:sz w:val="21"/>
              </w:rPr>
              <w:t>HF</w:t>
            </w:r>
            <w:r>
              <w:rPr>
                <w:rFonts w:hint="eastAsia" w:ascii="宋体" w:cs="宋体"/>
                <w:kern w:val="0"/>
                <w:sz w:val="21"/>
              </w:rPr>
              <w:t xml:space="preserve">、 </w:t>
            </w:r>
            <w:r>
              <w:rPr>
                <w:kern w:val="0"/>
                <w:sz w:val="21"/>
              </w:rPr>
              <w:t>CO</w:t>
            </w:r>
          </w:p>
        </w:tc>
        <w:tc>
          <w:tcPr>
            <w:tcW w:w="1939" w:type="dxa"/>
            <w:tcBorders>
              <w:top w:val="dotted" w:color="auto" w:sz="4" w:space="0"/>
              <w:left w:val="dotted" w:color="auto" w:sz="4" w:space="0"/>
              <w:bottom w:val="dotted" w:color="auto" w:sz="4" w:space="0"/>
              <w:right w:val="nil"/>
            </w:tcBorders>
            <w:vAlign w:val="center"/>
          </w:tcPr>
          <w:p>
            <w:pPr>
              <w:autoSpaceDE w:val="0"/>
              <w:autoSpaceDN w:val="0"/>
              <w:adjustRightInd w:val="0"/>
              <w:spacing w:line="240" w:lineRule="atLeast"/>
              <w:ind w:firstLine="0" w:firstLineChars="0"/>
              <w:jc w:val="center"/>
              <w:rPr>
                <w:kern w:val="0"/>
                <w:sz w:val="21"/>
              </w:rPr>
            </w:pPr>
            <w:r>
              <w:rPr>
                <w:rFonts w:hint="eastAsia" w:hAnsi="宋体"/>
                <w:sz w:val="21"/>
                <w:lang w:val="zh-CN"/>
              </w:rPr>
              <w:t>在线监测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840" w:hRule="atLeast"/>
        </w:trPr>
        <w:tc>
          <w:tcPr>
            <w:tcW w:w="1830"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ascii="宋体" w:hAnsi="宋体" w:cs="Arial"/>
                <w:sz w:val="21"/>
                <w:lang w:val="zh-CN"/>
              </w:rPr>
            </w:pPr>
          </w:p>
        </w:tc>
        <w:tc>
          <w:tcPr>
            <w:tcW w:w="251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357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atLeast"/>
              <w:ind w:firstLine="0" w:firstLineChars="0"/>
              <w:rPr>
                <w:rFonts w:ascii="宋体" w:cs="宋体"/>
                <w:kern w:val="0"/>
                <w:sz w:val="21"/>
              </w:rPr>
            </w:pPr>
            <w:r>
              <w:rPr>
                <w:rFonts w:hint="eastAsia" w:ascii="宋体" w:cs="宋体"/>
                <w:kern w:val="0"/>
                <w:sz w:val="21"/>
              </w:rPr>
              <w:t>汞及其化合物、镉及其化合物、铅及其化合物砷、镍及其化合物铬、铜、锰、锡、锑及其化合物</w:t>
            </w:r>
          </w:p>
        </w:tc>
        <w:tc>
          <w:tcPr>
            <w:tcW w:w="1939" w:type="dxa"/>
            <w:tcBorders>
              <w:top w:val="dotted" w:color="auto" w:sz="4" w:space="0"/>
              <w:left w:val="dotted" w:color="auto" w:sz="4" w:space="0"/>
              <w:bottom w:val="dotted" w:color="auto" w:sz="4" w:space="0"/>
              <w:right w:val="nil"/>
            </w:tcBorders>
            <w:vAlign w:val="center"/>
          </w:tcPr>
          <w:p>
            <w:pPr>
              <w:autoSpaceDE w:val="0"/>
              <w:autoSpaceDN w:val="0"/>
              <w:adjustRightInd w:val="0"/>
              <w:spacing w:line="240" w:lineRule="atLeast"/>
              <w:ind w:firstLine="0" w:firstLineChars="0"/>
              <w:rPr>
                <w:kern w:val="0"/>
                <w:sz w:val="21"/>
              </w:rPr>
            </w:pPr>
            <w:r>
              <w:rPr>
                <w:rFonts w:hint="eastAsia"/>
                <w:kern w:val="0"/>
                <w:sz w:val="21"/>
              </w:rPr>
              <w:t>每年</w:t>
            </w:r>
            <w:r>
              <w:rPr>
                <w:kern w:val="0"/>
                <w:sz w:val="21"/>
              </w:rPr>
              <w:t>4</w:t>
            </w:r>
            <w:r>
              <w:rPr>
                <w:rFonts w:hint="eastAsia"/>
                <w:kern w:val="0"/>
                <w:sz w:val="21"/>
              </w:rPr>
              <w:t>次，每次</w:t>
            </w:r>
            <w:r>
              <w:rPr>
                <w:kern w:val="0"/>
                <w:sz w:val="21"/>
              </w:rPr>
              <w:t>3</w:t>
            </w:r>
            <w:r>
              <w:rPr>
                <w:rFonts w:hint="eastAsia"/>
                <w:kern w:val="0"/>
                <w:sz w:val="21"/>
              </w:rPr>
              <w:t>天，每天</w:t>
            </w:r>
            <w:r>
              <w:rPr>
                <w:kern w:val="0"/>
                <w:sz w:val="21"/>
              </w:rPr>
              <w:t>2</w:t>
            </w:r>
            <w:r>
              <w:rPr>
                <w:rFonts w:hint="eastAsia"/>
                <w:kern w:val="0"/>
                <w:sz w:val="21"/>
              </w:rPr>
              <w:t>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5" w:hRule="atLeast"/>
        </w:trPr>
        <w:tc>
          <w:tcPr>
            <w:tcW w:w="1830"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ascii="宋体" w:hAnsi="宋体" w:cs="Arial"/>
                <w:sz w:val="21"/>
              </w:rPr>
            </w:pPr>
          </w:p>
        </w:tc>
        <w:tc>
          <w:tcPr>
            <w:tcW w:w="251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357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atLeast"/>
              <w:ind w:firstLine="0" w:firstLineChars="0"/>
              <w:jc w:val="center"/>
              <w:rPr>
                <w:rFonts w:ascii="宋体" w:cs="宋体"/>
                <w:kern w:val="0"/>
                <w:sz w:val="21"/>
              </w:rPr>
            </w:pPr>
            <w:r>
              <w:rPr>
                <w:rFonts w:hint="eastAsia" w:ascii="宋体" w:cs="宋体"/>
                <w:kern w:val="0"/>
                <w:sz w:val="21"/>
              </w:rPr>
              <w:t>二噁英</w:t>
            </w:r>
          </w:p>
        </w:tc>
        <w:tc>
          <w:tcPr>
            <w:tcW w:w="1939" w:type="dxa"/>
            <w:tcBorders>
              <w:top w:val="dotted" w:color="auto" w:sz="4" w:space="0"/>
              <w:left w:val="dotted" w:color="auto" w:sz="4" w:space="0"/>
              <w:bottom w:val="dotted" w:color="auto" w:sz="4" w:space="0"/>
              <w:right w:val="nil"/>
            </w:tcBorders>
            <w:vAlign w:val="center"/>
          </w:tcPr>
          <w:p>
            <w:pPr>
              <w:autoSpaceDE w:val="0"/>
              <w:autoSpaceDN w:val="0"/>
              <w:adjustRightInd w:val="0"/>
              <w:spacing w:line="240" w:lineRule="atLeast"/>
              <w:ind w:firstLine="0" w:firstLineChars="0"/>
              <w:jc w:val="center"/>
              <w:rPr>
                <w:kern w:val="0"/>
                <w:sz w:val="21"/>
              </w:rPr>
            </w:pPr>
            <w:r>
              <w:rPr>
                <w:rFonts w:hint="eastAsia"/>
                <w:kern w:val="0"/>
                <w:sz w:val="21"/>
              </w:rPr>
              <w:t>至少每年</w:t>
            </w:r>
            <w:r>
              <w:rPr>
                <w:kern w:val="0"/>
                <w:sz w:val="21"/>
              </w:rPr>
              <w:t>1</w:t>
            </w:r>
            <w:r>
              <w:rPr>
                <w:rFonts w:hint="eastAsia"/>
                <w:kern w:val="0"/>
                <w:sz w:val="21"/>
              </w:rPr>
              <w:t>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01" w:hRule="atLeast"/>
        </w:trPr>
        <w:tc>
          <w:tcPr>
            <w:tcW w:w="1830" w:type="dxa"/>
            <w:vMerge w:val="continue"/>
            <w:tcBorders>
              <w:top w:val="single" w:color="auto" w:sz="12" w:space="0"/>
              <w:left w:val="nil"/>
              <w:bottom w:val="dotted" w:color="auto" w:sz="4" w:space="0"/>
              <w:right w:val="dotted" w:color="auto" w:sz="4" w:space="0"/>
            </w:tcBorders>
            <w:vAlign w:val="center"/>
          </w:tcPr>
          <w:p>
            <w:pPr>
              <w:widowControl/>
              <w:spacing w:line="240" w:lineRule="atLeast"/>
              <w:ind w:firstLine="0" w:firstLineChars="0"/>
              <w:jc w:val="left"/>
              <w:rPr>
                <w:rFonts w:ascii="宋体" w:hAnsi="宋体" w:cs="Arial"/>
                <w:sz w:val="21"/>
                <w:lang w:val="zh-CN"/>
              </w:rPr>
            </w:pPr>
          </w:p>
        </w:tc>
        <w:tc>
          <w:tcPr>
            <w:tcW w:w="2514"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autoSpaceDE w:val="0"/>
              <w:autoSpaceDN w:val="0"/>
              <w:adjustRightInd w:val="0"/>
              <w:spacing w:line="240" w:lineRule="atLeast"/>
              <w:ind w:firstLine="0" w:firstLineChars="0"/>
              <w:rPr>
                <w:sz w:val="21"/>
              </w:rPr>
            </w:pPr>
            <w:r>
              <w:rPr>
                <w:rFonts w:hint="eastAsia"/>
                <w:sz w:val="21"/>
              </w:rPr>
              <w:t>固化车间转运及上料系统</w:t>
            </w:r>
          </w:p>
        </w:tc>
        <w:tc>
          <w:tcPr>
            <w:tcW w:w="3571" w:type="dxa"/>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atLeast"/>
              <w:ind w:firstLine="0" w:firstLineChars="0"/>
              <w:jc w:val="center"/>
              <w:rPr>
                <w:rFonts w:ascii="宋体" w:cs="宋体"/>
                <w:kern w:val="0"/>
                <w:sz w:val="21"/>
              </w:rPr>
            </w:pPr>
            <w:r>
              <w:rPr>
                <w:rFonts w:hint="eastAsia" w:ascii="宋体" w:cs="宋体"/>
                <w:kern w:val="0"/>
                <w:sz w:val="21"/>
              </w:rPr>
              <w:t>粉尘</w:t>
            </w:r>
          </w:p>
        </w:tc>
        <w:tc>
          <w:tcPr>
            <w:tcW w:w="1939" w:type="dxa"/>
            <w:tcBorders>
              <w:top w:val="dotted" w:color="auto" w:sz="4" w:space="0"/>
              <w:left w:val="dotted" w:color="auto" w:sz="4" w:space="0"/>
              <w:bottom w:val="dotted" w:color="auto" w:sz="4" w:space="0"/>
              <w:right w:val="nil"/>
            </w:tcBorders>
            <w:vAlign w:val="center"/>
          </w:tcPr>
          <w:p>
            <w:pPr>
              <w:autoSpaceDE w:val="0"/>
              <w:autoSpaceDN w:val="0"/>
              <w:adjustRightInd w:val="0"/>
              <w:spacing w:line="240" w:lineRule="atLeast"/>
              <w:ind w:firstLine="0" w:firstLineChars="0"/>
              <w:rPr>
                <w:kern w:val="0"/>
                <w:sz w:val="21"/>
              </w:rPr>
            </w:pPr>
            <w:r>
              <w:rPr>
                <w:rFonts w:hint="eastAsia"/>
                <w:kern w:val="0"/>
                <w:sz w:val="21"/>
              </w:rPr>
              <w:t>每年</w:t>
            </w:r>
            <w:r>
              <w:rPr>
                <w:kern w:val="0"/>
                <w:sz w:val="21"/>
              </w:rPr>
              <w:t>4</w:t>
            </w:r>
            <w:r>
              <w:rPr>
                <w:rFonts w:hint="eastAsia"/>
                <w:kern w:val="0"/>
                <w:sz w:val="21"/>
              </w:rPr>
              <w:t>次，每次</w:t>
            </w:r>
            <w:r>
              <w:rPr>
                <w:kern w:val="0"/>
                <w:sz w:val="21"/>
              </w:rPr>
              <w:t>3</w:t>
            </w:r>
            <w:r>
              <w:rPr>
                <w:rFonts w:hint="eastAsia"/>
                <w:kern w:val="0"/>
                <w:sz w:val="21"/>
              </w:rPr>
              <w:t>天，每天</w:t>
            </w:r>
            <w:r>
              <w:rPr>
                <w:kern w:val="0"/>
                <w:sz w:val="21"/>
              </w:rPr>
              <w:t>2</w:t>
            </w:r>
            <w:r>
              <w:rPr>
                <w:rFonts w:hint="eastAsia"/>
                <w:kern w:val="0"/>
                <w:sz w:val="21"/>
              </w:rPr>
              <w:t>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830" w:type="dxa"/>
            <w:tcBorders>
              <w:top w:val="dotted" w:color="auto" w:sz="4" w:space="0"/>
              <w:left w:val="nil"/>
              <w:bottom w:val="single" w:color="auto" w:sz="12" w:space="0"/>
              <w:right w:val="dotted" w:color="auto" w:sz="4" w:space="0"/>
            </w:tcBorders>
            <w:tcMar>
              <w:top w:w="0" w:type="dxa"/>
              <w:left w:w="0" w:type="dxa"/>
              <w:bottom w:w="0" w:type="dxa"/>
              <w:right w:w="0" w:type="dxa"/>
            </w:tcMar>
            <w:vAlign w:val="center"/>
          </w:tcPr>
          <w:p>
            <w:pPr>
              <w:autoSpaceDE w:val="0"/>
              <w:autoSpaceDN w:val="0"/>
              <w:adjustRightInd w:val="0"/>
              <w:spacing w:line="240" w:lineRule="atLeast"/>
              <w:ind w:firstLine="0" w:firstLineChars="0"/>
              <w:jc w:val="center"/>
              <w:rPr>
                <w:sz w:val="21"/>
                <w:lang w:val="zh-CN"/>
              </w:rPr>
            </w:pPr>
            <w:r>
              <w:rPr>
                <w:rFonts w:hint="eastAsia" w:hAnsi="宋体"/>
                <w:sz w:val="21"/>
                <w:lang w:val="zh-CN"/>
              </w:rPr>
              <w:t>无组织排放</w:t>
            </w:r>
          </w:p>
        </w:tc>
        <w:tc>
          <w:tcPr>
            <w:tcW w:w="8024" w:type="dxa"/>
            <w:gridSpan w:val="3"/>
            <w:tcBorders>
              <w:top w:val="dotted" w:color="auto" w:sz="4" w:space="0"/>
              <w:left w:val="dotted" w:color="auto" w:sz="4" w:space="0"/>
              <w:bottom w:val="single" w:color="auto" w:sz="12" w:space="0"/>
              <w:right w:val="nil"/>
            </w:tcBorders>
            <w:vAlign w:val="center"/>
          </w:tcPr>
          <w:p>
            <w:pPr>
              <w:autoSpaceDE w:val="0"/>
              <w:autoSpaceDN w:val="0"/>
              <w:adjustRightInd w:val="0"/>
              <w:spacing w:line="240" w:lineRule="atLeast"/>
              <w:ind w:firstLine="0" w:firstLineChars="0"/>
              <w:rPr>
                <w:sz w:val="21"/>
                <w:lang w:val="zh-CN"/>
              </w:rPr>
            </w:pPr>
            <w:r>
              <w:rPr>
                <w:rFonts w:hint="eastAsia" w:hAnsi="宋体"/>
                <w:sz w:val="21"/>
                <w:lang w:val="zh-CN"/>
              </w:rPr>
              <w:t>危废综合处置厂：</w:t>
            </w:r>
            <w:r>
              <w:rPr>
                <w:rFonts w:hAnsi="宋体"/>
                <w:sz w:val="21"/>
                <w:lang w:val="zh-CN"/>
              </w:rPr>
              <w:t>NO</w:t>
            </w:r>
            <w:r>
              <w:rPr>
                <w:rFonts w:hAnsi="宋体"/>
                <w:sz w:val="21"/>
                <w:vertAlign w:val="subscript"/>
                <w:lang w:val="zh-CN"/>
              </w:rPr>
              <w:t>X</w:t>
            </w:r>
            <w:r>
              <w:rPr>
                <w:rFonts w:hint="eastAsia" w:hAnsi="宋体"/>
                <w:sz w:val="21"/>
                <w:lang w:val="zh-CN"/>
              </w:rPr>
              <w:t>、粉尘、</w:t>
            </w:r>
            <w:r>
              <w:rPr>
                <w:rFonts w:hAnsi="宋体"/>
                <w:sz w:val="21"/>
                <w:lang w:val="zh-CN"/>
              </w:rPr>
              <w:t>VOC</w:t>
            </w:r>
            <w:r>
              <w:rPr>
                <w:rFonts w:hint="eastAsia" w:hAnsi="宋体"/>
                <w:sz w:val="21"/>
                <w:lang w:val="zh-CN"/>
              </w:rPr>
              <w:t>、</w:t>
            </w:r>
            <w:r>
              <w:rPr>
                <w:rFonts w:hAnsi="宋体"/>
                <w:sz w:val="21"/>
                <w:lang w:val="zh-CN"/>
              </w:rPr>
              <w:t>CO</w:t>
            </w:r>
            <w:r>
              <w:rPr>
                <w:rFonts w:hint="eastAsia" w:hAnsi="宋体"/>
                <w:sz w:val="21"/>
                <w:lang w:val="zh-CN"/>
              </w:rPr>
              <w:t>、酸雾、</w:t>
            </w:r>
            <w:r>
              <w:rPr>
                <w:rFonts w:hAnsi="宋体"/>
                <w:sz w:val="21"/>
                <w:lang w:val="zh-CN"/>
              </w:rPr>
              <w:t>H</w:t>
            </w:r>
            <w:r>
              <w:rPr>
                <w:rFonts w:hAnsi="宋体"/>
                <w:sz w:val="21"/>
                <w:vertAlign w:val="subscript"/>
                <w:lang w:val="zh-CN"/>
              </w:rPr>
              <w:t>2</w:t>
            </w:r>
            <w:r>
              <w:rPr>
                <w:rFonts w:hAnsi="宋体"/>
                <w:sz w:val="21"/>
                <w:lang w:val="zh-CN"/>
              </w:rPr>
              <w:t>S</w:t>
            </w:r>
            <w:r>
              <w:rPr>
                <w:rFonts w:hint="eastAsia" w:hAnsi="宋体"/>
                <w:sz w:val="21"/>
                <w:lang w:val="zh-CN"/>
              </w:rPr>
              <w:t>、</w:t>
            </w:r>
            <w:r>
              <w:rPr>
                <w:rFonts w:hAnsi="宋体"/>
                <w:sz w:val="21"/>
                <w:lang w:val="zh-CN"/>
              </w:rPr>
              <w:t>NH</w:t>
            </w:r>
            <w:r>
              <w:rPr>
                <w:rFonts w:hAnsi="宋体"/>
                <w:sz w:val="21"/>
                <w:vertAlign w:val="subscript"/>
                <w:lang w:val="zh-CN"/>
              </w:rPr>
              <w:t>3</w:t>
            </w:r>
            <w:r>
              <w:rPr>
                <w:rFonts w:hint="eastAsia" w:hAnsi="宋体"/>
                <w:sz w:val="21"/>
                <w:lang w:val="zh-CN"/>
              </w:rPr>
              <w:t>监控点设在厂区周界外</w:t>
            </w:r>
            <w:r>
              <w:rPr>
                <w:sz w:val="21"/>
                <w:lang w:val="zh-CN"/>
              </w:rPr>
              <w:t>10m</w:t>
            </w:r>
            <w:r>
              <w:rPr>
                <w:rFonts w:hint="eastAsia" w:hAnsi="宋体"/>
                <w:sz w:val="21"/>
                <w:lang w:val="zh-CN"/>
              </w:rPr>
              <w:t>范围内浓度最高点。</w:t>
            </w:r>
          </w:p>
        </w:tc>
      </w:tr>
    </w:tbl>
    <w:p>
      <w:pPr>
        <w:autoSpaceDE w:val="0"/>
        <w:autoSpaceDN w:val="0"/>
        <w:adjustRightInd w:val="0"/>
        <w:snapToGrid w:val="0"/>
        <w:ind w:firstLine="480"/>
        <w:rPr>
          <w:rFonts w:hAnsi="宋体"/>
        </w:rPr>
      </w:pPr>
    </w:p>
    <w:p>
      <w:pPr>
        <w:ind w:firstLine="480"/>
        <w:rPr>
          <w:rFonts w:cs="Times New Roman"/>
          <w:szCs w:val="20"/>
          <w:lang w:val="zh-CN"/>
        </w:rPr>
      </w:pPr>
      <w:r>
        <w:rPr>
          <w:rFonts w:hint="eastAsia"/>
          <w:lang w:val="zh-CN"/>
        </w:rPr>
        <w:t>其中，焚烧车间须在烟囱上设置烟气在线监测设施，监测项目包括湿度、温度、压力、流量、烟尘、一氧化碳、二氧化硫、氯化氢、氮氧化物、氧含量等指标，并与当地环保部门联网；各重金属污染因子排放监测至少每季度开展一次；二噁英排放监测至少每年开展一次，并将数据上报地方环保部门备案。同时，应建立二噁英排放源动态监控与信息上报系统，分析排放变化情况，对二噁英削减和控制过程及效果进行综合评估。</w:t>
      </w:r>
    </w:p>
    <w:p>
      <w:pPr>
        <w:ind w:firstLine="480"/>
        <w:rPr>
          <w:lang w:val="zh-CN"/>
        </w:rPr>
      </w:pPr>
      <w:r>
        <w:rPr>
          <w:rFonts w:hint="eastAsia"/>
          <w:lang w:val="zh-CN"/>
        </w:rPr>
        <w:t>此外，应根据《九部门发布关于加强二噁英污染防治指导意见》</w:t>
      </w:r>
      <w:r>
        <w:rPr>
          <w:lang w:val="zh-CN"/>
        </w:rPr>
        <w:t>(</w:t>
      </w:r>
      <w:r>
        <w:rPr>
          <w:rFonts w:hint="eastAsia"/>
          <w:lang w:val="zh-CN"/>
        </w:rPr>
        <w:t>环发</w:t>
      </w:r>
      <w:r>
        <w:rPr>
          <w:lang w:val="zh-CN"/>
        </w:rPr>
        <w:t xml:space="preserve">[2010]123 </w:t>
      </w:r>
      <w:r>
        <w:rPr>
          <w:rFonts w:hint="eastAsia"/>
          <w:lang w:val="zh-CN"/>
        </w:rPr>
        <w:t>号</w:t>
      </w:r>
      <w:r>
        <w:rPr>
          <w:lang w:val="zh-CN"/>
        </w:rPr>
        <w:t>)</w:t>
      </w:r>
      <w:r>
        <w:rPr>
          <w:rFonts w:hint="eastAsia"/>
          <w:lang w:val="zh-CN"/>
        </w:rPr>
        <w:t>要求，在厂区明显位置设置显示屏，将焚烧车间的炉温、烟气停留时间、烟气出口温度、一氧化碳等数据向社会公布，接受社会监督。并建立环境信息公开制度，向社会发布年度环境报告书。</w:t>
      </w:r>
    </w:p>
    <w:p>
      <w:pPr>
        <w:pStyle w:val="739"/>
        <w:ind w:firstLine="480"/>
        <w:outlineLvl w:val="0"/>
        <w:rPr>
          <w:lang w:val="zh-CN"/>
        </w:rPr>
      </w:pPr>
      <w:bookmarkStart w:id="821" w:name="_Toc13582308"/>
      <w:bookmarkStart w:id="822" w:name="_Toc13760336"/>
      <w:r>
        <w:rPr>
          <w:lang w:val="zh-CN"/>
        </w:rPr>
        <w:t>(2)</w:t>
      </w:r>
      <w:r>
        <w:rPr>
          <w:rFonts w:hint="eastAsia"/>
          <w:lang w:val="zh-CN"/>
        </w:rPr>
        <w:t>水环境污染源监测计划</w:t>
      </w:r>
      <w:bookmarkEnd w:id="821"/>
      <w:bookmarkEnd w:id="822"/>
    </w:p>
    <w:p>
      <w:pPr>
        <w:ind w:firstLine="480"/>
        <w:rPr>
          <w:lang w:val="zh-CN"/>
        </w:rPr>
      </w:pPr>
      <w:r>
        <w:rPr>
          <w:rFonts w:hint="eastAsia"/>
          <w:lang w:val="zh-CN"/>
        </w:rPr>
        <w:t>本项目废水经处理后全部回用，因此，运营期需在水处理设施进出口进行检查。</w:t>
      </w:r>
    </w:p>
    <w:p>
      <w:pPr>
        <w:ind w:firstLine="480"/>
        <w:rPr>
          <w:rFonts w:ascii="宋体"/>
          <w:lang w:val="zh-CN"/>
        </w:rPr>
      </w:pPr>
      <w:r>
        <w:rPr>
          <w:rFonts w:hint="eastAsia" w:ascii="宋体"/>
          <w:lang w:val="zh-CN"/>
        </w:rPr>
        <w:t>①焚烧车间污水处理模块进口、出口；</w:t>
      </w:r>
    </w:p>
    <w:p>
      <w:pPr>
        <w:ind w:firstLine="480"/>
        <w:rPr>
          <w:rFonts w:ascii="宋体"/>
          <w:lang w:val="zh-CN"/>
        </w:rPr>
      </w:pPr>
      <w:r>
        <w:rPr>
          <w:rFonts w:hint="eastAsia" w:ascii="宋体"/>
          <w:lang w:val="zh-CN"/>
        </w:rPr>
        <w:t>检查项目：总汞、总镉、六价铬、总砷、总铅、总镍。</w:t>
      </w:r>
    </w:p>
    <w:p>
      <w:pPr>
        <w:ind w:firstLine="480"/>
        <w:rPr>
          <w:lang w:val="zh-CN"/>
        </w:rPr>
      </w:pPr>
      <w:r>
        <w:rPr>
          <w:rFonts w:hint="eastAsia" w:ascii="宋体"/>
          <w:lang w:val="zh-CN"/>
        </w:rPr>
        <w:t>②</w:t>
      </w:r>
      <w:r>
        <w:rPr>
          <w:rFonts w:hint="eastAsia"/>
          <w:lang w:val="zh-CN"/>
        </w:rPr>
        <w:t>利用填埋场的集水井，对渗滤液进行水质和水位的监测。</w:t>
      </w:r>
    </w:p>
    <w:p>
      <w:pPr>
        <w:ind w:firstLine="480"/>
        <w:rPr>
          <w:lang w:val="zh-CN"/>
        </w:rPr>
      </w:pPr>
      <w:r>
        <w:rPr>
          <w:rFonts w:hint="eastAsia"/>
          <w:lang w:val="zh-CN"/>
        </w:rPr>
        <w:t>监测项目：《污水综合排放标准》</w:t>
      </w:r>
      <w:r>
        <w:rPr>
          <w:lang w:val="zh-CN"/>
        </w:rPr>
        <w:t>(GB8978-1996)</w:t>
      </w:r>
      <w:r>
        <w:rPr>
          <w:rFonts w:hint="eastAsia"/>
          <w:lang w:val="zh-CN"/>
        </w:rPr>
        <w:t>中所规定的第一类污染物中各项目、</w:t>
      </w:r>
      <w:r>
        <w:rPr>
          <w:lang w:val="zh-CN"/>
        </w:rPr>
        <w:t>pH</w:t>
      </w:r>
      <w:r>
        <w:rPr>
          <w:rFonts w:hint="eastAsia"/>
          <w:lang w:val="zh-CN"/>
        </w:rPr>
        <w:t>、</w:t>
      </w:r>
      <w:r>
        <w:rPr>
          <w:lang w:val="zh-CN"/>
        </w:rPr>
        <w:t>COD</w:t>
      </w:r>
      <w:r>
        <w:rPr>
          <w:rFonts w:hint="eastAsia"/>
          <w:lang w:val="zh-CN"/>
        </w:rPr>
        <w:t>、</w:t>
      </w:r>
      <w:r>
        <w:rPr>
          <w:lang w:val="zh-CN"/>
        </w:rPr>
        <w:t>BOD</w:t>
      </w:r>
      <w:r>
        <w:rPr>
          <w:rFonts w:hint="eastAsia"/>
          <w:lang w:val="zh-CN"/>
        </w:rPr>
        <w:t>、</w:t>
      </w:r>
      <w:r>
        <w:rPr>
          <w:lang w:val="zh-CN"/>
        </w:rPr>
        <w:t>SS</w:t>
      </w:r>
      <w:r>
        <w:rPr>
          <w:rFonts w:hint="eastAsia"/>
          <w:lang w:val="zh-CN"/>
        </w:rPr>
        <w:t>、氨氮、磷酸盐。</w:t>
      </w:r>
    </w:p>
    <w:p>
      <w:pPr>
        <w:ind w:firstLine="480"/>
        <w:outlineLvl w:val="0"/>
        <w:rPr>
          <w:lang w:val="zh-CN"/>
        </w:rPr>
      </w:pPr>
      <w:r>
        <w:rPr>
          <w:rFonts w:hint="eastAsia"/>
          <w:lang w:val="zh-CN"/>
        </w:rPr>
        <w:t>③各类废水进入本项目污水处理站调节池前</w:t>
      </w:r>
    </w:p>
    <w:p>
      <w:pPr>
        <w:ind w:firstLine="480"/>
        <w:rPr>
          <w:lang w:val="zh-CN"/>
        </w:rPr>
      </w:pPr>
      <w:r>
        <w:rPr>
          <w:rFonts w:hint="eastAsia"/>
          <w:lang w:val="zh-CN"/>
        </w:rPr>
        <w:t>监测项目：水量，</w:t>
      </w:r>
      <w:r>
        <w:rPr>
          <w:lang w:val="zh-CN"/>
        </w:rPr>
        <w:t>pH</w:t>
      </w:r>
      <w:r>
        <w:rPr>
          <w:rFonts w:hint="eastAsia"/>
          <w:lang w:val="zh-CN"/>
        </w:rPr>
        <w:t>、</w:t>
      </w:r>
      <w:r>
        <w:rPr>
          <w:lang w:val="zh-CN"/>
        </w:rPr>
        <w:t>COD</w:t>
      </w:r>
      <w:r>
        <w:rPr>
          <w:rFonts w:hint="eastAsia"/>
          <w:lang w:val="zh-CN"/>
        </w:rPr>
        <w:t>、</w:t>
      </w:r>
      <w:r>
        <w:rPr>
          <w:lang w:val="zh-CN"/>
        </w:rPr>
        <w:t>BOD</w:t>
      </w:r>
      <w:r>
        <w:rPr>
          <w:rFonts w:hint="eastAsia"/>
          <w:lang w:val="zh-CN"/>
        </w:rPr>
        <w:t>、</w:t>
      </w:r>
      <w:r>
        <w:rPr>
          <w:lang w:val="zh-CN"/>
        </w:rPr>
        <w:t>SS</w:t>
      </w:r>
      <w:r>
        <w:rPr>
          <w:rFonts w:hint="eastAsia"/>
          <w:lang w:val="zh-CN"/>
        </w:rPr>
        <w:t>、氨氮、石油类、总磷、氰化物、硫化物、总镍、总铜、总汞、总铅、六价铬、总砷、总镉、总锌。</w:t>
      </w:r>
    </w:p>
    <w:p>
      <w:pPr>
        <w:ind w:firstLine="480"/>
        <w:rPr>
          <w:lang w:val="zh-CN"/>
        </w:rPr>
      </w:pPr>
      <w:r>
        <w:rPr>
          <w:rFonts w:hint="eastAsia" w:ascii="宋体"/>
          <w:lang w:val="zh-CN"/>
        </w:rPr>
        <w:t>④</w:t>
      </w:r>
      <w:r>
        <w:rPr>
          <w:rFonts w:hint="eastAsia"/>
          <w:lang w:val="zh-CN"/>
        </w:rPr>
        <w:t>污水处理站出水口，包括回用水池及厂区污水处理站出水口；检查项目：</w:t>
      </w:r>
      <w:r>
        <w:rPr>
          <w:lang w:val="zh-CN"/>
        </w:rPr>
        <w:t>pH</w:t>
      </w:r>
      <w:r>
        <w:rPr>
          <w:rFonts w:hint="eastAsia"/>
          <w:lang w:val="zh-CN"/>
        </w:rPr>
        <w:t>、</w:t>
      </w:r>
      <w:r>
        <w:rPr>
          <w:lang w:val="zh-CN"/>
        </w:rPr>
        <w:t>COD</w:t>
      </w:r>
      <w:r>
        <w:rPr>
          <w:rFonts w:hint="eastAsia"/>
          <w:lang w:val="zh-CN"/>
        </w:rPr>
        <w:t>、</w:t>
      </w:r>
      <w:r>
        <w:rPr>
          <w:lang w:val="zh-CN"/>
        </w:rPr>
        <w:t>BOD</w:t>
      </w:r>
      <w:r>
        <w:rPr>
          <w:rFonts w:hint="eastAsia"/>
          <w:lang w:val="zh-CN"/>
        </w:rPr>
        <w:t>、</w:t>
      </w:r>
      <w:r>
        <w:rPr>
          <w:lang w:val="zh-CN"/>
        </w:rPr>
        <w:t>SS</w:t>
      </w:r>
      <w:r>
        <w:rPr>
          <w:rFonts w:hint="eastAsia"/>
          <w:lang w:val="zh-CN"/>
        </w:rPr>
        <w:t>、氨氮、石油类、总磷、氰化物、硫化物、总镍、总铜、总汞、总铅、六价铬、总砷、总镉、总锌、余氯、总碱度、总硬度、氯化物。</w:t>
      </w:r>
    </w:p>
    <w:p>
      <w:pPr>
        <w:ind w:firstLine="480"/>
        <w:rPr>
          <w:lang w:val="zh-CN"/>
        </w:rPr>
      </w:pPr>
      <w:r>
        <w:rPr>
          <w:rFonts w:hint="eastAsia"/>
          <w:lang w:val="zh-CN"/>
        </w:rPr>
        <w:t>监测频次：厂房监测机构负责进行日常污水处理站的维护和保养，并请当地监测站定期对其监测，每季度一次，每年共</w:t>
      </w:r>
      <w:r>
        <w:rPr>
          <w:lang w:val="zh-CN"/>
        </w:rPr>
        <w:t>4</w:t>
      </w:r>
      <w:r>
        <w:rPr>
          <w:rFonts w:hint="eastAsia"/>
          <w:lang w:val="zh-CN"/>
        </w:rPr>
        <w:t>次。渗滤液水位和水质监测频率至少为每月</w:t>
      </w:r>
      <w:r>
        <w:rPr>
          <w:lang w:val="zh-CN"/>
        </w:rPr>
        <w:t>1</w:t>
      </w:r>
      <w:r>
        <w:rPr>
          <w:rFonts w:hint="eastAsia"/>
          <w:lang w:val="zh-CN"/>
        </w:rPr>
        <w:t>次。</w:t>
      </w:r>
    </w:p>
    <w:p>
      <w:pPr>
        <w:ind w:firstLine="480"/>
        <w:rPr>
          <w:lang w:val="zh-CN"/>
        </w:rPr>
      </w:pPr>
      <w:r>
        <w:rPr>
          <w:lang w:val="zh-CN"/>
        </w:rPr>
        <w:t>(3)</w:t>
      </w:r>
      <w:r>
        <w:rPr>
          <w:rFonts w:hint="eastAsia"/>
          <w:lang w:val="zh-CN"/>
        </w:rPr>
        <w:t>噪声监测计划</w:t>
      </w:r>
    </w:p>
    <w:p>
      <w:pPr>
        <w:ind w:firstLine="480"/>
        <w:rPr>
          <w:lang w:val="zh-CN"/>
        </w:rPr>
      </w:pPr>
      <w:r>
        <w:rPr>
          <w:rFonts w:hint="eastAsia" w:ascii="宋体"/>
          <w:lang w:val="zh-CN"/>
        </w:rPr>
        <w:t>①</w:t>
      </w:r>
      <w:r>
        <w:rPr>
          <w:rFonts w:hint="eastAsia"/>
          <w:lang w:val="zh-CN"/>
        </w:rPr>
        <w:t>监测点位：厂区四周边界。</w:t>
      </w:r>
    </w:p>
    <w:p>
      <w:pPr>
        <w:ind w:firstLine="480"/>
        <w:rPr>
          <w:lang w:val="zh-CN"/>
        </w:rPr>
      </w:pPr>
      <w:r>
        <w:rPr>
          <w:rFonts w:hint="eastAsia" w:ascii="宋体"/>
          <w:lang w:val="zh-CN"/>
        </w:rPr>
        <w:t>②</w:t>
      </w:r>
      <w:r>
        <w:rPr>
          <w:rFonts w:hint="eastAsia"/>
          <w:lang w:val="zh-CN"/>
        </w:rPr>
        <w:t>监测因子：等效连续</w:t>
      </w:r>
      <w:r>
        <w:rPr>
          <w:lang w:val="zh-CN"/>
        </w:rPr>
        <w:t xml:space="preserve">A </w:t>
      </w:r>
      <w:r>
        <w:rPr>
          <w:rFonts w:hint="eastAsia"/>
          <w:lang w:val="zh-CN"/>
        </w:rPr>
        <w:t>声级。</w:t>
      </w:r>
    </w:p>
    <w:p>
      <w:pPr>
        <w:ind w:firstLine="480"/>
        <w:rPr>
          <w:lang w:val="zh-CN"/>
        </w:rPr>
      </w:pPr>
      <w:r>
        <w:rPr>
          <w:rFonts w:hint="eastAsia" w:ascii="宋体"/>
          <w:lang w:val="zh-CN"/>
        </w:rPr>
        <w:t>③</w:t>
      </w:r>
      <w:r>
        <w:rPr>
          <w:rFonts w:hint="eastAsia"/>
          <w:lang w:val="zh-CN"/>
        </w:rPr>
        <w:t>监测频次：每季度监测一次，监测时间分昼间、夜间两个时段</w:t>
      </w:r>
    </w:p>
    <w:p>
      <w:pPr>
        <w:ind w:firstLine="480"/>
        <w:rPr>
          <w:lang w:val="zh-CN"/>
        </w:rPr>
      </w:pPr>
      <w:r>
        <w:rPr>
          <w:rFonts w:hint="eastAsia" w:ascii="宋体"/>
          <w:lang w:val="zh-CN"/>
        </w:rPr>
        <w:t>④</w:t>
      </w:r>
      <w:r>
        <w:rPr>
          <w:rFonts w:hint="eastAsia"/>
          <w:lang w:val="zh-CN"/>
        </w:rPr>
        <w:t>测量方法：选在无雨、风速小于</w:t>
      </w:r>
      <w:r>
        <w:rPr>
          <w:lang w:val="zh-CN"/>
        </w:rPr>
        <w:t>5.5m/s</w:t>
      </w:r>
      <w:r>
        <w:rPr>
          <w:rFonts w:hint="eastAsia"/>
          <w:lang w:val="zh-CN"/>
        </w:rPr>
        <w:t>的天气进行测量，传声器设置户外</w:t>
      </w:r>
      <w:r>
        <w:rPr>
          <w:lang w:val="zh-CN"/>
        </w:rPr>
        <w:t>1m</w:t>
      </w:r>
      <w:r>
        <w:rPr>
          <w:rFonts w:hint="eastAsia"/>
          <w:lang w:val="zh-CN"/>
        </w:rPr>
        <w:t>处，高度为</w:t>
      </w:r>
      <w:r>
        <w:rPr>
          <w:lang w:val="zh-CN"/>
        </w:rPr>
        <w:t>1.2-1.5m</w:t>
      </w:r>
      <w:r>
        <w:rPr>
          <w:rFonts w:hint="eastAsia"/>
          <w:lang w:val="zh-CN"/>
        </w:rPr>
        <w:t>。</w:t>
      </w:r>
    </w:p>
    <w:p>
      <w:pPr>
        <w:ind w:firstLine="480"/>
        <w:rPr>
          <w:lang w:val="zh-CN"/>
        </w:rPr>
      </w:pPr>
      <w:r>
        <w:rPr>
          <w:lang w:val="zh-CN"/>
        </w:rPr>
        <w:t>(4)</w:t>
      </w:r>
      <w:r>
        <w:rPr>
          <w:rFonts w:hint="eastAsia"/>
          <w:lang w:val="zh-CN"/>
        </w:rPr>
        <w:t>土壤监测计划</w:t>
      </w:r>
    </w:p>
    <w:p>
      <w:pPr>
        <w:ind w:firstLine="480"/>
        <w:rPr>
          <w:lang w:val="zh-CN"/>
        </w:rPr>
      </w:pPr>
      <w:r>
        <w:rPr>
          <w:rFonts w:hint="eastAsia" w:ascii="宋体"/>
          <w:lang w:val="zh-CN"/>
        </w:rPr>
        <w:t>①</w:t>
      </w:r>
      <w:r>
        <w:rPr>
          <w:rFonts w:hint="eastAsia"/>
          <w:lang w:val="zh-CN"/>
        </w:rPr>
        <w:t>监测点位：在处置厂布设1个监测点。</w:t>
      </w:r>
    </w:p>
    <w:p>
      <w:pPr>
        <w:ind w:firstLine="480"/>
        <w:rPr>
          <w:lang w:val="zh-CN"/>
        </w:rPr>
      </w:pPr>
      <w:r>
        <w:rPr>
          <w:rFonts w:hint="eastAsia"/>
          <w:lang w:val="zh-CN"/>
        </w:rPr>
        <w:t>②监测因子：镉、铜、四氯化碳、氯仿、氯甲烷、1,1-二氯乙烷、1,2-二氯乙烷、1,1-二氯乙烯、顺-1,2-二氯乙烯、反-1,2-二氯乙烯、二氯甲烷、1,2-二氯丙烯、1,1,1,2-四氯乙烷、1,1,2,2-四氯乙烷、四氯乙烯、1,1,1-四氯乙烷、1,1,2-四氯乙烷、三氯乙烯、1,2,3-三氯丙烷、氯乙烯、苯、氯苯、1,2-二氯苯、1,4-二氯苯、乙苯、苯乙烯、甲苯、间二甲苯+对二甲苯、邻二甲苯、硝基苯、苯胺、2-氯酚、苯并[a]蒽、苯并[a]芘、苯并[b]荧蒽、苯并[k]荧蒽、䓛、</w:t>
      </w:r>
      <w:r>
        <w:rPr>
          <w:rFonts w:hint="eastAsia"/>
          <w:szCs w:val="24"/>
          <w:lang w:val="zh-CN"/>
        </w:rPr>
        <w:t>二苯并[a，h]蒽、茚并[1,2,3-cd]芘、萘、</w:t>
      </w:r>
      <w:r>
        <w:rPr>
          <w:rFonts w:hint="eastAsia" w:ascii="宋体" w:hAnsi="宋体" w:cs="宋体"/>
          <w:szCs w:val="24"/>
        </w:rPr>
        <w:t>氰化物、汞、砷、铅、铬（六价）、镍</w:t>
      </w:r>
    </w:p>
    <w:p>
      <w:pPr>
        <w:ind w:firstLine="480"/>
        <w:rPr>
          <w:lang w:val="zh-CN"/>
        </w:rPr>
      </w:pPr>
      <w:r>
        <w:rPr>
          <w:rFonts w:hint="eastAsia" w:ascii="宋体"/>
          <w:lang w:val="zh-CN"/>
        </w:rPr>
        <w:t>③</w:t>
      </w:r>
      <w:r>
        <w:rPr>
          <w:rFonts w:hint="eastAsia"/>
          <w:lang w:val="zh-CN"/>
        </w:rPr>
        <w:t>监测频次：每</w:t>
      </w:r>
      <w:r>
        <w:rPr>
          <w:lang w:val="zh-CN"/>
        </w:rPr>
        <w:t>3-5</w:t>
      </w:r>
      <w:r>
        <w:rPr>
          <w:rFonts w:hint="eastAsia"/>
          <w:lang w:val="zh-CN"/>
        </w:rPr>
        <w:t>年开展</w:t>
      </w:r>
      <w:r>
        <w:rPr>
          <w:lang w:val="zh-CN"/>
        </w:rPr>
        <w:t>1</w:t>
      </w:r>
      <w:r>
        <w:rPr>
          <w:rFonts w:hint="eastAsia"/>
          <w:lang w:val="zh-CN"/>
        </w:rPr>
        <w:t>次土壤监测工作。</w:t>
      </w:r>
    </w:p>
    <w:p>
      <w:pPr>
        <w:ind w:firstLine="480"/>
        <w:rPr>
          <w:lang w:val="zh-CN"/>
        </w:rPr>
      </w:pPr>
      <w:r>
        <w:rPr>
          <w:lang w:val="zh-CN"/>
        </w:rPr>
        <w:t>(5)</w:t>
      </w:r>
      <w:r>
        <w:rPr>
          <w:rFonts w:hint="eastAsia"/>
          <w:lang w:val="zh-CN"/>
        </w:rPr>
        <w:t>地下水监测计划</w:t>
      </w:r>
    </w:p>
    <w:p>
      <w:pPr>
        <w:adjustRightInd w:val="0"/>
        <w:snapToGrid w:val="0"/>
        <w:ind w:firstLine="480"/>
        <w:rPr>
          <w:rFonts w:hAnsi="宋体"/>
          <w:szCs w:val="24"/>
        </w:rPr>
      </w:pPr>
      <w:bookmarkStart w:id="823" w:name="_Toc532546141"/>
      <w:r>
        <w:rPr>
          <w:rFonts w:hint="eastAsia" w:hAnsi="宋体"/>
          <w:szCs w:val="24"/>
        </w:rPr>
        <w:t>为及时而准确的掌握项目厂区及周边地下水环境质量状况，发现问题及时解决，切实加强环境保护与环境管理，为此建议：在项目厂区建设过程中及投产运行期，建立地下水环境监控体系，包括建立地下水监控网点，建立完善监测制度。同时，配备相应的监测人员及配置先进的监测仪器设备。根据《地下水环境监测技术规范》</w:t>
      </w:r>
      <w:r>
        <w:rPr>
          <w:rFonts w:hAnsi="宋体"/>
          <w:szCs w:val="24"/>
        </w:rPr>
        <w:t>HJ/T164-2004</w:t>
      </w:r>
      <w:r>
        <w:rPr>
          <w:rFonts w:hint="eastAsia" w:hAnsi="宋体"/>
          <w:szCs w:val="24"/>
        </w:rPr>
        <w:t>之要求，在项目厂区及周边地区设置一定数量地下水质污染监控井，建立地下水质污染监控、预警体系</w:t>
      </w:r>
      <w:r>
        <w:rPr>
          <w:rFonts w:hAnsi="宋体"/>
          <w:szCs w:val="24"/>
        </w:rPr>
        <w:t>(</w:t>
      </w:r>
      <w:r>
        <w:rPr>
          <w:rFonts w:hint="eastAsia" w:hAnsi="宋体"/>
          <w:szCs w:val="24"/>
        </w:rPr>
        <w:t>见图9</w:t>
      </w:r>
      <w:r>
        <w:rPr>
          <w:rFonts w:hAnsi="宋体"/>
          <w:szCs w:val="24"/>
        </w:rPr>
        <w:t>.3</w:t>
      </w:r>
      <w:r>
        <w:rPr>
          <w:rFonts w:hint="eastAsia" w:hAnsi="宋体"/>
          <w:szCs w:val="24"/>
        </w:rPr>
        <w:t>—</w:t>
      </w:r>
      <w:r>
        <w:rPr>
          <w:rFonts w:hAnsi="宋体"/>
          <w:szCs w:val="24"/>
        </w:rPr>
        <w:t>1)</w:t>
      </w:r>
      <w:r>
        <w:rPr>
          <w:rFonts w:hint="eastAsia" w:hAnsi="宋体"/>
          <w:szCs w:val="24"/>
        </w:rPr>
        <w:t>。</w:t>
      </w:r>
    </w:p>
    <w:p>
      <w:pPr>
        <w:adjustRightInd w:val="0"/>
        <w:snapToGrid w:val="0"/>
        <w:ind w:firstLine="480"/>
        <w:rPr>
          <w:rFonts w:hAnsi="宋体"/>
          <w:szCs w:val="24"/>
        </w:rPr>
      </w:pPr>
      <w:r>
        <w:rPr>
          <w:rFonts w:hAnsi="宋体"/>
          <w:szCs w:val="24"/>
        </w:rPr>
        <w:t>(1)</w:t>
      </w:r>
      <w:r>
        <w:rPr>
          <w:rFonts w:hint="eastAsia" w:hAnsi="宋体"/>
          <w:szCs w:val="24"/>
        </w:rPr>
        <w:t>监测点的布设：</w:t>
      </w:r>
    </w:p>
    <w:p>
      <w:pPr>
        <w:adjustRightInd w:val="0"/>
        <w:snapToGrid w:val="0"/>
        <w:ind w:firstLine="480"/>
        <w:outlineLvl w:val="0"/>
        <w:rPr>
          <w:rFonts w:hAnsi="宋体"/>
          <w:szCs w:val="24"/>
        </w:rPr>
      </w:pPr>
      <w:r>
        <w:rPr>
          <w:rFonts w:hint="eastAsia" w:hAnsi="宋体"/>
          <w:szCs w:val="24"/>
        </w:rPr>
        <w:t>①危废综合处置厂</w:t>
      </w:r>
    </w:p>
    <w:p>
      <w:pPr>
        <w:adjustRightInd w:val="0"/>
        <w:snapToGrid w:val="0"/>
        <w:ind w:firstLine="480"/>
        <w:rPr>
          <w:rFonts w:hAnsi="宋体"/>
          <w:szCs w:val="24"/>
        </w:rPr>
      </w:pPr>
      <w:r>
        <w:rPr>
          <w:rFonts w:hint="eastAsia" w:hAnsi="宋体"/>
          <w:szCs w:val="24"/>
        </w:rPr>
        <w:t>根据《环境影响评价技术导则地下水环境》</w:t>
      </w:r>
      <w:r>
        <w:rPr>
          <w:rFonts w:hAnsi="宋体"/>
          <w:szCs w:val="24"/>
        </w:rPr>
        <w:t>(HJ610 2016)</w:t>
      </w:r>
      <w:r>
        <w:rPr>
          <w:rFonts w:hint="eastAsia" w:hAnsi="宋体"/>
          <w:szCs w:val="24"/>
        </w:rPr>
        <w:t>、设置</w:t>
      </w:r>
      <w:r>
        <w:rPr>
          <w:rFonts w:hAnsi="宋体"/>
          <w:szCs w:val="24"/>
        </w:rPr>
        <w:t>J5</w:t>
      </w:r>
      <w:r>
        <w:rPr>
          <w:rFonts w:hint="eastAsia" w:hAnsi="宋体"/>
          <w:szCs w:val="24"/>
        </w:rPr>
        <w:t>、</w:t>
      </w:r>
      <w:r>
        <w:rPr>
          <w:rFonts w:hAnsi="宋体"/>
          <w:szCs w:val="24"/>
        </w:rPr>
        <w:t>J6</w:t>
      </w:r>
      <w:r>
        <w:rPr>
          <w:rFonts w:hint="eastAsia" w:hAnsi="宋体"/>
          <w:szCs w:val="24"/>
        </w:rPr>
        <w:t>和</w:t>
      </w:r>
      <w:r>
        <w:rPr>
          <w:rFonts w:hAnsi="宋体"/>
          <w:szCs w:val="24"/>
        </w:rPr>
        <w:t>J7</w:t>
      </w:r>
      <w:r>
        <w:rPr>
          <w:rFonts w:hint="eastAsia" w:hAnsi="宋体"/>
          <w:szCs w:val="24"/>
        </w:rPr>
        <w:t>三个监测点，其中，</w:t>
      </w:r>
      <w:r>
        <w:rPr>
          <w:rFonts w:hAnsi="宋体"/>
          <w:szCs w:val="24"/>
        </w:rPr>
        <w:t>J5</w:t>
      </w:r>
      <w:r>
        <w:rPr>
          <w:rFonts w:hint="eastAsia" w:hAnsi="宋体"/>
          <w:szCs w:val="24"/>
        </w:rPr>
        <w:t>监测点位于厂区东北部，地下水径流方向上游，用于监测上游地下水天然背景浓度，</w:t>
      </w:r>
      <w:r>
        <w:rPr>
          <w:rFonts w:hAnsi="宋体"/>
          <w:szCs w:val="24"/>
        </w:rPr>
        <w:t>J6</w:t>
      </w:r>
      <w:r>
        <w:rPr>
          <w:rFonts w:hint="eastAsia" w:hAnsi="宋体"/>
          <w:szCs w:val="24"/>
        </w:rPr>
        <w:t>和</w:t>
      </w:r>
      <w:r>
        <w:rPr>
          <w:rFonts w:hAnsi="宋体"/>
          <w:szCs w:val="24"/>
        </w:rPr>
        <w:t>J7</w:t>
      </w:r>
      <w:r>
        <w:rPr>
          <w:rFonts w:hint="eastAsia" w:hAnsi="宋体"/>
          <w:szCs w:val="24"/>
        </w:rPr>
        <w:t>位于处置厂下游，其中</w:t>
      </w:r>
      <w:r>
        <w:rPr>
          <w:rFonts w:hAnsi="宋体"/>
          <w:szCs w:val="24"/>
        </w:rPr>
        <w:t>J6</w:t>
      </w:r>
      <w:r>
        <w:rPr>
          <w:rFonts w:hint="eastAsia" w:hAnsi="宋体"/>
          <w:szCs w:val="24"/>
        </w:rPr>
        <w:t>位于事故应急池以南，距离事故应急池</w:t>
      </w:r>
      <w:r>
        <w:rPr>
          <w:rFonts w:hAnsi="宋体"/>
          <w:szCs w:val="24"/>
        </w:rPr>
        <w:t>10m</w:t>
      </w:r>
      <w:r>
        <w:rPr>
          <w:rFonts w:hint="eastAsia" w:hAnsi="宋体"/>
          <w:szCs w:val="24"/>
        </w:rPr>
        <w:t>，</w:t>
      </w:r>
      <w:r>
        <w:rPr>
          <w:rFonts w:hAnsi="宋体"/>
          <w:szCs w:val="24"/>
        </w:rPr>
        <w:t>J7</w:t>
      </w:r>
      <w:r>
        <w:rPr>
          <w:rFonts w:hint="eastAsia" w:hAnsi="宋体"/>
          <w:szCs w:val="24"/>
        </w:rPr>
        <w:t>位于机械车间以南，距离机械车间</w:t>
      </w:r>
      <w:r>
        <w:rPr>
          <w:rFonts w:hAnsi="宋体"/>
          <w:szCs w:val="24"/>
        </w:rPr>
        <w:t>10m</w:t>
      </w:r>
      <w:r>
        <w:rPr>
          <w:rFonts w:hint="eastAsia" w:hAnsi="宋体"/>
          <w:szCs w:val="24"/>
        </w:rPr>
        <w:t>，用于控制地下水下游过水断面，监测处置厂对下游地下水水质的影响。</w:t>
      </w:r>
    </w:p>
    <w:p>
      <w:pPr>
        <w:adjustRightInd w:val="0"/>
        <w:snapToGrid w:val="0"/>
        <w:ind w:firstLine="480"/>
        <w:rPr>
          <w:rFonts w:hAnsi="宋体"/>
          <w:szCs w:val="24"/>
        </w:rPr>
      </w:pPr>
      <w:r>
        <w:rPr>
          <w:rFonts w:hAnsi="宋体"/>
          <w:szCs w:val="24"/>
        </w:rPr>
        <w:t>(2)</w:t>
      </w:r>
      <w:r>
        <w:rPr>
          <w:rFonts w:hint="eastAsia" w:hAnsi="宋体"/>
          <w:szCs w:val="24"/>
        </w:rPr>
        <w:t>监测层位及井深：</w:t>
      </w:r>
    </w:p>
    <w:p>
      <w:pPr>
        <w:adjustRightInd w:val="0"/>
        <w:snapToGrid w:val="0"/>
        <w:ind w:firstLine="480"/>
        <w:rPr>
          <w:rFonts w:hAnsi="宋体"/>
          <w:szCs w:val="24"/>
        </w:rPr>
      </w:pPr>
      <w:r>
        <w:rPr>
          <w:rFonts w:hAnsi="宋体"/>
          <w:szCs w:val="24"/>
        </w:rPr>
        <w:t>J5</w:t>
      </w:r>
      <w:r>
        <w:rPr>
          <w:rFonts w:hint="eastAsia" w:hAnsi="宋体"/>
          <w:szCs w:val="24"/>
        </w:rPr>
        <w:t>、</w:t>
      </w:r>
      <w:r>
        <w:rPr>
          <w:rFonts w:hAnsi="宋体"/>
          <w:szCs w:val="24"/>
        </w:rPr>
        <w:t>J6</w:t>
      </w:r>
      <w:r>
        <w:rPr>
          <w:rFonts w:hint="eastAsia" w:hAnsi="宋体"/>
          <w:szCs w:val="24"/>
        </w:rPr>
        <w:t>和</w:t>
      </w:r>
      <w:r>
        <w:rPr>
          <w:rFonts w:hAnsi="宋体"/>
          <w:szCs w:val="24"/>
        </w:rPr>
        <w:t xml:space="preserve"> J7</w:t>
      </w:r>
      <w:r>
        <w:rPr>
          <w:rFonts w:hint="eastAsia" w:hAnsi="宋体"/>
          <w:szCs w:val="24"/>
        </w:rPr>
        <w:t>监测第Ⅱ含水岩组混合承压水，设计井深</w:t>
      </w:r>
      <w:r>
        <w:rPr>
          <w:rFonts w:hAnsi="宋体"/>
          <w:szCs w:val="24"/>
        </w:rPr>
        <w:t>70m</w:t>
      </w:r>
      <w:r>
        <w:rPr>
          <w:rFonts w:hint="eastAsia" w:hAnsi="宋体"/>
          <w:szCs w:val="24"/>
        </w:rPr>
        <w:t>，在对监测井钻探完工之后，找到含水层顶板位置，对含水层顶板以上井段设置实管，其它井段设置花管；</w:t>
      </w:r>
    </w:p>
    <w:p>
      <w:pPr>
        <w:adjustRightInd w:val="0"/>
        <w:snapToGrid w:val="0"/>
        <w:ind w:firstLine="480"/>
        <w:rPr>
          <w:rFonts w:hAnsi="宋体"/>
          <w:szCs w:val="24"/>
        </w:rPr>
      </w:pPr>
      <w:r>
        <w:rPr>
          <w:rFonts w:hAnsi="宋体"/>
          <w:szCs w:val="24"/>
        </w:rPr>
        <w:t>(3)</w:t>
      </w:r>
      <w:r>
        <w:rPr>
          <w:rFonts w:hint="eastAsia" w:hAnsi="宋体"/>
          <w:szCs w:val="24"/>
        </w:rPr>
        <w:t>监测频率：</w:t>
      </w:r>
      <w:r>
        <w:rPr>
          <w:rFonts w:hint="eastAsia" w:hAnsi="宋体"/>
        </w:rPr>
        <w:t>本项目运行的第一年，应每月至少取样一次；在正常情况下，取样频率为每季度至少一次。监测过程中出现水质异常时，加密监测频率至每季一次或每月一次。</w:t>
      </w:r>
    </w:p>
    <w:p>
      <w:pPr>
        <w:adjustRightInd w:val="0"/>
        <w:snapToGrid w:val="0"/>
        <w:ind w:firstLine="480"/>
        <w:rPr>
          <w:rFonts w:hAnsi="宋体"/>
          <w:szCs w:val="24"/>
        </w:rPr>
      </w:pPr>
      <w:r>
        <w:rPr>
          <w:rFonts w:hAnsi="宋体"/>
          <w:szCs w:val="24"/>
        </w:rPr>
        <w:t>(4)</w:t>
      </w:r>
      <w:r>
        <w:rPr>
          <w:rFonts w:hint="eastAsia" w:hAnsi="宋体"/>
          <w:szCs w:val="24"/>
        </w:rPr>
        <w:t>监测指标：</w:t>
      </w:r>
      <w:r>
        <w:rPr>
          <w:rFonts w:hAnsi="宋体"/>
          <w:szCs w:val="24"/>
        </w:rPr>
        <w:t>Cl-</w:t>
      </w:r>
      <w:r>
        <w:rPr>
          <w:rFonts w:hint="eastAsia" w:hAnsi="宋体"/>
          <w:szCs w:val="24"/>
        </w:rPr>
        <w:t>、</w:t>
      </w:r>
      <w:r>
        <w:rPr>
          <w:rFonts w:hAnsi="宋体"/>
          <w:szCs w:val="24"/>
        </w:rPr>
        <w:t>SO</w:t>
      </w:r>
      <w:r>
        <w:rPr>
          <w:rFonts w:hAnsi="宋体"/>
          <w:szCs w:val="24"/>
          <w:vertAlign w:val="subscript"/>
        </w:rPr>
        <w:t>4</w:t>
      </w:r>
      <w:r>
        <w:rPr>
          <w:rFonts w:hAnsi="宋体"/>
          <w:szCs w:val="24"/>
          <w:vertAlign w:val="superscript"/>
        </w:rPr>
        <w:t>2-</w:t>
      </w:r>
      <w:r>
        <w:rPr>
          <w:rFonts w:hint="eastAsia" w:hAnsi="宋体"/>
          <w:szCs w:val="24"/>
        </w:rPr>
        <w:t>、</w:t>
      </w:r>
      <w:r>
        <w:rPr>
          <w:rFonts w:hAnsi="宋体"/>
          <w:szCs w:val="24"/>
        </w:rPr>
        <w:t>pH</w:t>
      </w:r>
      <w:r>
        <w:rPr>
          <w:rFonts w:hint="eastAsia" w:hAnsi="宋体"/>
          <w:szCs w:val="24"/>
        </w:rPr>
        <w:t>、氨氮、硝酸盐、亚硝酸盐、高锰酸盐指数、总硬度、溶解性总固体、挥发性酚类、氟化物、氰化物、铁、锰、汞、砷、镉、六价铬、铅、镍、细菌总数、总大肠菌群、石油类。用于了解区域地下水水质发展状况；各种监测频率</w:t>
      </w:r>
      <w:r>
        <w:rPr>
          <w:rFonts w:hAnsi="宋体"/>
          <w:szCs w:val="24"/>
        </w:rPr>
        <w:t>7</w:t>
      </w:r>
      <w:r>
        <w:rPr>
          <w:rFonts w:hint="eastAsia" w:hAnsi="宋体"/>
          <w:szCs w:val="24"/>
        </w:rPr>
        <w:t>个井皆同时监测。</w:t>
      </w:r>
    </w:p>
    <w:p>
      <w:pPr>
        <w:adjustRightInd w:val="0"/>
        <w:snapToGrid w:val="0"/>
        <w:ind w:firstLine="480"/>
        <w:rPr>
          <w:rFonts w:hAnsi="宋体"/>
          <w:szCs w:val="24"/>
        </w:rPr>
      </w:pPr>
      <w:r>
        <w:rPr>
          <w:rFonts w:hint="eastAsia" w:hAnsi="宋体"/>
          <w:szCs w:val="24"/>
        </w:rPr>
        <w:t>上述监测结果应按项目有关规定及时建立档案，并定期向厂安全环保部门汇报，对于常规监测数据应该进行公开，特别是对项目所在区域的居民进行公开，满足法律中关于知情权的要求。</w:t>
      </w:r>
    </w:p>
    <w:p>
      <w:pPr>
        <w:ind w:firstLine="480"/>
        <w:jc w:val="center"/>
      </w:pPr>
    </w:p>
    <w:p>
      <w:pPr>
        <w:adjustRightInd w:val="0"/>
        <w:snapToGrid w:val="0"/>
        <w:ind w:firstLine="480"/>
        <w:jc w:val="center"/>
        <w:rPr>
          <w:rFonts w:hAnsi="宋体"/>
          <w:szCs w:val="24"/>
        </w:rPr>
      </w:pPr>
      <w:r>
        <w:rPr>
          <w:rFonts w:hAnsi="宋体"/>
          <w:szCs w:val="24"/>
        </w:rPr>
        <w:t>b</w:t>
      </w:r>
      <w:r>
        <w:rPr>
          <w:rFonts w:hint="eastAsia" w:hAnsi="宋体"/>
          <w:szCs w:val="24"/>
        </w:rPr>
        <w:t>、危废综合处置厂</w:t>
      </w:r>
    </w:p>
    <w:p>
      <w:pPr>
        <w:adjustRightInd w:val="0"/>
        <w:snapToGrid w:val="0"/>
        <w:ind w:firstLine="480"/>
        <w:jc w:val="center"/>
        <w:rPr>
          <w:sz w:val="21"/>
          <w:szCs w:val="20"/>
        </w:rPr>
      </w:pPr>
      <w:r>
        <w:rPr>
          <w:rFonts w:hint="eastAsia" w:hAnsi="宋体"/>
          <w:szCs w:val="24"/>
        </w:rPr>
        <w:t>图9</w:t>
      </w:r>
      <w:r>
        <w:rPr>
          <w:rFonts w:hAnsi="宋体"/>
          <w:szCs w:val="24"/>
        </w:rPr>
        <w:t>.3</w:t>
      </w:r>
      <w:r>
        <w:rPr>
          <w:rFonts w:hint="eastAsia" w:hAnsi="宋体"/>
          <w:szCs w:val="24"/>
        </w:rPr>
        <w:t>—</w:t>
      </w:r>
      <w:r>
        <w:rPr>
          <w:rFonts w:hAnsi="宋体"/>
          <w:szCs w:val="24"/>
        </w:rPr>
        <w:t>1</w:t>
      </w:r>
      <w:r>
        <w:rPr>
          <w:rFonts w:hint="eastAsia" w:hAnsi="宋体"/>
          <w:szCs w:val="24"/>
        </w:rPr>
        <w:t>地下水污染防渗分区及地下水污染跟踪监测点示意图</w:t>
      </w:r>
    </w:p>
    <w:p>
      <w:pPr>
        <w:pStyle w:val="4"/>
        <w:rPr>
          <w:lang w:val="zh-CN"/>
        </w:rPr>
      </w:pPr>
      <w:bookmarkStart w:id="824" w:name="_Toc13760337"/>
      <w:r>
        <w:rPr>
          <w:rFonts w:hint="eastAsia"/>
          <w:lang w:val="zh-CN"/>
        </w:rPr>
        <w:t>9.3污染防治“三同时”验收一览表</w:t>
      </w:r>
      <w:bookmarkEnd w:id="823"/>
      <w:bookmarkEnd w:id="824"/>
    </w:p>
    <w:p>
      <w:pPr>
        <w:pStyle w:val="161"/>
        <w:ind w:firstLine="480"/>
        <w:rPr>
          <w:kern w:val="0"/>
          <w:szCs w:val="20"/>
        </w:rPr>
      </w:pPr>
      <w:r>
        <w:rPr>
          <w:rFonts w:hint="eastAsia"/>
        </w:rPr>
        <w:t>改扩建后本项目全厂污染防治“三同时”验收见表9.3—</w:t>
      </w:r>
      <w:r>
        <w:t>1</w:t>
      </w:r>
      <w:r>
        <w:rPr>
          <w:rFonts w:hint="eastAsia"/>
        </w:rPr>
        <w:t>。</w:t>
      </w:r>
    </w:p>
    <w:p>
      <w:pPr>
        <w:widowControl/>
        <w:ind w:firstLine="480"/>
        <w:jc w:val="left"/>
        <w:rPr>
          <w:rFonts w:ascii="宋体" w:hAnsi="Courier New"/>
          <w:kern w:val="0"/>
        </w:rPr>
        <w:sectPr>
          <w:pgSz w:w="11906" w:h="16838"/>
          <w:pgMar w:top="1418" w:right="1134" w:bottom="1418" w:left="1134" w:header="850" w:footer="850" w:gutter="0"/>
          <w:cols w:space="720" w:num="1"/>
          <w:docGrid w:linePitch="326" w:charSpace="0"/>
        </w:sectPr>
      </w:pPr>
    </w:p>
    <w:p>
      <w:pPr>
        <w:pStyle w:val="178"/>
        <w:ind w:firstLine="480"/>
        <w:rPr>
          <w:rFonts w:hAnsi="宋体"/>
        </w:rPr>
      </w:pPr>
      <w:r>
        <w:rPr>
          <w:rFonts w:hint="eastAsia" w:hAnsi="宋体"/>
          <w:lang w:val="zh-CN"/>
        </w:rPr>
        <w:t>表9.3—</w:t>
      </w:r>
      <w:r>
        <w:rPr>
          <w:rFonts w:hAnsi="宋体"/>
          <w:lang w:val="zh-CN"/>
        </w:rPr>
        <w:t>1</w:t>
      </w:r>
      <w:r>
        <w:rPr>
          <w:rFonts w:hint="eastAsia" w:ascii="Times New Roman" w:hAnsi="Times New Roman"/>
        </w:rPr>
        <w:t>改扩建后项目全厂</w:t>
      </w:r>
      <w:r>
        <w:rPr>
          <w:rFonts w:hint="eastAsia" w:ascii="Times New Roman" w:hAnsi="宋体"/>
        </w:rPr>
        <w:t>污染防治</w:t>
      </w:r>
      <w:r>
        <w:rPr>
          <w:rFonts w:ascii="Times New Roman" w:hAnsi="Times New Roman"/>
        </w:rPr>
        <w:t>“</w:t>
      </w:r>
      <w:r>
        <w:rPr>
          <w:rFonts w:hint="eastAsia" w:ascii="Times New Roman" w:hAnsi="宋体"/>
        </w:rPr>
        <w:t>三同时</w:t>
      </w:r>
      <w:r>
        <w:rPr>
          <w:rFonts w:ascii="Times New Roman" w:hAnsi="Times New Roman"/>
        </w:rPr>
        <w:t>”</w:t>
      </w:r>
      <w:r>
        <w:rPr>
          <w:rFonts w:hint="eastAsia" w:ascii="Times New Roman" w:hAnsi="宋体"/>
        </w:rPr>
        <w:t>验收一览</w:t>
      </w:r>
      <w:r>
        <w:rPr>
          <w:rFonts w:hint="eastAsia" w:hAnsi="宋体"/>
        </w:rPr>
        <w:t>表</w:t>
      </w:r>
    </w:p>
    <w:tbl>
      <w:tblPr>
        <w:tblStyle w:val="88"/>
        <w:tblW w:w="1421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098"/>
        <w:gridCol w:w="904"/>
        <w:gridCol w:w="114"/>
        <w:gridCol w:w="1533"/>
        <w:gridCol w:w="4908"/>
        <w:gridCol w:w="3213"/>
        <w:gridCol w:w="244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single" w:color="auto" w:sz="12" w:space="0"/>
              <w:left w:val="nil"/>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项目</w:t>
            </w:r>
          </w:p>
        </w:tc>
        <w:tc>
          <w:tcPr>
            <w:tcW w:w="2551" w:type="dxa"/>
            <w:gridSpan w:val="3"/>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污染来源</w:t>
            </w:r>
          </w:p>
        </w:tc>
        <w:tc>
          <w:tcPr>
            <w:tcW w:w="4908"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治理措施</w:t>
            </w:r>
          </w:p>
        </w:tc>
        <w:tc>
          <w:tcPr>
            <w:tcW w:w="3213" w:type="dxa"/>
            <w:tcBorders>
              <w:top w:val="single" w:color="auto" w:sz="12" w:space="0"/>
              <w:left w:val="dotted" w:color="auto" w:sz="4" w:space="0"/>
              <w:bottom w:val="single" w:color="auto" w:sz="12" w:space="0"/>
              <w:right w:val="dotted" w:color="auto" w:sz="4" w:space="0"/>
            </w:tcBorders>
            <w:vAlign w:val="center"/>
          </w:tcPr>
          <w:p>
            <w:pPr>
              <w:spacing w:line="240" w:lineRule="atLeast"/>
              <w:ind w:firstLine="0" w:firstLineChars="0"/>
              <w:jc w:val="center"/>
              <w:rPr>
                <w:sz w:val="21"/>
              </w:rPr>
            </w:pPr>
            <w:r>
              <w:rPr>
                <w:rFonts w:hint="eastAsia"/>
                <w:sz w:val="21"/>
              </w:rPr>
              <w:t>主要污染物名称</w:t>
            </w:r>
          </w:p>
        </w:tc>
        <w:tc>
          <w:tcPr>
            <w:tcW w:w="2448" w:type="dxa"/>
            <w:tcBorders>
              <w:top w:val="single" w:color="auto" w:sz="12"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拟达标准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一</w:t>
            </w:r>
          </w:p>
        </w:tc>
        <w:tc>
          <w:tcPr>
            <w:tcW w:w="13120"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大气污染防治措施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lang w:val="pt-BR"/>
              </w:rPr>
            </w:pPr>
            <w:r>
              <w:rPr>
                <w:rFonts w:hint="eastAsia"/>
                <w:sz w:val="21"/>
                <w:lang w:val="pt-BR"/>
              </w:rPr>
              <w:t>危废暂存库有组织废气</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lang w:val="pt-BR"/>
              </w:rPr>
              <w:t>经紫外光系统</w:t>
            </w:r>
            <w:r>
              <w:rPr>
                <w:sz w:val="21"/>
                <w:lang w:val="pt-BR"/>
              </w:rPr>
              <w:t>+</w:t>
            </w:r>
            <w:r>
              <w:rPr>
                <w:rFonts w:hint="eastAsia"/>
                <w:sz w:val="21"/>
                <w:lang w:val="pt-BR"/>
              </w:rPr>
              <w:t>活性炭纤维有机废气净化器处理后，由</w:t>
            </w:r>
            <w:r>
              <w:rPr>
                <w:sz w:val="21"/>
                <w:lang w:val="pt-BR"/>
              </w:rPr>
              <w:t>20m</w:t>
            </w:r>
            <w:r>
              <w:rPr>
                <w:rFonts w:hint="eastAsia"/>
                <w:sz w:val="21"/>
                <w:lang w:val="pt-BR"/>
              </w:rPr>
              <w:t>烟囱排放。各污染物去除效率为</w:t>
            </w:r>
            <w:r>
              <w:rPr>
                <w:sz w:val="21"/>
                <w:lang w:val="pt-BR"/>
              </w:rPr>
              <w:t>80%</w:t>
            </w:r>
            <w:r>
              <w:rPr>
                <w:rFonts w:hint="eastAsia"/>
                <w:sz w:val="21"/>
                <w:lang w:val="pt-BR"/>
              </w:rPr>
              <w:t>。</w:t>
            </w:r>
          </w:p>
        </w:tc>
        <w:tc>
          <w:tcPr>
            <w:tcW w:w="3213"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jc w:val="center"/>
              <w:rPr>
                <w:sz w:val="21"/>
              </w:rPr>
            </w:pPr>
            <w:r>
              <w:rPr>
                <w:sz w:val="21"/>
              </w:rPr>
              <w:t>VOC</w:t>
            </w:r>
            <w:r>
              <w:rPr>
                <w:rFonts w:hint="eastAsia"/>
                <w:sz w:val="21"/>
              </w:rPr>
              <w:t>、</w:t>
            </w:r>
            <w:r>
              <w:rPr>
                <w:sz w:val="21"/>
              </w:rPr>
              <w:t>H</w:t>
            </w:r>
            <w:r>
              <w:rPr>
                <w:sz w:val="21"/>
                <w:vertAlign w:val="subscript"/>
              </w:rPr>
              <w:t>2</w:t>
            </w:r>
            <w:r>
              <w:rPr>
                <w:sz w:val="21"/>
              </w:rPr>
              <w:t>S</w:t>
            </w:r>
            <w:r>
              <w:rPr>
                <w:rFonts w:hint="eastAsia"/>
                <w:sz w:val="21"/>
              </w:rPr>
              <w:t>、</w:t>
            </w:r>
            <w:r>
              <w:rPr>
                <w:sz w:val="21"/>
              </w:rPr>
              <w:t>NH</w:t>
            </w:r>
            <w:r>
              <w:rPr>
                <w:sz w:val="21"/>
                <w:vertAlign w:val="subscript"/>
              </w:rPr>
              <w:t>3</w:t>
            </w:r>
          </w:p>
        </w:tc>
        <w:tc>
          <w:tcPr>
            <w:tcW w:w="2448" w:type="dxa"/>
            <w:tcBorders>
              <w:top w:val="dotted" w:color="auto" w:sz="4" w:space="0"/>
              <w:left w:val="dotted" w:color="auto" w:sz="4" w:space="0"/>
              <w:bottom w:val="dotted" w:color="auto" w:sz="4" w:space="0"/>
              <w:right w:val="nil"/>
            </w:tcBorders>
            <w:vAlign w:val="center"/>
          </w:tcPr>
          <w:p>
            <w:pPr>
              <w:spacing w:line="240" w:lineRule="atLeast"/>
              <w:ind w:firstLine="0" w:firstLineChars="0"/>
              <w:rPr>
                <w:rFonts w:cs="Times New Roman"/>
                <w:sz w:val="21"/>
              </w:rPr>
            </w:pPr>
            <w:r>
              <w:rPr>
                <w:rFonts w:hint="eastAsia"/>
                <w:kern w:val="0"/>
                <w:sz w:val="21"/>
              </w:rPr>
              <w:t>《工业企业挥发性有机物排放控制标准》</w:t>
            </w:r>
            <w:r>
              <w:rPr>
                <w:kern w:val="0"/>
                <w:sz w:val="21"/>
              </w:rPr>
              <w:t>(DB13 2322-2016)</w:t>
            </w:r>
            <w:r>
              <w:rPr>
                <w:rFonts w:hint="eastAsia"/>
                <w:kern w:val="0"/>
                <w:sz w:val="21"/>
              </w:rPr>
              <w:t>表</w:t>
            </w:r>
            <w:r>
              <w:rPr>
                <w:kern w:val="0"/>
                <w:sz w:val="21"/>
              </w:rPr>
              <w:t>1</w:t>
            </w:r>
            <w:r>
              <w:rPr>
                <w:rFonts w:hint="eastAsia"/>
                <w:kern w:val="0"/>
                <w:sz w:val="21"/>
              </w:rPr>
              <w:t>中其他行业非甲烷总烃排放限值</w:t>
            </w:r>
          </w:p>
          <w:p>
            <w:pPr>
              <w:spacing w:line="240" w:lineRule="atLeast"/>
              <w:ind w:firstLine="0" w:firstLineChars="0"/>
              <w:rPr>
                <w:sz w:val="21"/>
              </w:rPr>
            </w:pPr>
            <w:r>
              <w:rPr>
                <w:rFonts w:hint="eastAsia"/>
                <w:sz w:val="21"/>
              </w:rPr>
              <w:t>《恶臭污染物综合排放标准》</w:t>
            </w:r>
            <w:r>
              <w:rPr>
                <w:sz w:val="21"/>
              </w:rPr>
              <w:t>(GB14554-93)</w:t>
            </w:r>
            <w:r>
              <w:rPr>
                <w:rFonts w:hint="eastAsia"/>
                <w:sz w:val="21"/>
              </w:rPr>
              <w:t>中表</w:t>
            </w:r>
            <w:r>
              <w:rPr>
                <w:sz w:val="21"/>
              </w:rPr>
              <w:t>2</w:t>
            </w:r>
            <w:r>
              <w:rPr>
                <w:rFonts w:hint="eastAsia"/>
                <w:sz w:val="21"/>
              </w:rPr>
              <w:t>二级标准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835"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lang w:val="pt-BR"/>
              </w:rPr>
              <w:t>中和反应池排气</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lang w:val="pt-BR"/>
              </w:rPr>
              <w:t>送至酸雾吸收塔与碱液充分反应后，由</w:t>
            </w:r>
            <w:r>
              <w:rPr>
                <w:sz w:val="21"/>
                <w:lang w:val="pt-BR"/>
              </w:rPr>
              <w:t>20m</w:t>
            </w:r>
            <w:r>
              <w:rPr>
                <w:rFonts w:hint="eastAsia"/>
                <w:sz w:val="21"/>
                <w:lang w:val="pt-BR"/>
              </w:rPr>
              <w:t>烟囱排放。各污染物去除效率为</w:t>
            </w:r>
            <w:r>
              <w:rPr>
                <w:sz w:val="21"/>
                <w:lang w:val="pt-BR"/>
              </w:rPr>
              <w:t>95%</w:t>
            </w:r>
            <w:r>
              <w:rPr>
                <w:rFonts w:hint="eastAsia"/>
                <w:sz w:val="21"/>
                <w:lang w:val="pt-BR"/>
              </w:rPr>
              <w:t>。</w:t>
            </w:r>
          </w:p>
        </w:tc>
        <w:tc>
          <w:tcPr>
            <w:tcW w:w="32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酸雾</w:t>
            </w:r>
          </w:p>
        </w:tc>
        <w:tc>
          <w:tcPr>
            <w:tcW w:w="2448"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《大气污染物综合排放标准》</w:t>
            </w:r>
            <w:r>
              <w:rPr>
                <w:sz w:val="21"/>
              </w:rPr>
              <w:t>(GB16297</w:t>
            </w:r>
            <w:r>
              <w:rPr>
                <w:rFonts w:hint="eastAsia"/>
                <w:sz w:val="21"/>
              </w:rPr>
              <w:t>－</w:t>
            </w:r>
            <w:r>
              <w:rPr>
                <w:sz w:val="21"/>
              </w:rPr>
              <w:t xml:space="preserve">1996) </w:t>
            </w:r>
            <w:r>
              <w:rPr>
                <w:rFonts w:hint="eastAsia"/>
                <w:sz w:val="21"/>
              </w:rPr>
              <w:t>新污染源二级标准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焚烧废气</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rFonts w:cs="Times New Roman"/>
                <w:sz w:val="21"/>
                <w:lang w:val="pt-BR"/>
              </w:rPr>
            </w:pPr>
            <w:r>
              <w:rPr>
                <w:rFonts w:hint="eastAsia"/>
                <w:sz w:val="21"/>
                <w:lang w:val="pt-BR"/>
              </w:rPr>
              <w:t>焚烧废气经</w:t>
            </w:r>
            <w:r>
              <w:rPr>
                <w:sz w:val="21"/>
                <w:lang w:val="pt-BR"/>
              </w:rPr>
              <w:t>SNCR</w:t>
            </w:r>
            <w:r>
              <w:rPr>
                <w:rFonts w:hint="eastAsia"/>
                <w:sz w:val="21"/>
                <w:lang w:val="pt-BR"/>
              </w:rPr>
              <w:t>脱硝系统</w:t>
            </w:r>
            <w:r>
              <w:rPr>
                <w:sz w:val="21"/>
                <w:lang w:val="pt-BR"/>
              </w:rPr>
              <w:t>+</w:t>
            </w:r>
            <w:r>
              <w:rPr>
                <w:rFonts w:hint="eastAsia"/>
                <w:sz w:val="21"/>
                <w:lang w:val="pt-BR"/>
              </w:rPr>
              <w:t>急冷塔</w:t>
            </w:r>
            <w:r>
              <w:rPr>
                <w:sz w:val="21"/>
                <w:lang w:val="pt-BR"/>
              </w:rPr>
              <w:t>+</w:t>
            </w:r>
            <w:r>
              <w:rPr>
                <w:rFonts w:hint="eastAsia"/>
                <w:sz w:val="21"/>
                <w:lang w:val="pt-BR"/>
              </w:rPr>
              <w:t>循环流化床脱酸系统</w:t>
            </w:r>
            <w:r>
              <w:rPr>
                <w:sz w:val="21"/>
                <w:lang w:val="pt-BR"/>
              </w:rPr>
              <w:t>+</w:t>
            </w:r>
            <w:r>
              <w:rPr>
                <w:rFonts w:hint="eastAsia"/>
                <w:sz w:val="21"/>
                <w:lang w:val="pt-BR"/>
              </w:rPr>
              <w:t>袋式除尘器</w:t>
            </w:r>
            <w:r>
              <w:rPr>
                <w:sz w:val="21"/>
                <w:lang w:val="pt-BR"/>
              </w:rPr>
              <w:t>+</w:t>
            </w:r>
            <w:r>
              <w:rPr>
                <w:rFonts w:hint="eastAsia"/>
                <w:sz w:val="21"/>
                <w:lang w:val="pt-BR"/>
              </w:rPr>
              <w:t>湿法脱酸系统</w:t>
            </w:r>
            <w:r>
              <w:rPr>
                <w:sz w:val="21"/>
                <w:lang w:val="pt-BR"/>
              </w:rPr>
              <w:t>+</w:t>
            </w:r>
            <w:r>
              <w:rPr>
                <w:rFonts w:hint="eastAsia"/>
                <w:sz w:val="21"/>
                <w:lang w:val="pt-BR"/>
              </w:rPr>
              <w:t>尾气加热后，由50</w:t>
            </w:r>
            <w:r>
              <w:rPr>
                <w:sz w:val="21"/>
                <w:lang w:val="pt-BR"/>
              </w:rPr>
              <w:t>m</w:t>
            </w:r>
            <w:r>
              <w:rPr>
                <w:rFonts w:hint="eastAsia"/>
                <w:sz w:val="21"/>
                <w:lang w:val="pt-BR"/>
              </w:rPr>
              <w:t>烟囱排放。各污染物去除效率如下：烟尘</w:t>
            </w:r>
            <w:r>
              <w:rPr>
                <w:sz w:val="21"/>
                <w:lang w:val="pt-BR"/>
              </w:rPr>
              <w:t xml:space="preserve"> 99%</w:t>
            </w:r>
            <w:r>
              <w:rPr>
                <w:rFonts w:hint="eastAsia"/>
                <w:sz w:val="21"/>
                <w:lang w:val="pt-BR"/>
              </w:rPr>
              <w:t>；</w:t>
            </w:r>
            <w:r>
              <w:rPr>
                <w:sz w:val="21"/>
              </w:rPr>
              <w:t>SO</w:t>
            </w:r>
            <w:r>
              <w:rPr>
                <w:sz w:val="21"/>
                <w:vertAlign w:val="subscript"/>
              </w:rPr>
              <w:t>2</w:t>
            </w:r>
            <w:r>
              <w:rPr>
                <w:sz w:val="21"/>
                <w:lang w:val="pt-BR"/>
              </w:rPr>
              <w:t xml:space="preserve"> 90%</w:t>
            </w:r>
            <w:r>
              <w:rPr>
                <w:rFonts w:hint="eastAsia"/>
                <w:sz w:val="21"/>
                <w:lang w:val="pt-BR"/>
              </w:rPr>
              <w:t>；</w:t>
            </w:r>
            <w:r>
              <w:rPr>
                <w:sz w:val="21"/>
              </w:rPr>
              <w:t>NO</w:t>
            </w:r>
            <w:r>
              <w:rPr>
                <w:sz w:val="21"/>
                <w:vertAlign w:val="subscript"/>
              </w:rPr>
              <w:t>X</w:t>
            </w:r>
            <w:r>
              <w:rPr>
                <w:sz w:val="21"/>
                <w:lang w:val="pt-BR"/>
              </w:rPr>
              <w:t xml:space="preserve"> 40%</w:t>
            </w:r>
            <w:r>
              <w:rPr>
                <w:rFonts w:hint="eastAsia"/>
                <w:sz w:val="21"/>
                <w:lang w:val="pt-BR"/>
              </w:rPr>
              <w:t>；</w:t>
            </w:r>
            <w:r>
              <w:rPr>
                <w:sz w:val="21"/>
              </w:rPr>
              <w:t>HCl</w:t>
            </w:r>
            <w:r>
              <w:rPr>
                <w:sz w:val="21"/>
                <w:lang w:val="pt-BR"/>
              </w:rPr>
              <w:t xml:space="preserve"> 98%</w:t>
            </w:r>
            <w:r>
              <w:rPr>
                <w:rFonts w:hint="eastAsia"/>
                <w:sz w:val="21"/>
                <w:lang w:val="pt-BR"/>
              </w:rPr>
              <w:t>；</w:t>
            </w:r>
            <w:r>
              <w:rPr>
                <w:sz w:val="21"/>
              </w:rPr>
              <w:t>HF</w:t>
            </w:r>
            <w:r>
              <w:rPr>
                <w:sz w:val="21"/>
                <w:lang w:val="pt-BR"/>
              </w:rPr>
              <w:t xml:space="preserve"> 98%</w:t>
            </w:r>
            <w:r>
              <w:rPr>
                <w:rFonts w:hint="eastAsia"/>
                <w:sz w:val="21"/>
                <w:lang w:val="pt-BR"/>
              </w:rPr>
              <w:t>；各重金属</w:t>
            </w:r>
            <w:r>
              <w:rPr>
                <w:sz w:val="21"/>
                <w:lang w:val="pt-BR"/>
              </w:rPr>
              <w:t xml:space="preserve"> 90%</w:t>
            </w:r>
            <w:r>
              <w:rPr>
                <w:rFonts w:hint="eastAsia"/>
                <w:sz w:val="21"/>
                <w:lang w:val="pt-BR"/>
              </w:rPr>
              <w:t>；二噁英类</w:t>
            </w:r>
            <w:r>
              <w:rPr>
                <w:sz w:val="21"/>
                <w:lang w:val="pt-BR"/>
              </w:rPr>
              <w:t xml:space="preserve"> 98%</w:t>
            </w:r>
            <w:r>
              <w:rPr>
                <w:rFonts w:hint="eastAsia"/>
                <w:sz w:val="21"/>
                <w:lang w:val="pt-BR"/>
              </w:rPr>
              <w:t>。</w:t>
            </w:r>
          </w:p>
          <w:p>
            <w:pPr>
              <w:spacing w:line="240" w:lineRule="atLeast"/>
              <w:ind w:firstLine="0" w:firstLineChars="0"/>
              <w:rPr>
                <w:sz w:val="21"/>
                <w:lang w:val="pt-BR"/>
              </w:rPr>
            </w:pPr>
            <w:r>
              <w:rPr>
                <w:rFonts w:hint="eastAsia"/>
                <w:sz w:val="21"/>
                <w:lang w:val="pt-BR"/>
              </w:rPr>
              <w:t>焚烧烟气设置在线监测系统，对</w:t>
            </w:r>
            <w:r>
              <w:rPr>
                <w:rFonts w:hint="eastAsia" w:ascii="宋体" w:cs="宋体"/>
                <w:kern w:val="0"/>
                <w:sz w:val="21"/>
              </w:rPr>
              <w:t>气量，湿度、温度、压力、烟尘、</w:t>
            </w:r>
            <w:r>
              <w:rPr>
                <w:kern w:val="0"/>
                <w:sz w:val="21"/>
              </w:rPr>
              <w:t>SO</w:t>
            </w:r>
            <w:r>
              <w:rPr>
                <w:kern w:val="0"/>
                <w:sz w:val="21"/>
                <w:vertAlign w:val="subscript"/>
              </w:rPr>
              <w:t>2</w:t>
            </w:r>
            <w:r>
              <w:rPr>
                <w:rFonts w:hint="eastAsia" w:ascii="宋体" w:cs="宋体"/>
                <w:kern w:val="0"/>
                <w:sz w:val="21"/>
              </w:rPr>
              <w:t>、</w:t>
            </w:r>
            <w:r>
              <w:rPr>
                <w:kern w:val="0"/>
                <w:sz w:val="21"/>
              </w:rPr>
              <w:t>NOx</w:t>
            </w:r>
            <w:r>
              <w:rPr>
                <w:rFonts w:hint="eastAsia" w:ascii="宋体" w:cs="宋体"/>
                <w:kern w:val="0"/>
                <w:sz w:val="21"/>
              </w:rPr>
              <w:t xml:space="preserve">、 </w:t>
            </w:r>
            <w:r>
              <w:rPr>
                <w:kern w:val="0"/>
                <w:sz w:val="21"/>
              </w:rPr>
              <w:t xml:space="preserve">HCl </w:t>
            </w:r>
            <w:r>
              <w:rPr>
                <w:rFonts w:hint="eastAsia" w:ascii="宋体" w:cs="宋体"/>
                <w:kern w:val="0"/>
                <w:sz w:val="21"/>
              </w:rPr>
              <w:t>、</w:t>
            </w:r>
            <w:r>
              <w:rPr>
                <w:kern w:val="0"/>
                <w:sz w:val="21"/>
              </w:rPr>
              <w:t>HF</w:t>
            </w:r>
            <w:r>
              <w:rPr>
                <w:rFonts w:hint="eastAsia" w:ascii="宋体" w:cs="宋体"/>
                <w:kern w:val="0"/>
                <w:sz w:val="21"/>
              </w:rPr>
              <w:t xml:space="preserve">、 </w:t>
            </w:r>
            <w:r>
              <w:rPr>
                <w:kern w:val="0"/>
                <w:sz w:val="21"/>
              </w:rPr>
              <w:t>CO</w:t>
            </w:r>
            <w:r>
              <w:rPr>
                <w:rFonts w:hint="eastAsia"/>
                <w:kern w:val="0"/>
                <w:sz w:val="21"/>
              </w:rPr>
              <w:t>进行在线监测。</w:t>
            </w:r>
          </w:p>
        </w:tc>
        <w:tc>
          <w:tcPr>
            <w:tcW w:w="32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lang w:val="pt-BR"/>
              </w:rPr>
              <w:t>烟尘、</w:t>
            </w:r>
            <w:r>
              <w:rPr>
                <w:sz w:val="21"/>
              </w:rPr>
              <w:t>SO</w:t>
            </w:r>
            <w:r>
              <w:rPr>
                <w:sz w:val="21"/>
                <w:vertAlign w:val="subscript"/>
              </w:rPr>
              <w:t>2</w:t>
            </w:r>
            <w:r>
              <w:rPr>
                <w:rFonts w:hint="eastAsia"/>
                <w:sz w:val="21"/>
                <w:lang w:val="pt-BR"/>
              </w:rPr>
              <w:t>、</w:t>
            </w:r>
            <w:r>
              <w:rPr>
                <w:sz w:val="21"/>
              </w:rPr>
              <w:t>NO</w:t>
            </w:r>
            <w:r>
              <w:rPr>
                <w:sz w:val="21"/>
                <w:vertAlign w:val="subscript"/>
              </w:rPr>
              <w:t>X</w:t>
            </w:r>
            <w:r>
              <w:rPr>
                <w:rFonts w:hint="eastAsia"/>
                <w:sz w:val="21"/>
                <w:lang w:val="pt-BR"/>
              </w:rPr>
              <w:t>、</w:t>
            </w:r>
            <w:r>
              <w:rPr>
                <w:sz w:val="21"/>
              </w:rPr>
              <w:t>HCl</w:t>
            </w:r>
            <w:r>
              <w:rPr>
                <w:rFonts w:hint="eastAsia"/>
                <w:sz w:val="21"/>
                <w:lang w:val="pt-BR"/>
              </w:rPr>
              <w:t>、</w:t>
            </w:r>
            <w:r>
              <w:rPr>
                <w:sz w:val="21"/>
              </w:rPr>
              <w:t>HF</w:t>
            </w:r>
            <w:r>
              <w:rPr>
                <w:rFonts w:hint="eastAsia"/>
                <w:sz w:val="21"/>
                <w:lang w:val="pt-BR"/>
              </w:rPr>
              <w:t>、</w:t>
            </w:r>
            <w:r>
              <w:rPr>
                <w:sz w:val="21"/>
                <w:lang w:val="pt-BR"/>
              </w:rPr>
              <w:t>CO</w:t>
            </w:r>
            <w:r>
              <w:rPr>
                <w:rFonts w:hint="eastAsia"/>
                <w:sz w:val="21"/>
                <w:lang w:val="pt-BR"/>
              </w:rPr>
              <w:t>、重金属、二噁英类</w:t>
            </w:r>
          </w:p>
        </w:tc>
        <w:tc>
          <w:tcPr>
            <w:tcW w:w="2448"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《危险废物焚烧污染控制标准》</w:t>
            </w:r>
            <w:r>
              <w:rPr>
                <w:sz w:val="21"/>
              </w:rPr>
              <w:t>(GB18484</w:t>
            </w:r>
            <w:r>
              <w:rPr>
                <w:rFonts w:hint="eastAsia"/>
                <w:sz w:val="21"/>
              </w:rPr>
              <w:t>－</w:t>
            </w:r>
            <w:r>
              <w:rPr>
                <w:sz w:val="21"/>
              </w:rPr>
              <w:t xml:space="preserve">2001) </w:t>
            </w:r>
            <w:r>
              <w:rPr>
                <w:rFonts w:hint="eastAsia"/>
                <w:sz w:val="21"/>
              </w:rPr>
              <w:t>表</w:t>
            </w:r>
            <w:r>
              <w:rPr>
                <w:sz w:val="21"/>
              </w:rPr>
              <w:t>3</w:t>
            </w:r>
            <w:r>
              <w:rPr>
                <w:rFonts w:hint="eastAsia"/>
                <w:sz w:val="21"/>
              </w:rPr>
              <w:t>排放限值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lang w:val="pt-BR"/>
              </w:rPr>
            </w:pPr>
            <w:r>
              <w:rPr>
                <w:rFonts w:hint="eastAsia"/>
                <w:sz w:val="21"/>
                <w:lang w:val="pt-BR"/>
              </w:rPr>
              <w:t>转运及上料系统排气</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rFonts w:hAnsi="宋体"/>
                <w:sz w:val="21"/>
              </w:rPr>
            </w:pPr>
            <w:r>
              <w:rPr>
                <w:rFonts w:hint="eastAsia"/>
                <w:sz w:val="21"/>
                <w:lang w:val="pt-BR"/>
              </w:rPr>
              <w:t>经集气罩收集，后由布袋除尘器除尘后，由</w:t>
            </w:r>
            <w:r>
              <w:rPr>
                <w:sz w:val="21"/>
                <w:lang w:val="pt-BR"/>
              </w:rPr>
              <w:t>20m</w:t>
            </w:r>
            <w:r>
              <w:rPr>
                <w:rFonts w:hint="eastAsia"/>
                <w:sz w:val="21"/>
                <w:lang w:val="pt-BR"/>
              </w:rPr>
              <w:t>烟囱排放。污染物总去除效率为</w:t>
            </w:r>
            <w:r>
              <w:rPr>
                <w:sz w:val="21"/>
                <w:lang w:val="pt-BR"/>
              </w:rPr>
              <w:t>97%</w:t>
            </w:r>
            <w:r>
              <w:rPr>
                <w:rFonts w:hint="eastAsia"/>
                <w:sz w:val="21"/>
                <w:lang w:val="pt-BR"/>
              </w:rPr>
              <w:t>。</w:t>
            </w:r>
          </w:p>
        </w:tc>
        <w:tc>
          <w:tcPr>
            <w:tcW w:w="32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粉尘</w:t>
            </w:r>
          </w:p>
        </w:tc>
        <w:tc>
          <w:tcPr>
            <w:tcW w:w="2448"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《大气污染物综合排放标准》</w:t>
            </w:r>
            <w:r>
              <w:rPr>
                <w:sz w:val="21"/>
              </w:rPr>
              <w:t>(GB16297</w:t>
            </w:r>
            <w:r>
              <w:rPr>
                <w:rFonts w:hint="eastAsia"/>
                <w:sz w:val="21"/>
              </w:rPr>
              <w:t>－</w:t>
            </w:r>
            <w:r>
              <w:rPr>
                <w:sz w:val="21"/>
              </w:rPr>
              <w:t xml:space="preserve">1996) </w:t>
            </w:r>
            <w:r>
              <w:rPr>
                <w:rFonts w:hint="eastAsia"/>
                <w:sz w:val="21"/>
              </w:rPr>
              <w:t>新污染源二级标准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lang w:val="pt-BR"/>
              </w:rPr>
            </w:pPr>
            <w:r>
              <w:rPr>
                <w:rFonts w:hint="eastAsia"/>
                <w:sz w:val="21"/>
                <w:lang w:val="pt-BR"/>
              </w:rPr>
              <w:t>强制循环蒸发器排气</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lang w:val="pt-BR"/>
              </w:rPr>
            </w:pPr>
            <w:r>
              <w:rPr>
                <w:rFonts w:hint="eastAsia"/>
                <w:sz w:val="21"/>
                <w:lang w:val="pt-BR"/>
              </w:rPr>
              <w:t>经活性炭纤维有机废气净化器处理后，由</w:t>
            </w:r>
            <w:r>
              <w:rPr>
                <w:sz w:val="21"/>
                <w:lang w:val="pt-BR"/>
              </w:rPr>
              <w:t>15m</w:t>
            </w:r>
            <w:r>
              <w:rPr>
                <w:rFonts w:hint="eastAsia"/>
                <w:sz w:val="21"/>
                <w:lang w:val="pt-BR"/>
              </w:rPr>
              <w:t>烟囱排放，去除效率为</w:t>
            </w:r>
            <w:r>
              <w:rPr>
                <w:sz w:val="21"/>
                <w:lang w:val="pt-BR"/>
              </w:rPr>
              <w:t>80%</w:t>
            </w:r>
            <w:r>
              <w:rPr>
                <w:rFonts w:hint="eastAsia"/>
                <w:sz w:val="21"/>
                <w:lang w:val="pt-BR"/>
              </w:rPr>
              <w:t>。</w:t>
            </w:r>
          </w:p>
        </w:tc>
        <w:tc>
          <w:tcPr>
            <w:tcW w:w="32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臭气</w:t>
            </w:r>
          </w:p>
        </w:tc>
        <w:tc>
          <w:tcPr>
            <w:tcW w:w="2448" w:type="dxa"/>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《恶臭污染物综合排放标准》</w:t>
            </w:r>
            <w:r>
              <w:rPr>
                <w:sz w:val="21"/>
              </w:rPr>
              <w:t>(GB14554-93)</w:t>
            </w:r>
            <w:r>
              <w:rPr>
                <w:rFonts w:hint="eastAsia"/>
                <w:sz w:val="21"/>
              </w:rPr>
              <w:t>中表</w:t>
            </w:r>
            <w:r>
              <w:rPr>
                <w:sz w:val="21"/>
              </w:rPr>
              <w:t>2</w:t>
            </w:r>
            <w:r>
              <w:rPr>
                <w:rFonts w:hint="eastAsia"/>
                <w:sz w:val="21"/>
              </w:rPr>
              <w:t>二级标准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6"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二</w:t>
            </w:r>
          </w:p>
        </w:tc>
        <w:tc>
          <w:tcPr>
            <w:tcW w:w="13120"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水污染防治措施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生活污水</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经化粪池处理后送至厂区污水处理站，采用“絮凝沉淀</w:t>
            </w:r>
            <w:r>
              <w:rPr>
                <w:sz w:val="21"/>
              </w:rPr>
              <w:t>+</w:t>
            </w:r>
            <w:r>
              <w:rPr>
                <w:rFonts w:hint="eastAsia"/>
                <w:sz w:val="21"/>
              </w:rPr>
              <w:t>水解酸化</w:t>
            </w:r>
            <w:r>
              <w:rPr>
                <w:sz w:val="21"/>
              </w:rPr>
              <w:t>+MBR+</w:t>
            </w:r>
            <w:r>
              <w:rPr>
                <w:rFonts w:hint="eastAsia"/>
                <w:sz w:val="21"/>
              </w:rPr>
              <w:t>回用系统”的污水处理方式进行处理。</w:t>
            </w:r>
          </w:p>
        </w:tc>
        <w:tc>
          <w:tcPr>
            <w:tcW w:w="3213" w:type="dxa"/>
            <w:tcBorders>
              <w:top w:val="dotted" w:color="auto" w:sz="4" w:space="0"/>
              <w:left w:val="dotted" w:color="auto" w:sz="4" w:space="0"/>
              <w:bottom w:val="dotted" w:color="auto" w:sz="4" w:space="0"/>
              <w:right w:val="dotted" w:color="auto" w:sz="4" w:space="0"/>
            </w:tcBorders>
            <w:vAlign w:val="center"/>
          </w:tcPr>
          <w:p>
            <w:pPr>
              <w:pStyle w:val="178"/>
              <w:spacing w:line="240" w:lineRule="atLeast"/>
              <w:ind w:firstLine="0" w:firstLineChars="0"/>
              <w:rPr>
                <w:rFonts w:ascii="Times New Roman" w:hAnsi="Times New Roman"/>
                <w:sz w:val="21"/>
              </w:rPr>
            </w:pPr>
            <w:r>
              <w:rPr>
                <w:rFonts w:ascii="Times New Roman" w:hAnsi="Times New Roman"/>
                <w:sz w:val="21"/>
              </w:rPr>
              <w:t>COD</w:t>
            </w:r>
            <w:r>
              <w:rPr>
                <w:rFonts w:hint="eastAsia" w:ascii="Times New Roman" w:hAnsi="Times New Roman"/>
                <w:sz w:val="21"/>
              </w:rPr>
              <w:t>、</w:t>
            </w:r>
            <w:r>
              <w:rPr>
                <w:rFonts w:ascii="Times New Roman" w:hAnsi="Times New Roman"/>
                <w:sz w:val="21"/>
              </w:rPr>
              <w:t>SS</w:t>
            </w:r>
            <w:r>
              <w:rPr>
                <w:rFonts w:hint="eastAsia" w:ascii="Times New Roman" w:hAnsi="Times New Roman"/>
                <w:sz w:val="21"/>
              </w:rPr>
              <w:t>、</w:t>
            </w:r>
            <w:r>
              <w:rPr>
                <w:rFonts w:ascii="Times New Roman" w:hAnsi="Times New Roman"/>
                <w:sz w:val="21"/>
              </w:rPr>
              <w:t>NH</w:t>
            </w:r>
            <w:r>
              <w:rPr>
                <w:rFonts w:ascii="Times New Roman" w:hAnsi="Times New Roman"/>
                <w:sz w:val="21"/>
                <w:vertAlign w:val="subscript"/>
              </w:rPr>
              <w:t>4</w:t>
            </w:r>
            <w:r>
              <w:rPr>
                <w:rFonts w:ascii="Times New Roman" w:hAnsi="Times New Roman"/>
                <w:sz w:val="21"/>
              </w:rPr>
              <w:t>-N</w:t>
            </w:r>
            <w:r>
              <w:rPr>
                <w:rFonts w:hint="eastAsia" w:ascii="Times New Roman" w:hAnsi="Times New Roman"/>
                <w:sz w:val="21"/>
              </w:rPr>
              <w:t>及</w:t>
            </w:r>
            <w:r>
              <w:rPr>
                <w:rFonts w:ascii="Times New Roman" w:hAnsi="Times New Roman"/>
                <w:sz w:val="21"/>
              </w:rPr>
              <w:t>BOD</w:t>
            </w:r>
            <w:r>
              <w:rPr>
                <w:rFonts w:ascii="Times New Roman" w:hAnsi="Times New Roman"/>
                <w:sz w:val="21"/>
                <w:vertAlign w:val="subscript"/>
              </w:rPr>
              <w:t>5</w:t>
            </w:r>
            <w:r>
              <w:rPr>
                <w:rFonts w:hint="eastAsia" w:ascii="Times New Roman" w:hAnsi="Times New Roman"/>
                <w:sz w:val="21"/>
              </w:rPr>
              <w:t>等有机物</w:t>
            </w:r>
          </w:p>
        </w:tc>
        <w:tc>
          <w:tcPr>
            <w:tcW w:w="2448"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rPr>
                <w:sz w:val="21"/>
              </w:rPr>
            </w:pPr>
            <w:r>
              <w:rPr>
                <w:rFonts w:hint="eastAsia"/>
                <w:sz w:val="21"/>
              </w:rPr>
              <w:t>《城市污水再生利用工业用水水质》</w:t>
            </w:r>
            <w:r>
              <w:rPr>
                <w:sz w:val="21"/>
              </w:rPr>
              <w:t>(GB/T19223-2005)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生产废水</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焚烧车间喷淋洗涤塔排水29.0</w:t>
            </w:r>
            <w:r>
              <w:rPr>
                <w:rFonts w:hAnsi="宋体"/>
                <w:sz w:val="21"/>
              </w:rPr>
              <w:t>t/d</w:t>
            </w:r>
            <w:r>
              <w:rPr>
                <w:rFonts w:hint="eastAsia" w:hAnsi="宋体"/>
                <w:sz w:val="21"/>
              </w:rPr>
              <w:t>由本车间污水处理模块经“絮凝沉淀”处理后送至污水处理站强制蒸发系统</w:t>
            </w:r>
            <w:r>
              <w:rPr>
                <w:rFonts w:hint="eastAsia"/>
                <w:sz w:val="21"/>
              </w:rPr>
              <w:t>；物化车间澄清池排水41.948</w:t>
            </w:r>
            <w:r>
              <w:rPr>
                <w:rFonts w:hAnsi="宋体"/>
                <w:sz w:val="21"/>
              </w:rPr>
              <w:t>t/d</w:t>
            </w:r>
            <w:r>
              <w:rPr>
                <w:rFonts w:hint="eastAsia" w:hAnsi="宋体"/>
                <w:sz w:val="21"/>
              </w:rPr>
              <w:t>和</w:t>
            </w:r>
            <w:r>
              <w:rPr>
                <w:rFonts w:hint="eastAsia"/>
                <w:sz w:val="21"/>
              </w:rPr>
              <w:t>沉淀池废水9.702</w:t>
            </w:r>
            <w:r>
              <w:rPr>
                <w:rFonts w:hAnsi="宋体"/>
                <w:sz w:val="21"/>
              </w:rPr>
              <w:t>t/d</w:t>
            </w:r>
            <w:r>
              <w:rPr>
                <w:rFonts w:hint="eastAsia" w:hAnsi="宋体"/>
                <w:sz w:val="21"/>
              </w:rPr>
              <w:t>经“絮凝沉淀”处理后</w:t>
            </w:r>
            <w:r>
              <w:rPr>
                <w:rFonts w:hint="eastAsia"/>
                <w:sz w:val="21"/>
              </w:rPr>
              <w:t>，</w:t>
            </w:r>
            <w:r>
              <w:rPr>
                <w:rFonts w:hint="eastAsia" w:hAnsi="宋体"/>
                <w:sz w:val="21"/>
              </w:rPr>
              <w:t>送至污水处理站强制蒸发系统</w:t>
            </w:r>
            <w:r>
              <w:rPr>
                <w:rFonts w:hint="eastAsia"/>
                <w:sz w:val="21"/>
              </w:rPr>
              <w:t>；物化车架酸雾吸收塔排水1.89</w:t>
            </w:r>
            <w:r>
              <w:rPr>
                <w:rFonts w:hAnsi="宋体"/>
                <w:sz w:val="21"/>
              </w:rPr>
              <w:t>t/d</w:t>
            </w:r>
            <w:r>
              <w:rPr>
                <w:rFonts w:hint="eastAsia" w:hAnsi="宋体"/>
                <w:sz w:val="21"/>
              </w:rPr>
              <w:t>、</w:t>
            </w:r>
            <w:r>
              <w:rPr>
                <w:rFonts w:hint="eastAsia"/>
                <w:sz w:val="21"/>
              </w:rPr>
              <w:t>冲洗废水20.0</w:t>
            </w:r>
            <w:r>
              <w:rPr>
                <w:rFonts w:hAnsi="宋体"/>
                <w:sz w:val="21"/>
              </w:rPr>
              <w:t>t/d</w:t>
            </w:r>
            <w:r>
              <w:rPr>
                <w:rFonts w:hint="eastAsia"/>
                <w:sz w:val="21"/>
              </w:rPr>
              <w:t>、安全填埋场渗滤液</w:t>
            </w:r>
            <w:r>
              <w:rPr>
                <w:sz w:val="21"/>
              </w:rPr>
              <w:t>8.6</w:t>
            </w:r>
            <w:r>
              <w:rPr>
                <w:rFonts w:hAnsi="宋体"/>
                <w:sz w:val="21"/>
              </w:rPr>
              <w:t>t/d</w:t>
            </w:r>
            <w:r>
              <w:rPr>
                <w:rFonts w:hint="eastAsia" w:hAnsi="宋体"/>
                <w:sz w:val="21"/>
              </w:rPr>
              <w:t>、循环水站</w:t>
            </w:r>
            <w:r>
              <w:rPr>
                <w:rFonts w:hint="eastAsia"/>
                <w:sz w:val="21"/>
              </w:rPr>
              <w:t>排水12.0</w:t>
            </w:r>
            <w:r>
              <w:rPr>
                <w:rFonts w:hAnsi="宋体"/>
                <w:sz w:val="21"/>
              </w:rPr>
              <w:t>t/d</w:t>
            </w:r>
            <w:r>
              <w:rPr>
                <w:rFonts w:hint="eastAsia" w:hAnsi="宋体"/>
                <w:sz w:val="21"/>
              </w:rPr>
              <w:t>、软化水站排水3.63</w:t>
            </w:r>
            <w:r>
              <w:rPr>
                <w:rFonts w:hAnsi="宋体"/>
                <w:sz w:val="21"/>
              </w:rPr>
              <w:t xml:space="preserve"> t/d</w:t>
            </w:r>
            <w:r>
              <w:rPr>
                <w:rFonts w:hint="eastAsia" w:hAnsi="宋体"/>
                <w:sz w:val="21"/>
              </w:rPr>
              <w:t>、余热锅炉排水11.50</w:t>
            </w:r>
            <w:r>
              <w:rPr>
                <w:rFonts w:hAnsi="宋体"/>
                <w:sz w:val="21"/>
              </w:rPr>
              <w:t>t/d</w:t>
            </w:r>
            <w:r>
              <w:rPr>
                <w:rFonts w:hint="eastAsia" w:hAnsi="宋体"/>
                <w:sz w:val="21"/>
              </w:rPr>
              <w:t>，</w:t>
            </w:r>
            <w:r>
              <w:rPr>
                <w:rFonts w:hint="eastAsia"/>
                <w:sz w:val="21"/>
              </w:rPr>
              <w:t>采用“</w:t>
            </w:r>
            <w:r>
              <w:rPr>
                <w:sz w:val="21"/>
              </w:rPr>
              <w:t>Fenton+</w:t>
            </w:r>
            <w:r>
              <w:rPr>
                <w:rFonts w:hint="eastAsia"/>
                <w:sz w:val="21"/>
              </w:rPr>
              <w:t>强制循环蒸发”的方法进行处理，处理后的冷凝液</w:t>
            </w:r>
            <w:r>
              <w:rPr>
                <w:sz w:val="21"/>
              </w:rPr>
              <w:t>1</w:t>
            </w:r>
            <w:r>
              <w:rPr>
                <w:rFonts w:hint="eastAsia"/>
                <w:sz w:val="21"/>
              </w:rPr>
              <w:t>与化验用水3.0</w:t>
            </w:r>
            <w:r>
              <w:rPr>
                <w:rFonts w:hAnsi="宋体"/>
                <w:sz w:val="21"/>
              </w:rPr>
              <w:t>t/d</w:t>
            </w:r>
            <w:r>
              <w:rPr>
                <w:rFonts w:hint="eastAsia" w:hAnsi="宋体"/>
                <w:sz w:val="21"/>
              </w:rPr>
              <w:t>以及生活污水</w:t>
            </w:r>
            <w:r>
              <w:rPr>
                <w:rFonts w:hAnsi="宋体"/>
                <w:sz w:val="21"/>
              </w:rPr>
              <w:t>9.92t/d</w:t>
            </w:r>
            <w:r>
              <w:rPr>
                <w:rFonts w:hint="eastAsia" w:hAnsi="宋体"/>
                <w:sz w:val="21"/>
              </w:rPr>
              <w:t>送至全厂污水处理站，</w:t>
            </w:r>
            <w:r>
              <w:rPr>
                <w:rFonts w:hint="eastAsia"/>
                <w:sz w:val="21"/>
              </w:rPr>
              <w:t>采用“絮凝沉淀</w:t>
            </w:r>
            <w:r>
              <w:rPr>
                <w:sz w:val="21"/>
              </w:rPr>
              <w:t>+</w:t>
            </w:r>
            <w:r>
              <w:rPr>
                <w:rFonts w:hint="eastAsia"/>
                <w:sz w:val="21"/>
              </w:rPr>
              <w:t>水解酸化</w:t>
            </w:r>
            <w:r>
              <w:rPr>
                <w:sz w:val="21"/>
              </w:rPr>
              <w:t>+MBR+</w:t>
            </w:r>
            <w:r>
              <w:rPr>
                <w:rFonts w:hint="eastAsia"/>
                <w:sz w:val="21"/>
              </w:rPr>
              <w:t>回用系统”的污水处理方式进行处理。</w:t>
            </w:r>
          </w:p>
        </w:tc>
        <w:tc>
          <w:tcPr>
            <w:tcW w:w="32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sz w:val="21"/>
              </w:rPr>
              <w:t>COD</w:t>
            </w:r>
            <w:r>
              <w:rPr>
                <w:rFonts w:hint="eastAsia"/>
                <w:sz w:val="21"/>
              </w:rPr>
              <w:t>、</w:t>
            </w:r>
            <w:r>
              <w:rPr>
                <w:sz w:val="21"/>
              </w:rPr>
              <w:t>SS</w:t>
            </w:r>
            <w:r>
              <w:rPr>
                <w:rFonts w:hint="eastAsia"/>
                <w:sz w:val="21"/>
              </w:rPr>
              <w:t>、</w:t>
            </w:r>
            <w:r>
              <w:rPr>
                <w:sz w:val="21"/>
              </w:rPr>
              <w:t>NH</w:t>
            </w:r>
            <w:r>
              <w:rPr>
                <w:sz w:val="21"/>
                <w:vertAlign w:val="subscript"/>
              </w:rPr>
              <w:t>4</w:t>
            </w:r>
            <w:r>
              <w:rPr>
                <w:sz w:val="21"/>
              </w:rPr>
              <w:t>-N</w:t>
            </w:r>
            <w:r>
              <w:rPr>
                <w:rFonts w:hint="eastAsia"/>
                <w:sz w:val="21"/>
              </w:rPr>
              <w:t>、</w:t>
            </w:r>
            <w:r>
              <w:rPr>
                <w:sz w:val="21"/>
              </w:rPr>
              <w:t>BOD</w:t>
            </w:r>
            <w:r>
              <w:rPr>
                <w:sz w:val="21"/>
                <w:vertAlign w:val="subscript"/>
              </w:rPr>
              <w:t>5</w:t>
            </w:r>
            <w:r>
              <w:rPr>
                <w:rFonts w:hint="eastAsia"/>
                <w:sz w:val="21"/>
              </w:rPr>
              <w:t>、</w:t>
            </w:r>
            <w:r>
              <w:rPr>
                <w:sz w:val="21"/>
              </w:rPr>
              <w:t>TP</w:t>
            </w:r>
            <w:r>
              <w:rPr>
                <w:rFonts w:hint="eastAsia"/>
                <w:sz w:val="21"/>
              </w:rPr>
              <w:t>、石油类、重金属等</w:t>
            </w: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化验废水、冲洗废水、填埋场渗滤液</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送厂区污水处理站，采用“絮凝沉淀</w:t>
            </w:r>
            <w:r>
              <w:rPr>
                <w:sz w:val="21"/>
              </w:rPr>
              <w:t>+</w:t>
            </w:r>
            <w:r>
              <w:rPr>
                <w:rFonts w:hint="eastAsia"/>
                <w:sz w:val="21"/>
              </w:rPr>
              <w:t>水解酸化</w:t>
            </w:r>
            <w:r>
              <w:rPr>
                <w:sz w:val="21"/>
              </w:rPr>
              <w:t>+MBR+</w:t>
            </w:r>
            <w:r>
              <w:rPr>
                <w:rFonts w:hint="eastAsia"/>
                <w:sz w:val="21"/>
              </w:rPr>
              <w:t>回用系统”的污水处理方式进行处理。</w:t>
            </w:r>
          </w:p>
        </w:tc>
        <w:tc>
          <w:tcPr>
            <w:tcW w:w="32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sz w:val="21"/>
              </w:rPr>
              <w:t>COD</w:t>
            </w:r>
            <w:r>
              <w:rPr>
                <w:rFonts w:hint="eastAsia"/>
                <w:sz w:val="21"/>
              </w:rPr>
              <w:t>、</w:t>
            </w:r>
            <w:r>
              <w:rPr>
                <w:sz w:val="21"/>
              </w:rPr>
              <w:t>SS</w:t>
            </w:r>
            <w:r>
              <w:rPr>
                <w:rFonts w:hint="eastAsia"/>
                <w:sz w:val="21"/>
              </w:rPr>
              <w:t>、</w:t>
            </w:r>
            <w:r>
              <w:rPr>
                <w:sz w:val="21"/>
              </w:rPr>
              <w:t>NH</w:t>
            </w:r>
            <w:r>
              <w:rPr>
                <w:sz w:val="21"/>
                <w:vertAlign w:val="subscript"/>
              </w:rPr>
              <w:t>4</w:t>
            </w:r>
            <w:r>
              <w:rPr>
                <w:sz w:val="21"/>
              </w:rPr>
              <w:t>-N</w:t>
            </w:r>
            <w:r>
              <w:rPr>
                <w:rFonts w:hint="eastAsia"/>
                <w:sz w:val="21"/>
              </w:rPr>
              <w:t>、</w:t>
            </w:r>
            <w:r>
              <w:rPr>
                <w:sz w:val="21"/>
              </w:rPr>
              <w:t>BOD</w:t>
            </w:r>
            <w:r>
              <w:rPr>
                <w:sz w:val="21"/>
                <w:vertAlign w:val="subscript"/>
              </w:rPr>
              <w:t>5</w:t>
            </w:r>
            <w:r>
              <w:rPr>
                <w:rFonts w:hint="eastAsia"/>
                <w:sz w:val="21"/>
              </w:rPr>
              <w:t>、</w:t>
            </w:r>
            <w:r>
              <w:rPr>
                <w:sz w:val="21"/>
              </w:rPr>
              <w:t>TP</w:t>
            </w:r>
            <w:r>
              <w:rPr>
                <w:rFonts w:hint="eastAsia"/>
                <w:sz w:val="21"/>
              </w:rPr>
              <w:t>、石油类、重金属等</w:t>
            </w: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污水处理站排水</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hAnsi="宋体"/>
                <w:sz w:val="21"/>
              </w:rPr>
              <w:t>出水30.0</w:t>
            </w:r>
            <w:r>
              <w:rPr>
                <w:rFonts w:hAnsi="宋体"/>
                <w:sz w:val="21"/>
              </w:rPr>
              <w:t>t/d</w:t>
            </w:r>
            <w:r>
              <w:rPr>
                <w:rFonts w:hint="eastAsia" w:hAnsi="宋体"/>
                <w:sz w:val="21"/>
              </w:rPr>
              <w:t>回用至固化车间，115.15</w:t>
            </w:r>
            <w:r>
              <w:rPr>
                <w:rFonts w:hAnsi="宋体"/>
                <w:sz w:val="21"/>
              </w:rPr>
              <w:t>t/d</w:t>
            </w:r>
            <w:r>
              <w:rPr>
                <w:rFonts w:hint="eastAsia" w:hAnsi="宋体"/>
                <w:sz w:val="21"/>
              </w:rPr>
              <w:t>回用至焚烧车间，浓水6.04</w:t>
            </w:r>
            <w:r>
              <w:rPr>
                <w:rFonts w:hAnsi="宋体"/>
                <w:sz w:val="21"/>
              </w:rPr>
              <w:t>t/d</w:t>
            </w:r>
            <w:r>
              <w:rPr>
                <w:rFonts w:hint="eastAsia" w:hAnsi="宋体"/>
                <w:sz w:val="21"/>
              </w:rPr>
              <w:t>送至物化车间污水处理模块。</w:t>
            </w:r>
          </w:p>
        </w:tc>
        <w:tc>
          <w:tcPr>
            <w:tcW w:w="32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Ansi="宋体"/>
                <w:sz w:val="21"/>
              </w:rPr>
              <w:t>--</w:t>
            </w:r>
          </w:p>
        </w:tc>
        <w:tc>
          <w:tcPr>
            <w:tcW w:w="2448"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事故水池及雨水池</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rFonts w:hAnsi="宋体"/>
                <w:sz w:val="21"/>
              </w:rPr>
            </w:pPr>
            <w:r>
              <w:rPr>
                <w:rFonts w:hint="eastAsia"/>
                <w:kern w:val="0"/>
                <w:sz w:val="21"/>
              </w:rPr>
              <w:t>危废综合处置厂全厂设置</w:t>
            </w:r>
            <w:r>
              <w:rPr>
                <w:kern w:val="0"/>
                <w:sz w:val="21"/>
              </w:rPr>
              <w:t>1</w:t>
            </w:r>
            <w:r>
              <w:rPr>
                <w:rFonts w:hint="eastAsia"/>
                <w:kern w:val="0"/>
                <w:sz w:val="21"/>
              </w:rPr>
              <w:t>座</w:t>
            </w:r>
            <w:r>
              <w:rPr>
                <w:rFonts w:cs="Times New Roman"/>
                <w:sz w:val="21"/>
              </w:rPr>
              <w:t>1406.25m</w:t>
            </w:r>
            <w:r>
              <w:rPr>
                <w:rFonts w:cs="Times New Roman"/>
                <w:sz w:val="21"/>
                <w:vertAlign w:val="superscript"/>
              </w:rPr>
              <w:t>3</w:t>
            </w:r>
            <w:r>
              <w:rPr>
                <w:rFonts w:hint="eastAsia"/>
                <w:sz w:val="21"/>
              </w:rPr>
              <w:t>的全厂事故及雨水收集池，</w:t>
            </w:r>
            <w:r>
              <w:rPr>
                <w:sz w:val="21"/>
              </w:rPr>
              <w:t>1</w:t>
            </w:r>
            <w:r>
              <w:rPr>
                <w:rFonts w:hint="eastAsia"/>
                <w:kern w:val="0"/>
                <w:sz w:val="21"/>
              </w:rPr>
              <w:t>座容积为</w:t>
            </w:r>
            <w:r>
              <w:rPr>
                <w:kern w:val="0"/>
                <w:sz w:val="21"/>
              </w:rPr>
              <w:t>500</w:t>
            </w:r>
            <w:r>
              <w:rPr>
                <w:sz w:val="21"/>
              </w:rPr>
              <w:t>m</w:t>
            </w:r>
            <w:r>
              <w:rPr>
                <w:sz w:val="21"/>
                <w:vertAlign w:val="superscript"/>
              </w:rPr>
              <w:t>3</w:t>
            </w:r>
            <w:r>
              <w:rPr>
                <w:rFonts w:hint="eastAsia"/>
                <w:sz w:val="21"/>
              </w:rPr>
              <w:t>的焚烧车间废水收集池。</w:t>
            </w:r>
          </w:p>
        </w:tc>
        <w:tc>
          <w:tcPr>
            <w:tcW w:w="321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p>
        </w:tc>
        <w:tc>
          <w:tcPr>
            <w:tcW w:w="2448"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vMerge w:val="restart"/>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1018" w:type="dxa"/>
            <w:gridSpan w:val="2"/>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地下水</w:t>
            </w:r>
          </w:p>
        </w:tc>
        <w:tc>
          <w:tcPr>
            <w:tcW w:w="1533"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sz w:val="21"/>
              </w:rPr>
            </w:pPr>
            <w:r>
              <w:rPr>
                <w:rFonts w:hint="eastAsia"/>
                <w:sz w:val="21"/>
              </w:rPr>
              <w:t>危废综合处置厂区重点污染防治区</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rFonts w:hAnsi="宋体"/>
                <w:sz w:val="21"/>
              </w:rPr>
            </w:pPr>
            <w:r>
              <w:rPr>
                <w:rFonts w:hint="eastAsia"/>
                <w:sz w:val="21"/>
              </w:rPr>
              <w:t>设置防渗层，防渗性能应不低于</w:t>
            </w:r>
            <w:r>
              <w:rPr>
                <w:sz w:val="21"/>
              </w:rPr>
              <w:t>6.0m</w:t>
            </w:r>
            <w:r>
              <w:rPr>
                <w:rFonts w:hint="eastAsia"/>
                <w:sz w:val="21"/>
              </w:rPr>
              <w:t>厚渗透系数为</w:t>
            </w:r>
            <w:r>
              <w:rPr>
                <w:sz w:val="21"/>
              </w:rPr>
              <w:t>1.0</w:t>
            </w:r>
            <w:r>
              <w:rPr>
                <w:rFonts w:hint="eastAsia"/>
                <w:sz w:val="21"/>
              </w:rPr>
              <w:t>×</w:t>
            </w:r>
            <w:r>
              <w:rPr>
                <w:sz w:val="21"/>
              </w:rPr>
              <w:t>10</w:t>
            </w:r>
            <w:r>
              <w:rPr>
                <w:sz w:val="21"/>
                <w:vertAlign w:val="superscript"/>
              </w:rPr>
              <w:t>-7</w:t>
            </w:r>
            <w:r>
              <w:rPr>
                <w:sz w:val="21"/>
              </w:rPr>
              <w:t>cm/s</w:t>
            </w:r>
            <w:r>
              <w:rPr>
                <w:rFonts w:hint="eastAsia"/>
                <w:sz w:val="21"/>
              </w:rPr>
              <w:t>的黏土层。</w:t>
            </w:r>
          </w:p>
        </w:tc>
        <w:tc>
          <w:tcPr>
            <w:tcW w:w="3213" w:type="dxa"/>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rFonts w:hAnsi="宋体"/>
                <w:sz w:val="21"/>
              </w:rPr>
            </w:pPr>
            <w:r>
              <w:rPr>
                <w:rFonts w:hAnsi="宋体"/>
                <w:sz w:val="21"/>
              </w:rPr>
              <w:t>--</w:t>
            </w:r>
          </w:p>
        </w:tc>
        <w:tc>
          <w:tcPr>
            <w:tcW w:w="2448"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vMerge w:val="continue"/>
            <w:tcBorders>
              <w:top w:val="dotted" w:color="auto" w:sz="4" w:space="0"/>
              <w:left w:val="nil"/>
              <w:bottom w:val="dotted" w:color="auto" w:sz="4" w:space="0"/>
              <w:right w:val="dotted" w:color="auto" w:sz="4" w:space="0"/>
            </w:tcBorders>
            <w:vAlign w:val="center"/>
          </w:tcPr>
          <w:p>
            <w:pPr>
              <w:widowControl/>
              <w:spacing w:line="240" w:lineRule="atLeast"/>
              <w:ind w:firstLine="0" w:firstLineChars="0"/>
              <w:jc w:val="left"/>
              <w:rPr>
                <w:sz w:val="21"/>
              </w:rPr>
            </w:pPr>
          </w:p>
        </w:tc>
        <w:tc>
          <w:tcPr>
            <w:tcW w:w="1018"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533" w:type="dxa"/>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pacing w:line="240" w:lineRule="atLeast"/>
              <w:ind w:firstLine="0" w:firstLineChars="0"/>
              <w:rPr>
                <w:sz w:val="21"/>
              </w:rPr>
            </w:pPr>
            <w:r>
              <w:rPr>
                <w:rFonts w:hint="eastAsia"/>
                <w:sz w:val="21"/>
              </w:rPr>
              <w:t>危废综合处置厂区一般污染防治区</w:t>
            </w:r>
          </w:p>
        </w:tc>
        <w:tc>
          <w:tcPr>
            <w:tcW w:w="4908"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rPr>
                <w:rFonts w:hAnsi="宋体"/>
                <w:sz w:val="21"/>
              </w:rPr>
            </w:pPr>
            <w:r>
              <w:rPr>
                <w:rFonts w:hint="eastAsia"/>
                <w:sz w:val="21"/>
              </w:rPr>
              <w:t>设置防渗层，防渗性能应不低于</w:t>
            </w:r>
            <w:r>
              <w:rPr>
                <w:sz w:val="21"/>
              </w:rPr>
              <w:t>1.5m</w:t>
            </w:r>
            <w:r>
              <w:rPr>
                <w:rFonts w:hint="eastAsia"/>
                <w:sz w:val="21"/>
              </w:rPr>
              <w:t>厚渗透系数为</w:t>
            </w:r>
            <w:r>
              <w:rPr>
                <w:sz w:val="21"/>
              </w:rPr>
              <w:t>1.0</w:t>
            </w:r>
            <w:r>
              <w:rPr>
                <w:rFonts w:hint="eastAsia"/>
                <w:sz w:val="21"/>
              </w:rPr>
              <w:t>×</w:t>
            </w:r>
            <w:r>
              <w:rPr>
                <w:sz w:val="21"/>
              </w:rPr>
              <w:t>10</w:t>
            </w:r>
            <w:r>
              <w:rPr>
                <w:sz w:val="21"/>
                <w:vertAlign w:val="superscript"/>
              </w:rPr>
              <w:t>-7</w:t>
            </w:r>
            <w:r>
              <w:rPr>
                <w:sz w:val="21"/>
              </w:rPr>
              <w:t>cm/s</w:t>
            </w:r>
            <w:r>
              <w:rPr>
                <w:rFonts w:hint="eastAsia"/>
                <w:sz w:val="21"/>
              </w:rPr>
              <w:t>的黏土层。</w:t>
            </w:r>
          </w:p>
        </w:tc>
        <w:tc>
          <w:tcPr>
            <w:tcW w:w="3213"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三</w:t>
            </w:r>
          </w:p>
        </w:tc>
        <w:tc>
          <w:tcPr>
            <w:tcW w:w="13120"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固废处置措施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sz w:val="21"/>
              </w:rPr>
            </w:pPr>
            <w:r>
              <w:rPr>
                <w:rFonts w:hint="eastAsia" w:hAnsi="宋体"/>
                <w:sz w:val="21"/>
              </w:rPr>
              <w:t>有机废气净化器废渣</w:t>
            </w:r>
          </w:p>
        </w:tc>
        <w:tc>
          <w:tcPr>
            <w:tcW w:w="812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送至焚烧车间进行焚烧处置</w:t>
            </w:r>
          </w:p>
        </w:tc>
        <w:tc>
          <w:tcPr>
            <w:tcW w:w="2448"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物化车间澄清池废渣</w:t>
            </w:r>
          </w:p>
        </w:tc>
        <w:tc>
          <w:tcPr>
            <w:tcW w:w="812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送固化车间进行固化处置，处置后的固化体送至本项目安全填埋场进行安全填埋</w:t>
            </w: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物化车间隔油池废油</w:t>
            </w:r>
          </w:p>
        </w:tc>
        <w:tc>
          <w:tcPr>
            <w:tcW w:w="812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送至焚烧车间进行焚烧处置</w:t>
            </w: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adjustRightInd w:val="0"/>
              <w:spacing w:line="240" w:lineRule="atLeast"/>
              <w:ind w:firstLine="0" w:firstLineChars="0"/>
              <w:jc w:val="center"/>
              <w:rPr>
                <w:rFonts w:hAnsi="宋体"/>
                <w:sz w:val="21"/>
              </w:rPr>
            </w:pPr>
            <w:r>
              <w:rPr>
                <w:rFonts w:hint="eastAsia" w:hAnsi="宋体"/>
                <w:sz w:val="21"/>
              </w:rPr>
              <w:t>物化车间沉淀池废渣</w:t>
            </w:r>
          </w:p>
        </w:tc>
        <w:tc>
          <w:tcPr>
            <w:tcW w:w="8121" w:type="dxa"/>
            <w:gridSpan w:val="2"/>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送固化车间进行固化处置，处置后的固化体送至本项目安全填埋场进行安全填埋</w:t>
            </w: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焚烧炉炉渣</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焚烧炉飞灰</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喷淋洗涤塔滤渣</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8</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厂区污水处理站污泥</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9</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强制循环蒸发系统盐泥</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2551" w:type="dxa"/>
            <w:gridSpan w:val="3"/>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napToGrid w:val="0"/>
              <w:spacing w:line="240" w:lineRule="atLeast"/>
              <w:ind w:firstLine="0" w:firstLineChars="0"/>
              <w:jc w:val="center"/>
              <w:rPr>
                <w:rFonts w:hAnsi="宋体"/>
                <w:sz w:val="21"/>
              </w:rPr>
            </w:pPr>
            <w:r>
              <w:rPr>
                <w:rFonts w:hint="eastAsia" w:hAnsi="宋体"/>
                <w:sz w:val="21"/>
              </w:rPr>
              <w:t>强制循环蒸发系统净化器废渣</w:t>
            </w:r>
          </w:p>
        </w:tc>
        <w:tc>
          <w:tcPr>
            <w:tcW w:w="812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送至焚烧车间进行焚烧处置</w:t>
            </w: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11</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hAnsi="宋体"/>
                <w:sz w:val="21"/>
              </w:rPr>
            </w:pPr>
            <w:r>
              <w:rPr>
                <w:rFonts w:hint="eastAsia" w:hAnsi="宋体"/>
                <w:sz w:val="21"/>
              </w:rPr>
              <w:t>生活垃圾</w:t>
            </w:r>
          </w:p>
        </w:tc>
        <w:tc>
          <w:tcPr>
            <w:tcW w:w="8121"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送市政生活垃圾处理站统一处理</w:t>
            </w: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四</w:t>
            </w:r>
          </w:p>
        </w:tc>
        <w:tc>
          <w:tcPr>
            <w:tcW w:w="13120"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噪声防治措施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904" w:type="dxa"/>
            <w:vMerge w:val="restart"/>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snapToGrid w:val="0"/>
              <w:spacing w:line="240" w:lineRule="atLeast"/>
              <w:ind w:firstLine="0" w:firstLineChars="0"/>
              <w:jc w:val="center"/>
              <w:rPr>
                <w:rFonts w:cs="Times New Roman"/>
                <w:sz w:val="21"/>
              </w:rPr>
            </w:pPr>
            <w:r>
              <w:rPr>
                <w:rFonts w:hint="eastAsia"/>
                <w:sz w:val="21"/>
              </w:rPr>
              <w:t>物化</w:t>
            </w:r>
          </w:p>
          <w:p>
            <w:pPr>
              <w:snapToGrid w:val="0"/>
              <w:spacing w:line="240" w:lineRule="atLeast"/>
              <w:ind w:firstLine="0" w:firstLineChars="0"/>
              <w:jc w:val="center"/>
              <w:rPr>
                <w:sz w:val="21"/>
              </w:rPr>
            </w:pPr>
            <w:r>
              <w:rPr>
                <w:rFonts w:hint="eastAsia"/>
                <w:sz w:val="21"/>
              </w:rPr>
              <w:t>车间</w:t>
            </w:r>
          </w:p>
        </w:tc>
        <w:tc>
          <w:tcPr>
            <w:tcW w:w="1647"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螺旋搅拌机</w:t>
            </w:r>
          </w:p>
        </w:tc>
        <w:tc>
          <w:tcPr>
            <w:tcW w:w="8121" w:type="dxa"/>
            <w:gridSpan w:val="2"/>
            <w:vMerge w:val="restar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rPr>
                <w:rFonts w:hAnsi="宋体"/>
                <w:kern w:val="0"/>
                <w:sz w:val="21"/>
              </w:rPr>
            </w:pPr>
            <w:r>
              <w:rPr>
                <w:rFonts w:hint="eastAsia" w:hAnsi="宋体"/>
                <w:bCs/>
                <w:sz w:val="21"/>
              </w:rPr>
              <w:t>本项目噪声控制设计原则采取综合防范措施，即采用先进的工艺技术和设备，生产过程实现机械化、自动化、集中操作或隔离操作，使噪声对环境和操作人员的危害降到最低的程度。对有噪声危害的机械设备应标出噪声指标，选用低噪声设备，一般不超</w:t>
            </w:r>
            <w:r>
              <w:rPr>
                <w:bCs/>
                <w:sz w:val="21"/>
              </w:rPr>
              <w:t>90dB(A)</w:t>
            </w:r>
            <w:r>
              <w:rPr>
                <w:rFonts w:hint="eastAsia" w:hAnsi="宋体"/>
                <w:bCs/>
                <w:sz w:val="21"/>
              </w:rPr>
              <w:t>。对单机噪声超标的机械设备，根据噪声源特点采取消声、隔声等措施，并设计全封闭的隔离操作室。</w:t>
            </w:r>
          </w:p>
        </w:tc>
        <w:tc>
          <w:tcPr>
            <w:tcW w:w="2448" w:type="dxa"/>
            <w:vMerge w:val="restart"/>
            <w:tcBorders>
              <w:top w:val="dotted" w:color="auto" w:sz="4" w:space="0"/>
              <w:left w:val="dotted" w:color="auto" w:sz="4" w:space="0"/>
              <w:bottom w:val="dotted" w:color="auto" w:sz="4" w:space="0"/>
              <w:right w:val="nil"/>
            </w:tcBorders>
            <w:vAlign w:val="center"/>
          </w:tcPr>
          <w:p>
            <w:pPr>
              <w:spacing w:line="240" w:lineRule="atLeast"/>
              <w:ind w:firstLine="0" w:firstLineChars="0"/>
              <w:jc w:val="left"/>
              <w:rPr>
                <w:sz w:val="21"/>
              </w:rPr>
            </w:pPr>
            <w:r>
              <w:rPr>
                <w:rFonts w:hint="eastAsia" w:hAnsi="宋体"/>
                <w:bCs/>
                <w:sz w:val="21"/>
              </w:rPr>
              <w:t>《工业企业厂界环境噪声排放标准》</w:t>
            </w:r>
            <w:r>
              <w:rPr>
                <w:rFonts w:hAnsi="宋体"/>
                <w:bCs/>
                <w:sz w:val="21"/>
              </w:rPr>
              <w:t>(</w:t>
            </w:r>
            <w:r>
              <w:rPr>
                <w:bCs/>
                <w:sz w:val="21"/>
              </w:rPr>
              <w:t>GB12348—2008</w:t>
            </w:r>
            <w:r>
              <w:rPr>
                <w:rFonts w:hAnsi="宋体"/>
                <w:bCs/>
                <w:sz w:val="21"/>
              </w:rPr>
              <w:t>)</w:t>
            </w:r>
            <w:r>
              <w:rPr>
                <w:rFonts w:hint="eastAsia" w:hAnsi="宋体"/>
                <w:bCs/>
                <w:sz w:val="21"/>
              </w:rPr>
              <w:t>中</w:t>
            </w:r>
            <w:r>
              <w:rPr>
                <w:rFonts w:hint="eastAsia"/>
                <w:bCs/>
                <w:sz w:val="21"/>
              </w:rPr>
              <w:t>“</w:t>
            </w:r>
            <w:r>
              <w:rPr>
                <w:bCs/>
                <w:sz w:val="21"/>
              </w:rPr>
              <w:t>3</w:t>
            </w:r>
            <w:r>
              <w:rPr>
                <w:rFonts w:hint="eastAsia" w:hAnsi="宋体"/>
                <w:bCs/>
                <w:sz w:val="21"/>
              </w:rPr>
              <w:t>类</w:t>
            </w:r>
            <w:r>
              <w:rPr>
                <w:rFonts w:hint="eastAsia"/>
                <w:bCs/>
                <w:sz w:val="21"/>
              </w:rPr>
              <w:t>”</w:t>
            </w:r>
            <w:r>
              <w:rPr>
                <w:rFonts w:hint="eastAsia" w:hAnsi="宋体"/>
                <w:bCs/>
                <w:sz w:val="21"/>
              </w:rPr>
              <w:t>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计量泵</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3</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中和液输送泵</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4</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板框压滤机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5</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adjustRightInd w:val="0"/>
              <w:snapToGrid w:val="0"/>
              <w:spacing w:line="240" w:lineRule="atLeast"/>
              <w:ind w:firstLine="0" w:firstLineChars="0"/>
              <w:jc w:val="center"/>
              <w:rPr>
                <w:sz w:val="21"/>
              </w:rPr>
            </w:pPr>
            <w:r>
              <w:rPr>
                <w:rFonts w:hint="eastAsia"/>
                <w:sz w:val="21"/>
              </w:rPr>
              <w:t>其他泵类</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6</w:t>
            </w:r>
          </w:p>
        </w:tc>
        <w:tc>
          <w:tcPr>
            <w:tcW w:w="904" w:type="dxa"/>
            <w:vMerge w:val="restart"/>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cs="Times New Roman"/>
                <w:sz w:val="21"/>
              </w:rPr>
            </w:pPr>
            <w:r>
              <w:rPr>
                <w:rFonts w:hint="eastAsia"/>
                <w:sz w:val="21"/>
              </w:rPr>
              <w:t>焚烧</w:t>
            </w:r>
          </w:p>
          <w:p>
            <w:pPr>
              <w:snapToGrid w:val="0"/>
              <w:spacing w:line="240" w:lineRule="atLeast"/>
              <w:ind w:firstLine="0" w:firstLineChars="0"/>
              <w:jc w:val="center"/>
              <w:rPr>
                <w:sz w:val="21"/>
              </w:rPr>
            </w:pPr>
            <w:r>
              <w:rPr>
                <w:rFonts w:hint="eastAsia"/>
                <w:sz w:val="21"/>
              </w:rPr>
              <w:t>车间</w:t>
            </w:r>
          </w:p>
        </w:tc>
        <w:tc>
          <w:tcPr>
            <w:tcW w:w="1647"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adjustRightInd w:val="0"/>
              <w:snapToGrid w:val="0"/>
              <w:spacing w:line="240" w:lineRule="atLeast"/>
              <w:ind w:firstLine="0" w:firstLineChars="0"/>
              <w:jc w:val="center"/>
              <w:rPr>
                <w:sz w:val="21"/>
              </w:rPr>
            </w:pPr>
            <w:r>
              <w:rPr>
                <w:rFonts w:hint="eastAsia"/>
                <w:sz w:val="21"/>
              </w:rPr>
              <w:t>液压抓斗</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7</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引风机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8</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燃烧器助燃风机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9</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tcMar>
              <w:top w:w="0" w:type="dxa"/>
              <w:left w:w="0" w:type="dxa"/>
              <w:bottom w:w="0" w:type="dxa"/>
              <w:right w:w="0" w:type="dxa"/>
            </w:tcMar>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固体助燃风机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10</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冷却风机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11</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热水循环泵</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12</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补水泵</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13</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增压管道泵</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14</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除氧水泵</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15</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锅炉给水泵</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16</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pStyle w:val="157"/>
              <w:adjustRightInd/>
              <w:spacing w:line="240" w:lineRule="atLeast"/>
              <w:jc w:val="center"/>
              <w:rPr>
                <w:rFonts w:ascii="Times New Roman"/>
                <w:color w:val="auto"/>
                <w:kern w:val="2"/>
                <w:sz w:val="21"/>
                <w:szCs w:val="21"/>
              </w:rPr>
            </w:pPr>
            <w:r>
              <w:rPr>
                <w:rFonts w:hint="eastAsia" w:ascii="Times New Roman"/>
                <w:color w:val="auto"/>
                <w:kern w:val="2"/>
                <w:sz w:val="21"/>
                <w:szCs w:val="21"/>
              </w:rPr>
              <w:t>蒸汽往复泵</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17</w:t>
            </w:r>
          </w:p>
        </w:tc>
        <w:tc>
          <w:tcPr>
            <w:tcW w:w="904" w:type="dxa"/>
            <w:vMerge w:val="restart"/>
            <w:tcBorders>
              <w:top w:val="dotted" w:color="auto" w:sz="4" w:space="0"/>
              <w:left w:val="dotted" w:color="auto" w:sz="4" w:space="0"/>
              <w:bottom w:val="dotted" w:color="auto" w:sz="4" w:space="0"/>
              <w:right w:val="dotted" w:color="auto" w:sz="4" w:space="0"/>
            </w:tcBorders>
            <w:vAlign w:val="center"/>
          </w:tcPr>
          <w:p>
            <w:pPr>
              <w:snapToGrid w:val="0"/>
              <w:spacing w:line="240" w:lineRule="atLeast"/>
              <w:ind w:firstLine="0" w:firstLineChars="0"/>
              <w:jc w:val="center"/>
              <w:rPr>
                <w:rFonts w:cs="Times New Roman"/>
                <w:sz w:val="21"/>
              </w:rPr>
            </w:pPr>
            <w:r>
              <w:rPr>
                <w:rFonts w:hint="eastAsia"/>
                <w:sz w:val="21"/>
              </w:rPr>
              <w:t>固化</w:t>
            </w:r>
          </w:p>
          <w:p>
            <w:pPr>
              <w:snapToGrid w:val="0"/>
              <w:spacing w:line="240" w:lineRule="atLeast"/>
              <w:ind w:firstLine="0" w:firstLineChars="0"/>
              <w:jc w:val="center"/>
              <w:rPr>
                <w:rFonts w:cs="Arial"/>
                <w:sz w:val="21"/>
              </w:rPr>
            </w:pPr>
            <w:r>
              <w:rPr>
                <w:rFonts w:hint="eastAsia"/>
                <w:sz w:val="21"/>
              </w:rPr>
              <w:t>车间</w:t>
            </w:r>
          </w:p>
        </w:tc>
        <w:tc>
          <w:tcPr>
            <w:tcW w:w="1647" w:type="dxa"/>
            <w:gridSpan w:val="2"/>
            <w:tcBorders>
              <w:top w:val="dotted" w:color="auto" w:sz="4" w:space="0"/>
              <w:left w:val="dotted" w:color="auto" w:sz="4" w:space="0"/>
              <w:bottom w:val="dotted" w:color="auto" w:sz="4" w:space="0"/>
              <w:right w:val="dotted" w:color="auto" w:sz="4" w:space="0"/>
            </w:tcBorders>
            <w:vAlign w:val="center"/>
          </w:tcPr>
          <w:p>
            <w:pPr>
              <w:pStyle w:val="157"/>
              <w:spacing w:line="240" w:lineRule="atLeast"/>
              <w:jc w:val="center"/>
              <w:rPr>
                <w:rFonts w:ascii="Times New Roman"/>
                <w:color w:val="auto"/>
                <w:kern w:val="2"/>
                <w:sz w:val="21"/>
                <w:szCs w:val="21"/>
              </w:rPr>
            </w:pPr>
            <w:r>
              <w:rPr>
                <w:rFonts w:hint="eastAsia" w:ascii="Times New Roman"/>
                <w:color w:val="auto"/>
                <w:kern w:val="2"/>
                <w:sz w:val="21"/>
                <w:szCs w:val="21"/>
              </w:rPr>
              <w:t>破碎机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18</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pStyle w:val="157"/>
              <w:spacing w:line="240" w:lineRule="atLeast"/>
              <w:jc w:val="center"/>
              <w:rPr>
                <w:rFonts w:ascii="Times New Roman"/>
                <w:color w:val="auto"/>
                <w:kern w:val="2"/>
                <w:sz w:val="21"/>
                <w:szCs w:val="21"/>
              </w:rPr>
            </w:pPr>
            <w:r>
              <w:rPr>
                <w:rFonts w:hint="eastAsia" w:ascii="Times New Roman"/>
                <w:color w:val="auto"/>
                <w:kern w:val="2"/>
                <w:sz w:val="21"/>
                <w:szCs w:val="21"/>
              </w:rPr>
              <w:t>电动桥式双梁起重机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19</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送料翻桶机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20</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单斗提升机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21</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搅拌机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22</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螺旋输送机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23</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cs="Arial"/>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sz w:val="21"/>
              </w:rPr>
            </w:pPr>
            <w:r>
              <w:rPr>
                <w:rFonts w:hint="eastAsia"/>
                <w:sz w:val="21"/>
              </w:rPr>
              <w:t>计量泵</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r>
              <w:rPr>
                <w:rFonts w:hint="eastAsia"/>
                <w:sz w:val="21"/>
              </w:rPr>
              <w:t>4</w:t>
            </w:r>
          </w:p>
        </w:tc>
        <w:tc>
          <w:tcPr>
            <w:tcW w:w="904" w:type="dxa"/>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污水处理站</w:t>
            </w:r>
          </w:p>
        </w:tc>
        <w:tc>
          <w:tcPr>
            <w:tcW w:w="164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泵类</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2</w:t>
            </w:r>
            <w:r>
              <w:rPr>
                <w:rFonts w:hint="eastAsia"/>
                <w:sz w:val="21"/>
              </w:rPr>
              <w:t>5</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风机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26</w:t>
            </w:r>
          </w:p>
        </w:tc>
        <w:tc>
          <w:tcPr>
            <w:tcW w:w="904" w:type="dxa"/>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罐区</w:t>
            </w:r>
          </w:p>
        </w:tc>
        <w:tc>
          <w:tcPr>
            <w:tcW w:w="164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泵类</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27</w:t>
            </w:r>
          </w:p>
        </w:tc>
        <w:tc>
          <w:tcPr>
            <w:tcW w:w="904" w:type="dxa"/>
            <w:vMerge w:val="restart"/>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hAnsi="宋体"/>
                <w:sz w:val="21"/>
              </w:rPr>
              <w:t>循环水装置</w:t>
            </w:r>
          </w:p>
        </w:tc>
        <w:tc>
          <w:tcPr>
            <w:tcW w:w="164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泵类</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28</w:t>
            </w:r>
          </w:p>
        </w:tc>
        <w:tc>
          <w:tcPr>
            <w:tcW w:w="904"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sz w:val="21"/>
              </w:rPr>
            </w:pPr>
          </w:p>
        </w:tc>
        <w:tc>
          <w:tcPr>
            <w:tcW w:w="1647" w:type="dxa"/>
            <w:gridSpan w:val="2"/>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风机</w:t>
            </w:r>
          </w:p>
        </w:tc>
        <w:tc>
          <w:tcPr>
            <w:tcW w:w="8121" w:type="dxa"/>
            <w:gridSpan w:val="2"/>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tLeast"/>
              <w:ind w:firstLine="0" w:firstLineChars="0"/>
              <w:jc w:val="left"/>
              <w:rPr>
                <w:rFonts w:hAnsi="宋体"/>
                <w:kern w:val="0"/>
                <w:sz w:val="21"/>
              </w:rPr>
            </w:pPr>
          </w:p>
        </w:tc>
        <w:tc>
          <w:tcPr>
            <w:tcW w:w="2448" w:type="dxa"/>
            <w:vMerge w:val="continue"/>
            <w:tcBorders>
              <w:top w:val="dotted" w:color="auto" w:sz="4" w:space="0"/>
              <w:left w:val="dotted" w:color="auto" w:sz="4" w:space="0"/>
              <w:bottom w:val="dotted" w:color="auto" w:sz="4" w:space="0"/>
              <w:right w:val="nil"/>
            </w:tcBorders>
            <w:vAlign w:val="center"/>
          </w:tcPr>
          <w:p>
            <w:pPr>
              <w:widowControl/>
              <w:spacing w:line="240" w:lineRule="atLeast"/>
              <w:ind w:firstLine="0" w:firstLineChars="0"/>
              <w:jc w:val="left"/>
              <w:rPr>
                <w:sz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五</w:t>
            </w:r>
          </w:p>
        </w:tc>
        <w:tc>
          <w:tcPr>
            <w:tcW w:w="13120"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生态保护措施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4"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sz w:val="21"/>
              </w:rPr>
              <w:t>1</w:t>
            </w:r>
          </w:p>
        </w:tc>
        <w:tc>
          <w:tcPr>
            <w:tcW w:w="2551" w:type="dxa"/>
            <w:gridSpan w:val="3"/>
            <w:tcBorders>
              <w:top w:val="dotted" w:color="auto" w:sz="4" w:space="0"/>
              <w:left w:val="dotted" w:color="auto" w:sz="4" w:space="0"/>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厂区绿化</w:t>
            </w:r>
          </w:p>
        </w:tc>
        <w:tc>
          <w:tcPr>
            <w:tcW w:w="8121" w:type="dxa"/>
            <w:gridSpan w:val="2"/>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tLeast"/>
              <w:ind w:firstLine="0" w:firstLineChars="0"/>
              <w:jc w:val="center"/>
              <w:rPr>
                <w:rFonts w:hAnsi="宋体"/>
                <w:kern w:val="0"/>
                <w:sz w:val="21"/>
              </w:rPr>
            </w:pPr>
            <w:r>
              <w:rPr>
                <w:rFonts w:hint="eastAsia" w:hAnsi="宋体"/>
                <w:kern w:val="0"/>
                <w:sz w:val="21"/>
              </w:rPr>
              <w:t>对厂区进行绿化，种植适合当地生态环境的植物</w:t>
            </w:r>
          </w:p>
        </w:tc>
        <w:tc>
          <w:tcPr>
            <w:tcW w:w="2448" w:type="dxa"/>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dotted" w:color="auto" w:sz="4" w:space="0"/>
              <w:right w:val="dotted" w:color="auto" w:sz="4" w:space="0"/>
            </w:tcBorders>
            <w:vAlign w:val="center"/>
          </w:tcPr>
          <w:p>
            <w:pPr>
              <w:spacing w:line="240" w:lineRule="atLeast"/>
              <w:ind w:firstLine="0" w:firstLineChars="0"/>
              <w:jc w:val="center"/>
              <w:rPr>
                <w:sz w:val="21"/>
              </w:rPr>
            </w:pPr>
            <w:r>
              <w:rPr>
                <w:rFonts w:hint="eastAsia"/>
                <w:sz w:val="21"/>
              </w:rPr>
              <w:t>六</w:t>
            </w:r>
          </w:p>
        </w:tc>
        <w:tc>
          <w:tcPr>
            <w:tcW w:w="13120" w:type="dxa"/>
            <w:gridSpan w:val="6"/>
            <w:tcBorders>
              <w:top w:val="dotted" w:color="auto" w:sz="4" w:space="0"/>
              <w:left w:val="dotted" w:color="auto" w:sz="4" w:space="0"/>
              <w:bottom w:val="dotted" w:color="auto" w:sz="4" w:space="0"/>
              <w:right w:val="nil"/>
            </w:tcBorders>
            <w:vAlign w:val="center"/>
          </w:tcPr>
          <w:p>
            <w:pPr>
              <w:spacing w:line="240" w:lineRule="atLeast"/>
              <w:ind w:firstLine="0" w:firstLineChars="0"/>
              <w:jc w:val="center"/>
              <w:rPr>
                <w:sz w:val="21"/>
              </w:rPr>
            </w:pPr>
            <w:r>
              <w:rPr>
                <w:rFonts w:hint="eastAsia"/>
                <w:sz w:val="21"/>
              </w:rPr>
              <w:t>环境管理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098" w:type="dxa"/>
            <w:tcBorders>
              <w:top w:val="dotted" w:color="auto" w:sz="4" w:space="0"/>
              <w:left w:val="nil"/>
              <w:bottom w:val="single" w:color="auto" w:sz="12" w:space="0"/>
              <w:right w:val="dotted" w:color="auto" w:sz="4" w:space="0"/>
            </w:tcBorders>
            <w:vAlign w:val="center"/>
          </w:tcPr>
          <w:p>
            <w:pPr>
              <w:spacing w:line="240" w:lineRule="atLeast"/>
              <w:ind w:firstLine="0" w:firstLineChars="0"/>
              <w:jc w:val="center"/>
              <w:rPr>
                <w:sz w:val="21"/>
              </w:rPr>
            </w:pPr>
            <w:r>
              <w:rPr>
                <w:sz w:val="21"/>
              </w:rPr>
              <w:t>1</w:t>
            </w:r>
          </w:p>
        </w:tc>
        <w:tc>
          <w:tcPr>
            <w:tcW w:w="13120" w:type="dxa"/>
            <w:gridSpan w:val="6"/>
            <w:tcBorders>
              <w:top w:val="dotted" w:color="auto" w:sz="4" w:space="0"/>
              <w:left w:val="dotted" w:color="auto" w:sz="4" w:space="0"/>
              <w:bottom w:val="single" w:color="auto" w:sz="12" w:space="0"/>
              <w:right w:val="nil"/>
            </w:tcBorders>
            <w:vAlign w:val="center"/>
          </w:tcPr>
          <w:p>
            <w:pPr>
              <w:spacing w:line="240" w:lineRule="atLeast"/>
              <w:ind w:firstLine="0" w:firstLineChars="0"/>
              <w:jc w:val="center"/>
              <w:rPr>
                <w:sz w:val="21"/>
              </w:rPr>
            </w:pPr>
            <w:r>
              <w:rPr>
                <w:rFonts w:hint="eastAsia"/>
                <w:sz w:val="21"/>
              </w:rPr>
              <w:t>专人分管并配备专职环保人员制定相关的环境管理制度、环境风险应急预案等。</w:t>
            </w:r>
          </w:p>
        </w:tc>
      </w:tr>
    </w:tbl>
    <w:p>
      <w:pPr>
        <w:ind w:firstLine="480"/>
      </w:pPr>
    </w:p>
    <w:p>
      <w:pPr>
        <w:widowControl/>
        <w:ind w:firstLine="460"/>
        <w:jc w:val="left"/>
        <w:rPr>
          <w:rFonts w:ascii="宋体e眠副浡渀." w:hAnsi="Courier New" w:eastAsia="宋体e眠副浡渀." w:cs="宋体e眠副浡渀."/>
          <w:kern w:val="0"/>
          <w:sz w:val="23"/>
          <w:szCs w:val="23"/>
        </w:rPr>
      </w:pPr>
    </w:p>
    <w:p>
      <w:pPr>
        <w:widowControl/>
        <w:ind w:firstLine="460"/>
        <w:jc w:val="left"/>
        <w:rPr>
          <w:rFonts w:ascii="宋体e眠副浡渀." w:hAnsi="Courier New" w:eastAsia="宋体e眠副浡渀." w:cs="宋体e眠副浡渀."/>
          <w:kern w:val="0"/>
          <w:sz w:val="23"/>
          <w:szCs w:val="23"/>
        </w:rPr>
      </w:pPr>
    </w:p>
    <w:p>
      <w:pPr>
        <w:widowControl/>
        <w:ind w:firstLine="460"/>
        <w:jc w:val="left"/>
        <w:rPr>
          <w:rFonts w:ascii="宋体e眠副浡渀." w:hAnsi="Courier New" w:eastAsia="宋体e眠副浡渀." w:cs="宋体e眠副浡渀."/>
          <w:kern w:val="0"/>
          <w:sz w:val="23"/>
          <w:szCs w:val="23"/>
        </w:rPr>
        <w:sectPr>
          <w:pgSz w:w="16838" w:h="11906" w:orient="landscape"/>
          <w:pgMar w:top="1134" w:right="1418" w:bottom="1134" w:left="1418" w:header="850" w:footer="850" w:gutter="0"/>
          <w:cols w:space="720" w:num="1"/>
          <w:docGrid w:linePitch="326" w:charSpace="0"/>
        </w:sectPr>
      </w:pPr>
    </w:p>
    <w:p>
      <w:pPr>
        <w:pStyle w:val="3"/>
      </w:pPr>
      <w:bookmarkStart w:id="825" w:name="_Toc13760338"/>
      <w:bookmarkStart w:id="826" w:name="_Toc3282203"/>
      <w:r>
        <w:rPr>
          <w:rFonts w:hint="eastAsia"/>
        </w:rPr>
        <w:t>10.结论</w:t>
      </w:r>
      <w:bookmarkEnd w:id="825"/>
      <w:bookmarkEnd w:id="826"/>
    </w:p>
    <w:p>
      <w:pPr>
        <w:pStyle w:val="4"/>
      </w:pPr>
      <w:bookmarkStart w:id="827" w:name="_Toc3282204"/>
      <w:bookmarkStart w:id="828" w:name="_Toc13760339"/>
      <w:r>
        <w:rPr>
          <w:rFonts w:hint="eastAsia"/>
        </w:rPr>
        <w:t>10.1项目</w:t>
      </w:r>
      <w:bookmarkEnd w:id="827"/>
      <w:r>
        <w:rPr>
          <w:rFonts w:hint="eastAsia"/>
        </w:rPr>
        <w:t>背景及概况</w:t>
      </w:r>
      <w:bookmarkEnd w:id="828"/>
    </w:p>
    <w:p>
      <w:pPr>
        <w:pStyle w:val="601"/>
        <w:ind w:firstLine="480"/>
        <w:rPr>
          <w:rFonts w:ascii="Times New Roman" w:hAnsi="Times New Roman" w:cs="Times New Roman"/>
        </w:rPr>
      </w:pPr>
      <w:bookmarkStart w:id="829" w:name="_Toc3282205"/>
      <w:r>
        <w:rPr>
          <w:rFonts w:hint="eastAsia" w:cs="Times New Roman"/>
        </w:rPr>
        <w:t>本项目为改扩建项目，项目所在地交通运输便利，总图布局合理。</w:t>
      </w:r>
    </w:p>
    <w:p>
      <w:pPr>
        <w:pStyle w:val="601"/>
        <w:ind w:firstLine="480"/>
        <w:rPr>
          <w:rFonts w:ascii="Times New Roman" w:hAnsi="Times New Roman" w:cs="Times New Roman"/>
        </w:rPr>
      </w:pPr>
      <w:r>
        <w:rPr>
          <w:rFonts w:hint="eastAsia"/>
          <w:lang w:val="zh-CN"/>
        </w:rPr>
        <w:t>本项目改扩建前全厂总投资为</w:t>
      </w:r>
      <w:r>
        <w:rPr>
          <w:rFonts w:hint="eastAsia"/>
        </w:rPr>
        <w:t>11628.80</w:t>
      </w:r>
      <w:r>
        <w:t>×10</w:t>
      </w:r>
      <w:r>
        <w:rPr>
          <w:vertAlign w:val="superscript"/>
        </w:rPr>
        <w:t>4</w:t>
      </w:r>
      <w:r>
        <w:rPr>
          <w:rFonts w:hint="eastAsia"/>
        </w:rPr>
        <w:t>元</w:t>
      </w:r>
      <w:r>
        <w:rPr>
          <w:rFonts w:hint="eastAsia"/>
          <w:lang w:val="zh-CN"/>
        </w:rPr>
        <w:t>，</w:t>
      </w:r>
      <w:r>
        <w:rPr>
          <w:rFonts w:hint="eastAsia"/>
        </w:rPr>
        <w:t>其中环保设施投资3790.00</w:t>
      </w:r>
      <w:r>
        <w:t>×10</w:t>
      </w:r>
      <w:r>
        <w:rPr>
          <w:vertAlign w:val="superscript"/>
        </w:rPr>
        <w:t>4</w:t>
      </w:r>
      <w:r>
        <w:rPr>
          <w:rFonts w:hint="eastAsia"/>
        </w:rPr>
        <w:t>元，环保设施投资占工程总投资32.59</w:t>
      </w:r>
      <w:r>
        <w:t>%</w:t>
      </w:r>
      <w:r>
        <w:rPr>
          <w:rFonts w:hint="eastAsia"/>
        </w:rPr>
        <w:t>；</w:t>
      </w:r>
      <w:r>
        <w:rPr>
          <w:rFonts w:hint="eastAsia"/>
          <w:lang w:val="zh-CN"/>
        </w:rPr>
        <w:t>本项目改扩建后全厂总投资增加</w:t>
      </w:r>
      <w:r>
        <w:rPr>
          <w:rFonts w:hint="eastAsia"/>
        </w:rPr>
        <w:t>3528.70</w:t>
      </w:r>
      <w:r>
        <w:t>×10</w:t>
      </w:r>
      <w:r>
        <w:rPr>
          <w:vertAlign w:val="superscript"/>
        </w:rPr>
        <w:t>4</w:t>
      </w:r>
      <w:r>
        <w:rPr>
          <w:rFonts w:hint="eastAsia"/>
        </w:rPr>
        <w:t>元</w:t>
      </w:r>
      <w:r>
        <w:rPr>
          <w:rFonts w:hint="eastAsia"/>
          <w:lang w:val="zh-CN"/>
        </w:rPr>
        <w:t>，</w:t>
      </w:r>
      <w:r>
        <w:rPr>
          <w:rFonts w:hint="eastAsia"/>
        </w:rPr>
        <w:t>其中环保设施投资增加为1090.00</w:t>
      </w:r>
      <w:r>
        <w:t>×10</w:t>
      </w:r>
      <w:r>
        <w:rPr>
          <w:vertAlign w:val="superscript"/>
        </w:rPr>
        <w:t>4</w:t>
      </w:r>
      <w:r>
        <w:rPr>
          <w:rFonts w:hint="eastAsia"/>
        </w:rPr>
        <w:t>元，环保设施投资占工程总投资30.89</w:t>
      </w:r>
      <w:r>
        <w:t>%</w:t>
      </w:r>
      <w:r>
        <w:rPr>
          <w:rFonts w:hint="eastAsia"/>
        </w:rPr>
        <w:t>。</w:t>
      </w:r>
      <w:r>
        <w:rPr>
          <w:rFonts w:hint="eastAsia" w:cs="Times New Roman"/>
        </w:rPr>
        <w:t>本项目的组成表</w:t>
      </w:r>
      <w:r>
        <w:rPr>
          <w:rFonts w:ascii="Times New Roman" w:hAnsi="Times New Roman" w:cs="Times New Roman"/>
        </w:rPr>
        <w:t>10.1</w:t>
      </w:r>
      <w:r>
        <w:rPr>
          <w:rFonts w:hint="eastAsia" w:ascii="Times New Roman" w:hAnsi="Times New Roman" w:cs="Times New Roman"/>
        </w:rPr>
        <w:t>—1</w:t>
      </w:r>
      <w:r>
        <w:rPr>
          <w:rFonts w:hint="eastAsia" w:cs="Times New Roman"/>
        </w:rPr>
        <w:t>。</w:t>
      </w:r>
    </w:p>
    <w:p>
      <w:pPr>
        <w:ind w:firstLine="480"/>
      </w:pPr>
      <w:r>
        <w:rPr>
          <w:rFonts w:hint="eastAsia"/>
        </w:rPr>
        <w:t>表</w:t>
      </w:r>
      <w:r>
        <w:t>10.1</w:t>
      </w:r>
      <w:r>
        <w:rPr>
          <w:rFonts w:hint="eastAsia"/>
        </w:rPr>
        <w:t>—</w:t>
      </w:r>
      <w:r>
        <w:t xml:space="preserve">1                 </w:t>
      </w:r>
      <w:r>
        <w:rPr>
          <w:rFonts w:hint="eastAsia"/>
        </w:rPr>
        <w:t>变更工程基本组成表</w:t>
      </w:r>
    </w:p>
    <w:tbl>
      <w:tblPr>
        <w:tblStyle w:val="88"/>
        <w:tblW w:w="963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660"/>
        <w:gridCol w:w="616"/>
        <w:gridCol w:w="719"/>
        <w:gridCol w:w="764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single" w:color="auto" w:sz="12" w:space="0"/>
              <w:left w:val="nil"/>
              <w:bottom w:val="single" w:color="auto" w:sz="12" w:space="0"/>
              <w:right w:val="dotted" w:color="auto" w:sz="4" w:space="0"/>
            </w:tcBorders>
            <w:vAlign w:val="center"/>
          </w:tcPr>
          <w:p>
            <w:pPr>
              <w:pStyle w:val="184"/>
              <w:spacing w:line="240" w:lineRule="exact"/>
              <w:jc w:val="both"/>
              <w:rPr>
                <w:rFonts w:ascii="Times New Roman"/>
                <w:color w:val="auto"/>
                <w:lang w:val="zh-CN"/>
              </w:rPr>
            </w:pPr>
            <w:r>
              <w:rPr>
                <w:rFonts w:hint="eastAsia" w:ascii="Times New Roman"/>
                <w:color w:val="auto"/>
                <w:lang w:val="zh-CN"/>
              </w:rPr>
              <w:t>序号</w:t>
            </w:r>
          </w:p>
        </w:tc>
        <w:tc>
          <w:tcPr>
            <w:tcW w:w="1335" w:type="dxa"/>
            <w:gridSpan w:val="2"/>
            <w:tcBorders>
              <w:top w:val="single" w:color="auto" w:sz="12" w:space="0"/>
              <w:left w:val="dotted" w:color="auto" w:sz="4" w:space="0"/>
              <w:bottom w:val="single" w:color="auto" w:sz="12" w:space="0"/>
              <w:right w:val="dotted" w:color="auto" w:sz="4" w:space="0"/>
            </w:tcBorders>
            <w:vAlign w:val="center"/>
          </w:tcPr>
          <w:p>
            <w:pPr>
              <w:pStyle w:val="184"/>
              <w:spacing w:line="240" w:lineRule="exact"/>
              <w:rPr>
                <w:rFonts w:ascii="Times New Roman"/>
                <w:color w:val="auto"/>
                <w:lang w:val="zh-CN"/>
              </w:rPr>
            </w:pPr>
            <w:r>
              <w:rPr>
                <w:rFonts w:hint="eastAsia" w:ascii="Times New Roman"/>
                <w:color w:val="auto"/>
              </w:rPr>
              <w:t>项目名称</w:t>
            </w:r>
          </w:p>
        </w:tc>
        <w:tc>
          <w:tcPr>
            <w:tcW w:w="7643" w:type="dxa"/>
            <w:tcBorders>
              <w:top w:val="single" w:color="auto" w:sz="12" w:space="0"/>
              <w:left w:val="dotted" w:color="auto" w:sz="4" w:space="0"/>
              <w:bottom w:val="single" w:color="auto" w:sz="12" w:space="0"/>
              <w:right w:val="nil"/>
            </w:tcBorders>
            <w:vAlign w:val="center"/>
          </w:tcPr>
          <w:p>
            <w:pPr>
              <w:pStyle w:val="184"/>
              <w:spacing w:line="240" w:lineRule="exact"/>
              <w:ind w:firstLine="602"/>
              <w:rPr>
                <w:rFonts w:ascii="Times New Roman"/>
                <w:color w:val="auto"/>
              </w:rPr>
            </w:pPr>
            <w:r>
              <w:rPr>
                <w:rFonts w:hint="eastAsia" w:ascii="Times New Roman"/>
                <w:color w:val="auto"/>
              </w:rPr>
              <w:t>建设内容及规模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single" w:color="auto" w:sz="12" w:space="0"/>
              <w:left w:val="nil"/>
              <w:bottom w:val="single" w:color="auto" w:sz="12"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w:t>
            </w:r>
          </w:p>
        </w:tc>
        <w:tc>
          <w:tcPr>
            <w:tcW w:w="8978" w:type="dxa"/>
            <w:gridSpan w:val="3"/>
            <w:tcBorders>
              <w:top w:val="single" w:color="auto" w:sz="12" w:space="0"/>
              <w:left w:val="dotted" w:color="auto" w:sz="4" w:space="0"/>
              <w:bottom w:val="single" w:color="auto" w:sz="12" w:space="0"/>
              <w:right w:val="nil"/>
            </w:tcBorders>
            <w:vAlign w:val="center"/>
          </w:tcPr>
          <w:p>
            <w:pPr>
              <w:pStyle w:val="184"/>
              <w:spacing w:line="240" w:lineRule="exact"/>
              <w:ind w:firstLine="602"/>
              <w:rPr>
                <w:rFonts w:ascii="Times New Roman"/>
                <w:color w:val="auto"/>
              </w:rPr>
            </w:pPr>
            <w:r>
              <w:rPr>
                <w:rFonts w:hint="eastAsia" w:ascii="Times New Roman"/>
                <w:color w:val="auto"/>
                <w:lang w:val="zh-CN"/>
              </w:rPr>
              <w:t>主体工程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1.1</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hint="eastAsia" w:cs="Times New Roman"/>
                <w:kern w:val="2"/>
                <w:lang w:eastAsia="zh-CN"/>
              </w:rPr>
              <w:t>物化车间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cs="Times New Roman"/>
                <w:sz w:val="21"/>
              </w:rPr>
              <w:t>废酸碱处理系统主要包括</w:t>
            </w:r>
            <w:r>
              <w:rPr>
                <w:rFonts w:ascii="Times New Roman" w:hAnsi="Times New Roman" w:cs="Times New Roman"/>
                <w:sz w:val="21"/>
              </w:rPr>
              <w:t>1</w:t>
            </w:r>
            <w:r>
              <w:rPr>
                <w:rFonts w:hint="eastAsia" w:ascii="Times New Roman" w:hAnsi="Times New Roman" w:cs="Times New Roman"/>
                <w:sz w:val="21"/>
              </w:rPr>
              <w:t>套中和反应釜、澄清池、搅拌机、输送泵、板框压滤机、盛装容器等设备，废碱的处理能力为</w:t>
            </w:r>
            <w:r>
              <w:rPr>
                <w:rFonts w:ascii="Times New Roman" w:hAnsi="Times New Roman" w:cs="Times New Roman"/>
                <w:sz w:val="21"/>
              </w:rPr>
              <w:t>10000t/a</w:t>
            </w:r>
            <w:r>
              <w:rPr>
                <w:rFonts w:hint="eastAsia" w:ascii="Times New Roman" w:hAnsi="Times New Roman" w:cs="Times New Roman"/>
                <w:sz w:val="21"/>
              </w:rPr>
              <w:t>，废酸的处理能力为</w:t>
            </w:r>
            <w:r>
              <w:rPr>
                <w:rFonts w:ascii="Times New Roman" w:hAnsi="Times New Roman" w:cs="Times New Roman"/>
                <w:sz w:val="21"/>
              </w:rPr>
              <w:t>10000t/a</w:t>
            </w:r>
            <w:r>
              <w:rPr>
                <w:rFonts w:hint="eastAsia" w:ascii="Times New Roman" w:hAnsi="Times New Roman" w:cs="Times New Roman"/>
                <w:sz w:val="21"/>
              </w:rPr>
              <w:t>。</w:t>
            </w:r>
          </w:p>
          <w:p>
            <w:pPr>
              <w:pStyle w:val="183"/>
              <w:spacing w:line="240" w:lineRule="exact"/>
              <w:ind w:firstLine="0" w:firstLineChars="0"/>
              <w:jc w:val="left"/>
              <w:rPr>
                <w:rFonts w:ascii="Times New Roman" w:hAnsi="Times New Roman" w:cs="Times New Roman"/>
                <w:sz w:val="21"/>
              </w:rPr>
            </w:pPr>
            <w:r>
              <w:rPr>
                <w:rFonts w:hint="eastAsia" w:ascii="Times New Roman" w:hAnsi="Times New Roman" w:cs="Times New Roman"/>
                <w:sz w:val="21"/>
              </w:rPr>
              <w:t>废乳化液处理系统主要包括</w:t>
            </w:r>
            <w:r>
              <w:rPr>
                <w:rFonts w:ascii="Times New Roman" w:hAnsi="Times New Roman" w:cs="Times New Roman"/>
                <w:sz w:val="21"/>
              </w:rPr>
              <w:t>1</w:t>
            </w:r>
            <w:r>
              <w:rPr>
                <w:rFonts w:hint="eastAsia" w:ascii="Times New Roman" w:hAnsi="Times New Roman" w:cs="Times New Roman"/>
                <w:sz w:val="21"/>
              </w:rPr>
              <w:t>套</w:t>
            </w:r>
            <w:r>
              <w:rPr>
                <w:rFonts w:hint="eastAsia" w:ascii="Times New Roman" w:cs="Times New Roman"/>
                <w:sz w:val="21"/>
              </w:rPr>
              <w:t>涡凹气浮机</w:t>
            </w:r>
            <w:r>
              <w:rPr>
                <w:rFonts w:hint="eastAsia" w:ascii="Times New Roman" w:hAnsi="Times New Roman" w:cs="Times New Roman"/>
                <w:sz w:val="21"/>
              </w:rPr>
              <w:t>、</w:t>
            </w:r>
            <w:r>
              <w:rPr>
                <w:rFonts w:ascii="Times New Roman" w:hAnsi="Times New Roman" w:cs="Times New Roman"/>
                <w:sz w:val="21"/>
              </w:rPr>
              <w:t>PAC</w:t>
            </w:r>
            <w:r>
              <w:rPr>
                <w:rFonts w:hint="eastAsia" w:ascii="Times New Roman" w:hAnsi="Times New Roman" w:cs="Times New Roman"/>
                <w:sz w:val="21"/>
              </w:rPr>
              <w:t>加药装置、</w:t>
            </w:r>
            <w:r>
              <w:rPr>
                <w:rFonts w:ascii="Times New Roman" w:hAnsi="Times New Roman" w:cs="Times New Roman"/>
                <w:sz w:val="21"/>
              </w:rPr>
              <w:t>PAM</w:t>
            </w:r>
            <w:r>
              <w:rPr>
                <w:rFonts w:hint="eastAsia" w:ascii="Times New Roman" w:hAnsi="Times New Roman" w:cs="Times New Roman"/>
                <w:sz w:val="21"/>
              </w:rPr>
              <w:t>加药装置、隔油池、沉淀池等设备，废乳化液处理能力为</w:t>
            </w:r>
            <w:r>
              <w:rPr>
                <w:rFonts w:ascii="Times New Roman" w:hAnsi="Times New Roman" w:cs="Times New Roman"/>
                <w:sz w:val="21"/>
              </w:rPr>
              <w:t>3000t/a</w:t>
            </w:r>
            <w:r>
              <w:rPr>
                <w:rFonts w:hint="eastAsia" w:ascii="Times New Roman" w:hAnsi="Times New Roman" w:cs="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1.2</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hint="eastAsia" w:cs="Times New Roman"/>
                <w:kern w:val="2"/>
                <w:lang w:eastAsia="zh-CN"/>
              </w:rPr>
              <w:t>焚烧车间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cs="Times New Roman"/>
                <w:sz w:val="21"/>
              </w:rPr>
              <w:t>主要包括暂存及预处理、配伍及进料系统，灰、渣输送系统，2套回转窑</w:t>
            </w:r>
            <w:r>
              <w:rPr>
                <w:rFonts w:ascii="Times New Roman" w:hAnsi="Times New Roman" w:cs="Times New Roman"/>
                <w:sz w:val="21"/>
              </w:rPr>
              <w:t>+</w:t>
            </w:r>
            <w:r>
              <w:rPr>
                <w:rFonts w:hint="eastAsia" w:ascii="Times New Roman" w:hAnsi="Times New Roman" w:cs="Times New Roman"/>
                <w:sz w:val="21"/>
              </w:rPr>
              <w:t>二燃室焚烧系统</w:t>
            </w:r>
            <w:r>
              <w:rPr>
                <w:rFonts w:ascii="Times New Roman" w:hAnsi="Times New Roman" w:cs="Times New Roman"/>
                <w:sz w:val="21"/>
              </w:rPr>
              <w:t>+SNCR</w:t>
            </w:r>
            <w:r>
              <w:rPr>
                <w:rFonts w:hint="eastAsia" w:ascii="Times New Roman" w:hAnsi="Times New Roman" w:cs="Times New Roman"/>
                <w:sz w:val="21"/>
              </w:rPr>
              <w:t>脱硝系统</w:t>
            </w:r>
            <w:r>
              <w:rPr>
                <w:rFonts w:ascii="Times New Roman" w:hAnsi="Times New Roman" w:cs="Times New Roman"/>
                <w:sz w:val="21"/>
              </w:rPr>
              <w:t>+</w:t>
            </w:r>
            <w:r>
              <w:rPr>
                <w:rFonts w:hint="eastAsia" w:ascii="Times New Roman" w:hAnsi="Times New Roman" w:cs="Times New Roman"/>
                <w:sz w:val="21"/>
              </w:rPr>
              <w:t>余热锅炉</w:t>
            </w:r>
            <w:r>
              <w:rPr>
                <w:rFonts w:ascii="Times New Roman" w:hAnsi="Times New Roman" w:cs="Times New Roman"/>
                <w:sz w:val="21"/>
              </w:rPr>
              <w:t>+</w:t>
            </w:r>
            <w:r>
              <w:rPr>
                <w:rFonts w:hint="eastAsia" w:ascii="Times New Roman" w:hAnsi="Times New Roman" w:cs="Times New Roman"/>
                <w:sz w:val="21"/>
              </w:rPr>
              <w:t>急冷脱酸塔</w:t>
            </w:r>
            <w:r>
              <w:rPr>
                <w:rFonts w:ascii="Times New Roman" w:hAnsi="Times New Roman" w:cs="Times New Roman"/>
                <w:sz w:val="21"/>
              </w:rPr>
              <w:t>+</w:t>
            </w:r>
            <w:r>
              <w:rPr>
                <w:rFonts w:hint="eastAsia" w:ascii="Times New Roman" w:hAnsi="Times New Roman" w:cs="Times New Roman"/>
                <w:sz w:val="21"/>
              </w:rPr>
              <w:t>干式反应器</w:t>
            </w:r>
            <w:r>
              <w:rPr>
                <w:rFonts w:ascii="Times New Roman" w:hAnsi="Times New Roman" w:cs="Times New Roman"/>
                <w:sz w:val="21"/>
              </w:rPr>
              <w:t>+</w:t>
            </w:r>
            <w:r>
              <w:rPr>
                <w:rFonts w:hint="eastAsia" w:ascii="Times New Roman" w:hAnsi="Times New Roman" w:cs="Times New Roman"/>
                <w:sz w:val="21"/>
              </w:rPr>
              <w:t>袋式除尘器</w:t>
            </w:r>
            <w:r>
              <w:rPr>
                <w:rFonts w:ascii="Times New Roman" w:hAnsi="Times New Roman" w:cs="Times New Roman"/>
                <w:sz w:val="21"/>
              </w:rPr>
              <w:t>+</w:t>
            </w:r>
            <w:r>
              <w:rPr>
                <w:rFonts w:hint="eastAsia" w:ascii="Times New Roman" w:hAnsi="Times New Roman" w:cs="Times New Roman"/>
                <w:sz w:val="21"/>
              </w:rPr>
              <w:t>喷淋洗涤塔</w:t>
            </w:r>
            <w:r>
              <w:rPr>
                <w:rFonts w:ascii="Times New Roman" w:hAnsi="Times New Roman" w:cs="Times New Roman"/>
                <w:sz w:val="21"/>
              </w:rPr>
              <w:t>+</w:t>
            </w:r>
            <w:r>
              <w:rPr>
                <w:rFonts w:hint="eastAsia" w:ascii="Times New Roman" w:hAnsi="Times New Roman" w:cs="Times New Roman"/>
                <w:sz w:val="21"/>
              </w:rPr>
              <w:t>湿电除尘+引风排烟系统等，处理能力为</w:t>
            </w:r>
            <w:r>
              <w:rPr>
                <w:rFonts w:ascii="Times New Roman" w:hAnsi="Times New Roman" w:cs="Times New Roman"/>
                <w:sz w:val="21"/>
              </w:rPr>
              <w:t>100t/d</w:t>
            </w:r>
            <w:r>
              <w:rPr>
                <w:rFonts w:hint="eastAsia" w:ascii="Times New Roman" w:hAnsi="Times New Roman" w:cs="Times New Roman"/>
                <w:sz w:val="21"/>
              </w:rPr>
              <w:t>。分期建设。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1.3</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8"/>
              <w:spacing w:before="0" w:after="0" w:line="240" w:lineRule="exact"/>
              <w:rPr>
                <w:rFonts w:cs="Times New Roman"/>
                <w:kern w:val="2"/>
                <w:lang w:eastAsia="zh-CN"/>
              </w:rPr>
            </w:pPr>
            <w:r>
              <w:rPr>
                <w:rFonts w:hint="eastAsia" w:cs="Times New Roman"/>
                <w:kern w:val="2"/>
                <w:lang w:eastAsia="zh-CN"/>
              </w:rPr>
              <w:t>固化车间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cs="Times New Roman"/>
                <w:sz w:val="21"/>
              </w:rPr>
              <w:t>主要包括搅拌机、成型机、单斗提升机及养护设施等，处理能力为9</w:t>
            </w:r>
            <w:r>
              <w:rPr>
                <w:rFonts w:ascii="Times New Roman" w:hAnsi="Times New Roman" w:cs="Times New Roman"/>
                <w:sz w:val="21"/>
              </w:rPr>
              <w:t>0t/d</w:t>
            </w:r>
            <w:r>
              <w:rPr>
                <w:rFonts w:hint="eastAsia" w:ascii="Times New Roman" w:hAnsi="Times New Roman" w:cs="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single" w:color="auto" w:sz="12" w:space="0"/>
              <w:left w:val="nil"/>
              <w:bottom w:val="single" w:color="auto" w:sz="12"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w:t>
            </w:r>
          </w:p>
        </w:tc>
        <w:tc>
          <w:tcPr>
            <w:tcW w:w="8978" w:type="dxa"/>
            <w:gridSpan w:val="3"/>
            <w:tcBorders>
              <w:top w:val="single" w:color="auto" w:sz="12" w:space="0"/>
              <w:left w:val="dotted" w:color="auto" w:sz="4" w:space="0"/>
              <w:bottom w:val="single" w:color="auto" w:sz="12" w:space="0"/>
              <w:right w:val="nil"/>
            </w:tcBorders>
            <w:vAlign w:val="center"/>
          </w:tcPr>
          <w:p>
            <w:pPr>
              <w:pStyle w:val="184"/>
              <w:spacing w:line="240" w:lineRule="exact"/>
              <w:ind w:firstLine="602"/>
              <w:rPr>
                <w:rFonts w:ascii="Times New Roman"/>
                <w:color w:val="auto"/>
                <w:lang w:val="zh-CN"/>
              </w:rPr>
            </w:pPr>
            <w:r>
              <w:rPr>
                <w:rFonts w:hint="eastAsia" w:ascii="Times New Roman"/>
                <w:color w:val="auto"/>
                <w:lang w:val="zh-CN"/>
              </w:rPr>
              <w:t>公用和辅助工程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2.1</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3"/>
              <w:spacing w:line="240" w:lineRule="exact"/>
              <w:ind w:firstLine="0" w:firstLineChars="0"/>
              <w:jc w:val="center"/>
              <w:rPr>
                <w:rFonts w:ascii="Times New Roman" w:hAnsi="Times New Roman" w:cs="Times New Roman"/>
                <w:sz w:val="21"/>
              </w:rPr>
            </w:pPr>
            <w:r>
              <w:rPr>
                <w:rFonts w:hint="eastAsia" w:ascii="Times New Roman" w:hAnsi="Times New Roman" w:cs="Times New Roman"/>
                <w:sz w:val="21"/>
              </w:rPr>
              <w:t>供水</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cs="Times New Roman"/>
                <w:sz w:val="21"/>
              </w:rPr>
              <w:t>全厂用水由内蒙古阿拉善腾格里经济技术开发区供水工程统一集中供给。</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4"/>
              <w:spacing w:line="240" w:lineRule="exact"/>
              <w:rPr>
                <w:rFonts w:ascii="Times New Roman"/>
                <w:color w:val="auto"/>
                <w:lang w:val="zh-CN"/>
              </w:rPr>
            </w:pPr>
            <w:r>
              <w:rPr>
                <w:rFonts w:ascii="Times New Roman"/>
                <w:color w:val="auto"/>
                <w:lang w:val="zh-CN"/>
              </w:rPr>
              <w:t>2.2</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spacing w:line="240" w:lineRule="exact"/>
              <w:ind w:firstLine="0" w:firstLineChars="0"/>
              <w:jc w:val="center"/>
              <w:rPr>
                <w:sz w:val="21"/>
              </w:rPr>
            </w:pPr>
            <w:r>
              <w:rPr>
                <w:rFonts w:hint="eastAsia"/>
                <w:sz w:val="21"/>
              </w:rPr>
              <w:t>排水</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rPr>
                <w:sz w:val="21"/>
              </w:rPr>
            </w:pPr>
            <w:r>
              <w:rPr>
                <w:rFonts w:hint="eastAsia" w:cs="Times New Roman"/>
                <w:sz w:val="21"/>
              </w:rPr>
              <w:t>本项目物化车间澄清池排水和沉淀池废水经</w:t>
            </w:r>
            <w:r>
              <w:rPr>
                <w:rFonts w:cs="Times New Roman"/>
                <w:sz w:val="21"/>
              </w:rPr>
              <w:t>“</w:t>
            </w:r>
            <w:r>
              <w:rPr>
                <w:rFonts w:hint="eastAsia" w:cs="Times New Roman"/>
                <w:sz w:val="21"/>
              </w:rPr>
              <w:t>絮凝沉淀</w:t>
            </w:r>
            <w:r>
              <w:rPr>
                <w:rFonts w:cs="Times New Roman"/>
                <w:sz w:val="21"/>
              </w:rPr>
              <w:t>”</w:t>
            </w:r>
            <w:r>
              <w:rPr>
                <w:rFonts w:hint="eastAsia" w:cs="Times New Roman"/>
                <w:sz w:val="21"/>
              </w:rPr>
              <w:t>处理后排水、焚烧车间喷淋洗涤塔排水由本车间污水处理模块经</w:t>
            </w:r>
            <w:r>
              <w:rPr>
                <w:rFonts w:cs="Times New Roman"/>
                <w:sz w:val="21"/>
              </w:rPr>
              <w:t>“</w:t>
            </w:r>
            <w:r>
              <w:rPr>
                <w:rFonts w:hint="eastAsia" w:cs="Times New Roman"/>
                <w:sz w:val="21"/>
              </w:rPr>
              <w:t>絮凝沉淀</w:t>
            </w:r>
            <w:r>
              <w:rPr>
                <w:rFonts w:cs="Times New Roman"/>
                <w:sz w:val="21"/>
              </w:rPr>
              <w:t>”</w:t>
            </w:r>
            <w:r>
              <w:rPr>
                <w:rFonts w:hint="eastAsia" w:cs="Times New Roman"/>
                <w:sz w:val="21"/>
              </w:rPr>
              <w:t>处理后排水、冲洗废水、安全填埋场渗滤液、物化车间酸雾吸收塔排水、循环水系统排水、余热锅炉排水及软化水系统排水、污水处理站排浓水进污水处理站采用</w:t>
            </w:r>
            <w:r>
              <w:rPr>
                <w:rFonts w:cs="Times New Roman"/>
                <w:sz w:val="21"/>
              </w:rPr>
              <w:t>“Fenton+</w:t>
            </w:r>
            <w:r>
              <w:rPr>
                <w:rFonts w:hint="eastAsia" w:cs="Times New Roman"/>
                <w:sz w:val="21"/>
              </w:rPr>
              <w:t>强制循环蒸发</w:t>
            </w:r>
            <w:r>
              <w:rPr>
                <w:rFonts w:cs="Times New Roman"/>
                <w:sz w:val="21"/>
              </w:rPr>
              <w:t>”</w:t>
            </w:r>
            <w:r>
              <w:rPr>
                <w:rFonts w:hint="eastAsia" w:cs="Times New Roman"/>
                <w:sz w:val="21"/>
              </w:rPr>
              <w:t>的方法进行处理，处理后的冷凝液与化验用水以及生活污水送至污水处理站，经</w:t>
            </w:r>
            <w:r>
              <w:rPr>
                <w:rFonts w:cs="Times New Roman"/>
                <w:sz w:val="21"/>
              </w:rPr>
              <w:t>“</w:t>
            </w:r>
            <w:r>
              <w:rPr>
                <w:rFonts w:hint="eastAsia" w:cs="Times New Roman"/>
                <w:sz w:val="21"/>
              </w:rPr>
              <w:t>絮凝沉淀</w:t>
            </w:r>
            <w:r>
              <w:rPr>
                <w:rFonts w:cs="Times New Roman"/>
                <w:sz w:val="21"/>
              </w:rPr>
              <w:t>+</w:t>
            </w:r>
            <w:r>
              <w:rPr>
                <w:rFonts w:hint="eastAsia" w:cs="Times New Roman"/>
                <w:sz w:val="21"/>
              </w:rPr>
              <w:t>水解酸化</w:t>
            </w:r>
            <w:r>
              <w:rPr>
                <w:rFonts w:cs="Times New Roman"/>
                <w:sz w:val="21"/>
              </w:rPr>
              <w:t>+MBR+</w:t>
            </w:r>
            <w:r>
              <w:rPr>
                <w:rFonts w:hint="eastAsia" w:cs="Times New Roman"/>
                <w:sz w:val="21"/>
              </w:rPr>
              <w:t>回用系统</w:t>
            </w:r>
            <w:r>
              <w:rPr>
                <w:rFonts w:cs="Times New Roman"/>
                <w:sz w:val="21"/>
              </w:rPr>
              <w:t>”</w:t>
            </w:r>
            <w:r>
              <w:rPr>
                <w:rFonts w:hint="eastAsia" w:cs="Times New Roman"/>
                <w:sz w:val="21"/>
              </w:rPr>
              <w:t>处理后，出水部分回用至固化车间，其余回用至焚烧车间，浓水送至固化车间。</w:t>
            </w:r>
            <w:r>
              <w:rPr>
                <w:rFonts w:hint="eastAsia" w:cs="Times New Roman"/>
                <w:sz w:val="21"/>
                <w:lang w:val="pt-BR"/>
              </w:rPr>
              <w:t>本项目处理后的废水全部回用于各生产工段，全厂无废水外排。</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2.3</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供汽及供热</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rPr>
                <w:rFonts w:cs="Times New Roman"/>
                <w:sz w:val="21"/>
              </w:rPr>
            </w:pPr>
            <w:r>
              <w:rPr>
                <w:rFonts w:hint="eastAsia" w:cs="Times New Roman"/>
                <w:sz w:val="21"/>
              </w:rPr>
              <w:t>焚烧车间建设</w:t>
            </w:r>
            <w:r>
              <w:rPr>
                <w:rFonts w:cs="Times New Roman"/>
                <w:sz w:val="21"/>
              </w:rPr>
              <w:t>1</w:t>
            </w:r>
            <w:r>
              <w:rPr>
                <w:rFonts w:hint="eastAsia" w:cs="Times New Roman"/>
                <w:sz w:val="21"/>
              </w:rPr>
              <w:t>台余热锅炉，向危废综合处置厂全厂提供蒸汽及供热，余热锅炉产生蒸汽为</w:t>
            </w:r>
            <w:r>
              <w:rPr>
                <w:rFonts w:cs="Times New Roman"/>
                <w:sz w:val="21"/>
              </w:rPr>
              <w:t>0.80MPa</w:t>
            </w:r>
            <w:r>
              <w:rPr>
                <w:rFonts w:hint="eastAsia" w:cs="Times New Roman"/>
                <w:sz w:val="21"/>
              </w:rPr>
              <w:t>、</w:t>
            </w:r>
            <w:r>
              <w:rPr>
                <w:rFonts w:cs="Times New Roman"/>
                <w:sz w:val="21"/>
              </w:rPr>
              <w:t>180</w:t>
            </w:r>
            <w:r>
              <w:rPr>
                <w:rFonts w:hint="eastAsia" w:ascii="宋体" w:hAnsi="宋体" w:cs="宋体"/>
                <w:sz w:val="21"/>
              </w:rPr>
              <w:t>℃</w:t>
            </w:r>
            <w:r>
              <w:rPr>
                <w:rFonts w:hint="eastAsia" w:cs="Times New Roman"/>
                <w:sz w:val="21"/>
              </w:rPr>
              <w:t>，产汽量为</w:t>
            </w:r>
            <w:r>
              <w:rPr>
                <w:rFonts w:cs="Times New Roman"/>
                <w:sz w:val="21"/>
              </w:rPr>
              <w:t>5t/h</w:t>
            </w:r>
            <w:r>
              <w:rPr>
                <w:rFonts w:hint="eastAsia" w:cs="Times New Roman"/>
                <w:sz w:val="21"/>
              </w:rPr>
              <w:t>。另外在危废综合处置厂设置一台</w:t>
            </w:r>
            <w:r>
              <w:rPr>
                <w:rFonts w:cs="Times New Roman"/>
                <w:sz w:val="21"/>
              </w:rPr>
              <w:t>5t/h</w:t>
            </w:r>
            <w:r>
              <w:rPr>
                <w:rFonts w:hint="eastAsia" w:cs="Times New Roman"/>
                <w:sz w:val="21"/>
              </w:rPr>
              <w:t>的备用电锅炉。</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2.4</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供配电</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cs="Times New Roman"/>
                <w:sz w:val="21"/>
              </w:rPr>
              <w:t>本项目全厂全年需外供电量</w:t>
            </w:r>
            <w:r>
              <w:rPr>
                <w:rFonts w:ascii="Times New Roman" w:cs="Times New Roman"/>
                <w:sz w:val="21"/>
              </w:rPr>
              <w:t>1080</w:t>
            </w:r>
            <w:r>
              <w:rPr>
                <w:rFonts w:ascii="Times New Roman" w:hAnsi="Times New Roman" w:cs="Times New Roman"/>
                <w:sz w:val="21"/>
              </w:rPr>
              <w:t>×10</w:t>
            </w:r>
            <w:r>
              <w:rPr>
                <w:rFonts w:ascii="Times New Roman" w:hAnsi="Times New Roman" w:cs="Times New Roman"/>
                <w:sz w:val="21"/>
                <w:vertAlign w:val="superscript"/>
              </w:rPr>
              <w:t>4</w:t>
            </w:r>
            <w:r>
              <w:rPr>
                <w:rFonts w:ascii="Times New Roman" w:hAnsi="Times New Roman" w:cs="Times New Roman"/>
                <w:sz w:val="21"/>
              </w:rPr>
              <w:t>kWh</w:t>
            </w:r>
            <w:r>
              <w:rPr>
                <w:rFonts w:hint="eastAsia" w:ascii="Times New Roman" w:cs="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2.5</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循环水系统</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highlight w:val="yellow"/>
              </w:rPr>
            </w:pPr>
            <w:r>
              <w:rPr>
                <w:rFonts w:hint="eastAsia" w:ascii="Times New Roman" w:cs="Times New Roman"/>
                <w:kern w:val="0"/>
                <w:sz w:val="21"/>
              </w:rPr>
              <w:t>项目循环冷却水总用水量为</w:t>
            </w:r>
            <w:r>
              <w:rPr>
                <w:rFonts w:ascii="Times New Roman" w:hAnsi="Times New Roman" w:cs="Times New Roman"/>
                <w:kern w:val="0"/>
                <w:sz w:val="21"/>
              </w:rPr>
              <w:t>600m</w:t>
            </w:r>
            <w:r>
              <w:rPr>
                <w:rFonts w:ascii="Times New Roman" w:hAnsi="Times New Roman" w:cs="Times New Roman"/>
                <w:kern w:val="0"/>
                <w:sz w:val="21"/>
                <w:vertAlign w:val="superscript"/>
              </w:rPr>
              <w:t>3</w:t>
            </w:r>
            <w:r>
              <w:rPr>
                <w:rFonts w:ascii="Times New Roman" w:hAnsi="Times New Roman" w:cs="Times New Roman"/>
                <w:kern w:val="0"/>
                <w:sz w:val="21"/>
              </w:rPr>
              <w:t>/d</w:t>
            </w:r>
            <w:r>
              <w:rPr>
                <w:rFonts w:hint="eastAsia" w:ascii="Times New Roman" w:cs="Times New Roman"/>
                <w:kern w:val="0"/>
                <w:sz w:val="21"/>
              </w:rPr>
              <w:t>，设置占地面积为</w:t>
            </w:r>
            <w:r>
              <w:rPr>
                <w:rFonts w:ascii="Times New Roman" w:cs="Times New Roman"/>
                <w:kern w:val="0"/>
                <w:sz w:val="21"/>
              </w:rPr>
              <w:t>106.47m</w:t>
            </w:r>
            <w:r>
              <w:rPr>
                <w:rFonts w:ascii="Times New Roman" w:cs="Times New Roman"/>
                <w:kern w:val="0"/>
                <w:sz w:val="21"/>
                <w:vertAlign w:val="superscript"/>
              </w:rPr>
              <w:t>2</w:t>
            </w:r>
            <w:r>
              <w:rPr>
                <w:rFonts w:hint="eastAsia" w:ascii="Times New Roman" w:cs="Times New Roman"/>
                <w:kern w:val="0"/>
                <w:sz w:val="21"/>
              </w:rPr>
              <w:t>的循环水池（容积</w:t>
            </w:r>
            <w:r>
              <w:rPr>
                <w:rFonts w:ascii="Times New Roman" w:cs="Times New Roman"/>
                <w:kern w:val="0"/>
                <w:sz w:val="21"/>
              </w:rPr>
              <w:t>873.05</w:t>
            </w:r>
            <w:r>
              <w:rPr>
                <w:rFonts w:ascii="Times New Roman" w:hAnsi="Times New Roman" w:cs="Times New Roman"/>
                <w:sz w:val="21"/>
              </w:rPr>
              <w:t xml:space="preserve"> m</w:t>
            </w:r>
            <w:r>
              <w:rPr>
                <w:rFonts w:ascii="Times New Roman" w:hAnsi="Times New Roman" w:cs="Times New Roman"/>
                <w:sz w:val="21"/>
                <w:vertAlign w:val="superscript"/>
              </w:rPr>
              <w:t>3</w:t>
            </w:r>
            <w:r>
              <w:rPr>
                <w:rFonts w:hint="eastAsia" w:asci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2.6</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软化水系统</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cs="Times New Roman"/>
                <w:sz w:val="21"/>
              </w:rPr>
              <w:t>本项目共需软化水</w:t>
            </w:r>
            <w:r>
              <w:rPr>
                <w:rFonts w:ascii="Times New Roman" w:hAnsi="Times New Roman" w:cs="Times New Roman"/>
                <w:sz w:val="21"/>
              </w:rPr>
              <w:t>147.60m</w:t>
            </w:r>
            <w:r>
              <w:rPr>
                <w:rFonts w:ascii="Times New Roman" w:hAnsi="Times New Roman" w:cs="Times New Roman"/>
                <w:sz w:val="21"/>
                <w:vertAlign w:val="superscript"/>
              </w:rPr>
              <w:t>3</w:t>
            </w:r>
            <w:r>
              <w:rPr>
                <w:rFonts w:ascii="Times New Roman" w:hAnsi="Times New Roman" w:cs="Times New Roman"/>
                <w:sz w:val="21"/>
              </w:rPr>
              <w:t>/d</w:t>
            </w:r>
            <w:r>
              <w:rPr>
                <w:rFonts w:hint="eastAsia" w:ascii="Times New Roman" w:cs="Times New Roman"/>
                <w:sz w:val="21"/>
              </w:rPr>
              <w:t>，软化水的补水量为</w:t>
            </w:r>
            <w:r>
              <w:rPr>
                <w:rFonts w:ascii="Times New Roman" w:hAnsi="Times New Roman" w:cs="Times New Roman"/>
                <w:sz w:val="21"/>
              </w:rPr>
              <w:t>22.33m</w:t>
            </w:r>
            <w:r>
              <w:rPr>
                <w:rFonts w:ascii="Times New Roman" w:hAnsi="Times New Roman" w:cs="Times New Roman"/>
                <w:sz w:val="21"/>
                <w:vertAlign w:val="superscript"/>
              </w:rPr>
              <w:t>3</w:t>
            </w:r>
            <w:r>
              <w:rPr>
                <w:rFonts w:ascii="Times New Roman" w:hAnsi="Times New Roman" w:cs="Times New Roman"/>
                <w:sz w:val="21"/>
              </w:rPr>
              <w:t>/d</w:t>
            </w:r>
            <w:r>
              <w:rPr>
                <w:rFonts w:hint="eastAsia" w:ascii="Times New Roman" w:cs="Times New Roman"/>
                <w:sz w:val="21"/>
              </w:rPr>
              <w:t>，主要用于全厂蒸汽系统。软化水系统制备能力按</w:t>
            </w:r>
            <w:r>
              <w:rPr>
                <w:rFonts w:ascii="Times New Roman" w:hAnsi="Times New Roman" w:cs="Times New Roman"/>
                <w:sz w:val="21"/>
              </w:rPr>
              <w:t>150m</w:t>
            </w:r>
            <w:r>
              <w:rPr>
                <w:rFonts w:ascii="Times New Roman" w:hAnsi="Times New Roman" w:cs="Times New Roman"/>
                <w:sz w:val="21"/>
                <w:vertAlign w:val="superscript"/>
              </w:rPr>
              <w:t>3</w:t>
            </w:r>
            <w:r>
              <w:rPr>
                <w:rFonts w:ascii="Times New Roman" w:hAnsi="Times New Roman" w:cs="Times New Roman"/>
                <w:sz w:val="21"/>
              </w:rPr>
              <w:t>/d</w:t>
            </w:r>
            <w:r>
              <w:rPr>
                <w:rFonts w:hint="eastAsia" w:ascii="Times New Roman" w:cs="Times New Roman"/>
                <w:sz w:val="21"/>
              </w:rPr>
              <w:t>。软化水系统采用超滤</w:t>
            </w:r>
            <w:r>
              <w:rPr>
                <w:rFonts w:ascii="Times New Roman" w:hAnsi="Times New Roman" w:cs="Times New Roman"/>
                <w:sz w:val="21"/>
              </w:rPr>
              <w:t>-</w:t>
            </w:r>
            <w:r>
              <w:rPr>
                <w:rFonts w:hint="eastAsia" w:ascii="Times New Roman" w:cs="Times New Roman"/>
                <w:sz w:val="21"/>
              </w:rPr>
              <w:t>反渗透工艺生产软化水。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w:t>
            </w:r>
            <w:r>
              <w:rPr>
                <w:rFonts w:hint="eastAsia" w:ascii="Times New Roman"/>
                <w:color w:val="auto"/>
              </w:rPr>
              <w:t>7</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事故水池及初期雨水收集池</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jc w:val="left"/>
              <w:textAlignment w:val="baseline"/>
              <w:rPr>
                <w:kern w:val="0"/>
                <w:sz w:val="21"/>
              </w:rPr>
            </w:pPr>
            <w:r>
              <w:rPr>
                <w:rFonts w:hint="eastAsia" w:cs="Times New Roman"/>
                <w:kern w:val="0"/>
                <w:sz w:val="21"/>
              </w:rPr>
              <w:t>危废综合处置厂全厂设置</w:t>
            </w:r>
            <w:r>
              <w:rPr>
                <w:rFonts w:cs="Times New Roman"/>
                <w:kern w:val="0"/>
                <w:sz w:val="21"/>
              </w:rPr>
              <w:t>1</w:t>
            </w:r>
            <w:r>
              <w:rPr>
                <w:rFonts w:hint="eastAsia" w:cs="Times New Roman"/>
                <w:kern w:val="0"/>
                <w:sz w:val="21"/>
              </w:rPr>
              <w:t>座占地面积为</w:t>
            </w:r>
            <w:r>
              <w:rPr>
                <w:rFonts w:cs="Times New Roman"/>
                <w:kern w:val="0"/>
                <w:sz w:val="21"/>
              </w:rPr>
              <w:t>281.25 m</w:t>
            </w:r>
            <w:r>
              <w:rPr>
                <w:rFonts w:cs="Times New Roman"/>
                <w:kern w:val="0"/>
                <w:sz w:val="21"/>
                <w:vertAlign w:val="superscript"/>
              </w:rPr>
              <w:t>2</w:t>
            </w:r>
            <w:r>
              <w:rPr>
                <w:rFonts w:hint="eastAsia" w:cs="Times New Roman"/>
                <w:sz w:val="21"/>
              </w:rPr>
              <w:t>的事故及雨水池，总容积为</w:t>
            </w:r>
            <w:r>
              <w:rPr>
                <w:rFonts w:cs="Times New Roman"/>
                <w:sz w:val="21"/>
              </w:rPr>
              <w:t>1406.25 m</w:t>
            </w:r>
            <w:r>
              <w:rPr>
                <w:rFonts w:cs="Times New Roman"/>
                <w:sz w:val="21"/>
                <w:vertAlign w:val="superscript"/>
              </w:rPr>
              <w:t>3</w:t>
            </w:r>
            <w:r>
              <w:rPr>
                <w:rFonts w:hint="eastAsia" w:cs="Times New Roman"/>
                <w:sz w:val="21"/>
              </w:rPr>
              <w:t>，</w:t>
            </w:r>
            <w:r>
              <w:rPr>
                <w:rFonts w:cs="Times New Roman"/>
                <w:sz w:val="21"/>
              </w:rPr>
              <w:t>1</w:t>
            </w:r>
            <w:r>
              <w:rPr>
                <w:rFonts w:hint="eastAsia" w:cs="Times New Roman"/>
                <w:kern w:val="0"/>
                <w:sz w:val="21"/>
              </w:rPr>
              <w:t>座容积为</w:t>
            </w:r>
            <w:r>
              <w:rPr>
                <w:rFonts w:cs="Times New Roman"/>
                <w:kern w:val="0"/>
                <w:sz w:val="21"/>
              </w:rPr>
              <w:t>500m</w:t>
            </w:r>
            <w:r>
              <w:rPr>
                <w:rFonts w:cs="Times New Roman"/>
                <w:kern w:val="0"/>
                <w:sz w:val="21"/>
                <w:vertAlign w:val="superscript"/>
              </w:rPr>
              <w:t>3</w:t>
            </w:r>
            <w:r>
              <w:rPr>
                <w:rFonts w:hint="eastAsia" w:cs="Times New Roman"/>
                <w:sz w:val="21"/>
              </w:rPr>
              <w:t>的焚烧车间废水收集池。</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vMerge w:val="restart"/>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w:t>
            </w:r>
            <w:r>
              <w:rPr>
                <w:rFonts w:hint="eastAsia" w:ascii="Times New Roman"/>
                <w:color w:val="auto"/>
              </w:rPr>
              <w:t>8</w:t>
            </w:r>
          </w:p>
        </w:tc>
        <w:tc>
          <w:tcPr>
            <w:tcW w:w="616" w:type="dxa"/>
            <w:vMerge w:val="restart"/>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ascii="Times New Roman"/>
                <w:color w:val="auto"/>
                <w:kern w:val="0"/>
              </w:rPr>
              <w:t>厂内道路</w:t>
            </w:r>
          </w:p>
        </w:tc>
        <w:tc>
          <w:tcPr>
            <w:tcW w:w="71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kern w:val="0"/>
              </w:rPr>
            </w:pPr>
            <w:r>
              <w:rPr>
                <w:rFonts w:hint="eastAsia"/>
                <w:kern w:val="0"/>
              </w:rPr>
              <w:t>主要</w:t>
            </w:r>
          </w:p>
          <w:p>
            <w:pPr>
              <w:pStyle w:val="184"/>
              <w:spacing w:line="240" w:lineRule="exact"/>
              <w:rPr>
                <w:rFonts w:ascii="Times New Roman"/>
                <w:color w:val="auto"/>
                <w:kern w:val="0"/>
              </w:rPr>
            </w:pPr>
            <w:r>
              <w:rPr>
                <w:rFonts w:hint="eastAsia"/>
                <w:kern w:val="0"/>
              </w:rPr>
              <w:t>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路幅宽度为</w:t>
            </w:r>
            <w:r>
              <w:rPr>
                <w:spacing w:val="2"/>
                <w:sz w:val="21"/>
              </w:rPr>
              <w:t>13.5m</w:t>
            </w:r>
            <w:r>
              <w:rPr>
                <w:rFonts w:hint="eastAsia"/>
                <w:spacing w:val="2"/>
                <w:sz w:val="21"/>
              </w:rPr>
              <w:t>，路面结构采用：</w:t>
            </w:r>
            <w:r>
              <w:rPr>
                <w:spacing w:val="2"/>
                <w:sz w:val="21"/>
              </w:rPr>
              <w:t>C35</w:t>
            </w:r>
            <w:r>
              <w:rPr>
                <w:rFonts w:hint="eastAsia"/>
                <w:spacing w:val="2"/>
                <w:sz w:val="21"/>
              </w:rPr>
              <w:t>混凝土面层，厚度</w:t>
            </w:r>
            <w:r>
              <w:rPr>
                <w:spacing w:val="2"/>
                <w:sz w:val="21"/>
              </w:rPr>
              <w:t>24cm</w:t>
            </w:r>
            <w:r>
              <w:rPr>
                <w:rFonts w:hint="eastAsia"/>
                <w:spacing w:val="2"/>
                <w:sz w:val="21"/>
              </w:rPr>
              <w:t>；</w:t>
            </w:r>
            <w:r>
              <w:rPr>
                <w:spacing w:val="2"/>
                <w:sz w:val="21"/>
              </w:rPr>
              <w:t>5%</w:t>
            </w:r>
            <w:r>
              <w:rPr>
                <w:rFonts w:hint="eastAsia"/>
                <w:spacing w:val="2"/>
                <w:sz w:val="21"/>
              </w:rPr>
              <w:t>水泥稳定碎石基层，厚度</w:t>
            </w:r>
            <w:r>
              <w:rPr>
                <w:spacing w:val="2"/>
                <w:sz w:val="21"/>
              </w:rPr>
              <w:t>20cm</w:t>
            </w:r>
            <w:r>
              <w:rPr>
                <w:rFonts w:hint="eastAsia"/>
                <w:spacing w:val="2"/>
                <w:sz w:val="21"/>
              </w:rPr>
              <w:t>；碎石垫层，厚度</w:t>
            </w:r>
            <w:r>
              <w:rPr>
                <w:spacing w:val="2"/>
                <w:sz w:val="21"/>
              </w:rPr>
              <w:t>20cm</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sz w:val="21"/>
              </w:rPr>
            </w:pPr>
          </w:p>
        </w:tc>
        <w:tc>
          <w:tcPr>
            <w:tcW w:w="616"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left"/>
              <w:rPr>
                <w:rFonts w:cs="Times New Roman"/>
                <w:kern w:val="0"/>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kern w:val="0"/>
              </w:rPr>
            </w:pPr>
            <w:r>
              <w:rPr>
                <w:rFonts w:hint="eastAsia"/>
                <w:kern w:val="0"/>
              </w:rPr>
              <w:t>次要</w:t>
            </w:r>
          </w:p>
          <w:p>
            <w:pPr>
              <w:pStyle w:val="184"/>
              <w:spacing w:line="240" w:lineRule="exact"/>
              <w:rPr>
                <w:rFonts w:ascii="Times New Roman"/>
                <w:color w:val="auto"/>
                <w:kern w:val="0"/>
              </w:rPr>
            </w:pPr>
            <w:r>
              <w:rPr>
                <w:rFonts w:hint="eastAsia"/>
                <w:kern w:val="0"/>
              </w:rPr>
              <w:t>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路幅宽度为</w:t>
            </w:r>
            <w:r>
              <w:rPr>
                <w:spacing w:val="2"/>
                <w:sz w:val="21"/>
              </w:rPr>
              <w:t>9m</w:t>
            </w:r>
            <w:r>
              <w:rPr>
                <w:rFonts w:hint="eastAsia"/>
                <w:spacing w:val="2"/>
                <w:sz w:val="21"/>
              </w:rPr>
              <w:t>，路面结构为：</w:t>
            </w:r>
            <w:r>
              <w:rPr>
                <w:spacing w:val="2"/>
                <w:sz w:val="21"/>
              </w:rPr>
              <w:t>C35</w:t>
            </w:r>
            <w:r>
              <w:rPr>
                <w:rFonts w:hint="eastAsia"/>
                <w:spacing w:val="2"/>
                <w:sz w:val="21"/>
              </w:rPr>
              <w:t>混凝土面层，厚度</w:t>
            </w:r>
            <w:r>
              <w:rPr>
                <w:spacing w:val="2"/>
                <w:sz w:val="21"/>
              </w:rPr>
              <w:t>22cm</w:t>
            </w:r>
            <w:r>
              <w:rPr>
                <w:rFonts w:hint="eastAsia"/>
                <w:spacing w:val="2"/>
                <w:sz w:val="21"/>
              </w:rPr>
              <w:t>；</w:t>
            </w:r>
            <w:r>
              <w:rPr>
                <w:spacing w:val="2"/>
                <w:sz w:val="21"/>
              </w:rPr>
              <w:t>5%</w:t>
            </w:r>
            <w:r>
              <w:rPr>
                <w:rFonts w:hint="eastAsia"/>
                <w:spacing w:val="2"/>
                <w:sz w:val="21"/>
              </w:rPr>
              <w:t>水泥稳定碎石基层，厚度</w:t>
            </w:r>
            <w:r>
              <w:rPr>
                <w:spacing w:val="2"/>
                <w:sz w:val="21"/>
              </w:rPr>
              <w:t>18cm</w:t>
            </w:r>
            <w:r>
              <w:rPr>
                <w:rFonts w:hint="eastAsia"/>
                <w:spacing w:val="2"/>
                <w:sz w:val="21"/>
              </w:rPr>
              <w:t>；碎石垫层，厚度</w:t>
            </w:r>
            <w:r>
              <w:rPr>
                <w:spacing w:val="2"/>
                <w:sz w:val="21"/>
              </w:rPr>
              <w:t>17cm</w:t>
            </w:r>
            <w:r>
              <w:rPr>
                <w:rFonts w:hint="eastAsia"/>
                <w:spacing w:val="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sz w:val="21"/>
              </w:rPr>
            </w:pPr>
          </w:p>
        </w:tc>
        <w:tc>
          <w:tcPr>
            <w:tcW w:w="616"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left"/>
              <w:rPr>
                <w:rFonts w:cs="Times New Roman"/>
                <w:kern w:val="0"/>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rFonts w:ascii="Times New Roman"/>
                <w:color w:val="auto"/>
                <w:kern w:val="0"/>
              </w:rPr>
            </w:pPr>
            <w:r>
              <w:rPr>
                <w:rFonts w:hint="eastAsia"/>
                <w:kern w:val="0"/>
              </w:rPr>
              <w:t>支路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路幅宽度为</w:t>
            </w:r>
            <w:r>
              <w:rPr>
                <w:spacing w:val="2"/>
                <w:sz w:val="21"/>
              </w:rPr>
              <w:t>6m</w:t>
            </w:r>
            <w:r>
              <w:rPr>
                <w:rFonts w:hint="eastAsia"/>
                <w:spacing w:val="2"/>
                <w:sz w:val="21"/>
              </w:rPr>
              <w:t>，路面结构为：</w:t>
            </w:r>
            <w:r>
              <w:rPr>
                <w:spacing w:val="2"/>
                <w:sz w:val="21"/>
              </w:rPr>
              <w:t>C30</w:t>
            </w:r>
            <w:r>
              <w:rPr>
                <w:rFonts w:hint="eastAsia"/>
                <w:spacing w:val="2"/>
                <w:sz w:val="21"/>
              </w:rPr>
              <w:t>混凝土面层，厚度</w:t>
            </w:r>
            <w:r>
              <w:rPr>
                <w:spacing w:val="2"/>
                <w:sz w:val="21"/>
              </w:rPr>
              <w:t>20cm</w:t>
            </w:r>
            <w:r>
              <w:rPr>
                <w:rFonts w:hint="eastAsia"/>
                <w:spacing w:val="2"/>
                <w:sz w:val="21"/>
              </w:rPr>
              <w:t>；</w:t>
            </w:r>
            <w:r>
              <w:rPr>
                <w:spacing w:val="2"/>
                <w:sz w:val="21"/>
              </w:rPr>
              <w:t>5%</w:t>
            </w:r>
            <w:r>
              <w:rPr>
                <w:rFonts w:hint="eastAsia"/>
                <w:spacing w:val="2"/>
                <w:sz w:val="21"/>
              </w:rPr>
              <w:t>水泥稳定碎石基层，厚度</w:t>
            </w:r>
            <w:r>
              <w:rPr>
                <w:spacing w:val="2"/>
                <w:sz w:val="21"/>
              </w:rPr>
              <w:t>15cm</w:t>
            </w:r>
            <w:r>
              <w:rPr>
                <w:rFonts w:hint="eastAsia"/>
                <w:spacing w:val="2"/>
                <w:sz w:val="21"/>
              </w:rPr>
              <w:t>；碎石垫层，厚度</w:t>
            </w:r>
            <w:r>
              <w:rPr>
                <w:spacing w:val="2"/>
                <w:sz w:val="21"/>
              </w:rPr>
              <w:t>15cm</w:t>
            </w:r>
            <w:r>
              <w:rPr>
                <w:rFonts w:hint="eastAsia"/>
                <w:spacing w:val="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jc w:val="center"/>
        </w:trPr>
        <w:tc>
          <w:tcPr>
            <w:tcW w:w="660" w:type="dxa"/>
            <w:vMerge w:val="continue"/>
            <w:tcBorders>
              <w:top w:val="dotted" w:color="auto" w:sz="4" w:space="0"/>
              <w:left w:val="nil"/>
              <w:bottom w:val="dotted" w:color="auto" w:sz="4" w:space="0"/>
              <w:right w:val="dotted" w:color="auto" w:sz="4" w:space="0"/>
            </w:tcBorders>
            <w:vAlign w:val="center"/>
          </w:tcPr>
          <w:p>
            <w:pPr>
              <w:widowControl/>
              <w:spacing w:line="240" w:lineRule="auto"/>
              <w:ind w:firstLine="0" w:firstLineChars="0"/>
              <w:jc w:val="left"/>
              <w:rPr>
                <w:rFonts w:cs="Times New Roman"/>
                <w:sz w:val="21"/>
              </w:rPr>
            </w:pPr>
          </w:p>
        </w:tc>
        <w:tc>
          <w:tcPr>
            <w:tcW w:w="616" w:type="dxa"/>
            <w:vMerge w:val="continue"/>
            <w:tcBorders>
              <w:top w:val="dotted" w:color="auto" w:sz="4" w:space="0"/>
              <w:left w:val="dotted" w:color="auto" w:sz="4" w:space="0"/>
              <w:bottom w:val="dotted" w:color="auto" w:sz="4" w:space="0"/>
              <w:right w:val="dotted" w:color="auto" w:sz="4" w:space="0"/>
            </w:tcBorders>
            <w:vAlign w:val="center"/>
          </w:tcPr>
          <w:p>
            <w:pPr>
              <w:widowControl/>
              <w:spacing w:line="240" w:lineRule="auto"/>
              <w:ind w:firstLine="0" w:firstLineChars="0"/>
              <w:jc w:val="left"/>
              <w:rPr>
                <w:rFonts w:cs="Times New Roman"/>
                <w:kern w:val="0"/>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4"/>
              <w:spacing w:line="240" w:lineRule="exact"/>
              <w:rPr>
                <w:kern w:val="0"/>
              </w:rPr>
            </w:pPr>
            <w:r>
              <w:rPr>
                <w:rFonts w:hint="eastAsia"/>
                <w:kern w:val="0"/>
              </w:rPr>
              <w:t>人行</w:t>
            </w:r>
          </w:p>
          <w:p>
            <w:pPr>
              <w:pStyle w:val="184"/>
              <w:spacing w:line="240" w:lineRule="exact"/>
              <w:rPr>
                <w:rFonts w:ascii="Times New Roman"/>
                <w:color w:val="auto"/>
                <w:kern w:val="0"/>
              </w:rPr>
            </w:pPr>
            <w:r>
              <w:rPr>
                <w:rFonts w:hint="eastAsia"/>
                <w:kern w:val="0"/>
              </w:rPr>
              <w:t>道路</w:t>
            </w:r>
          </w:p>
        </w:tc>
        <w:tc>
          <w:tcPr>
            <w:tcW w:w="7643" w:type="dxa"/>
            <w:tcBorders>
              <w:top w:val="dotted" w:color="auto" w:sz="4" w:space="0"/>
              <w:left w:val="dotted" w:color="auto" w:sz="4" w:space="0"/>
              <w:bottom w:val="dotted" w:color="auto" w:sz="4" w:space="0"/>
              <w:right w:val="nil"/>
            </w:tcBorders>
            <w:vAlign w:val="center"/>
          </w:tcPr>
          <w:p>
            <w:pPr>
              <w:adjustRightInd w:val="0"/>
              <w:spacing w:line="240" w:lineRule="exact"/>
              <w:ind w:firstLine="0" w:firstLineChars="0"/>
              <w:textAlignment w:val="baseline"/>
              <w:rPr>
                <w:kern w:val="0"/>
                <w:sz w:val="21"/>
              </w:rPr>
            </w:pPr>
            <w:r>
              <w:rPr>
                <w:rFonts w:hint="eastAsia"/>
                <w:spacing w:val="2"/>
                <w:sz w:val="21"/>
              </w:rPr>
              <w:t>采用</w:t>
            </w:r>
            <w:r>
              <w:rPr>
                <w:spacing w:val="2"/>
                <w:sz w:val="21"/>
              </w:rPr>
              <w:t>C25</w:t>
            </w:r>
            <w:r>
              <w:rPr>
                <w:rFonts w:hint="eastAsia"/>
                <w:spacing w:val="2"/>
                <w:sz w:val="21"/>
              </w:rPr>
              <w:t>混凝土路面砖，规格</w:t>
            </w:r>
            <w:r>
              <w:rPr>
                <w:spacing w:val="2"/>
                <w:sz w:val="21"/>
              </w:rPr>
              <w:t>25×25×5cm</w:t>
            </w:r>
            <w:r>
              <w:rPr>
                <w:rFonts w:hint="eastAsia"/>
                <w:spacing w:val="2"/>
                <w:sz w:val="21"/>
              </w:rPr>
              <w:t>；</w:t>
            </w:r>
            <w:r>
              <w:rPr>
                <w:spacing w:val="2"/>
                <w:sz w:val="21"/>
              </w:rPr>
              <w:t>M10</w:t>
            </w:r>
            <w:r>
              <w:rPr>
                <w:rFonts w:hint="eastAsia"/>
                <w:spacing w:val="2"/>
                <w:sz w:val="21"/>
              </w:rPr>
              <w:t>水泥砂浆，厚度</w:t>
            </w:r>
            <w:r>
              <w:rPr>
                <w:spacing w:val="2"/>
                <w:sz w:val="21"/>
              </w:rPr>
              <w:t>3cm</w:t>
            </w:r>
            <w:r>
              <w:rPr>
                <w:rFonts w:hint="eastAsia"/>
                <w:spacing w:val="2"/>
                <w:sz w:val="21"/>
              </w:rPr>
              <w:t>；</w:t>
            </w:r>
            <w:r>
              <w:rPr>
                <w:spacing w:val="2"/>
                <w:sz w:val="21"/>
              </w:rPr>
              <w:t>3%</w:t>
            </w:r>
            <w:r>
              <w:rPr>
                <w:rFonts w:hint="eastAsia"/>
                <w:spacing w:val="2"/>
                <w:sz w:val="21"/>
              </w:rPr>
              <w:t>水泥稳定沙砾垫层，厚度</w:t>
            </w:r>
            <w:r>
              <w:rPr>
                <w:spacing w:val="2"/>
                <w:sz w:val="21"/>
              </w:rPr>
              <w:t>15cm</w:t>
            </w:r>
            <w:r>
              <w:rPr>
                <w:rFonts w:hint="eastAsia"/>
                <w:spacing w:val="2"/>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48" w:hRule="atLeast"/>
          <w:jc w:val="center"/>
        </w:trPr>
        <w:tc>
          <w:tcPr>
            <w:tcW w:w="660" w:type="dxa"/>
            <w:vMerge w:val="restart"/>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2.</w:t>
            </w:r>
            <w:r>
              <w:rPr>
                <w:rFonts w:hint="eastAsia" w:ascii="Times New Roman"/>
                <w:color w:val="auto"/>
              </w:rPr>
              <w:t>9</w:t>
            </w:r>
          </w:p>
        </w:tc>
        <w:tc>
          <w:tcPr>
            <w:tcW w:w="616" w:type="dxa"/>
            <w:vMerge w:val="restart"/>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仓储设施</w:t>
            </w: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1#</w:t>
            </w:r>
          </w:p>
          <w:p>
            <w:pPr>
              <w:pStyle w:val="187"/>
              <w:spacing w:line="240" w:lineRule="exact"/>
              <w:rPr>
                <w:rFonts w:ascii="Times New Roman"/>
                <w:color w:val="auto"/>
              </w:rPr>
            </w:pPr>
            <w:r>
              <w:rPr>
                <w:rFonts w:hint="eastAsia" w:ascii="Times New Roman"/>
                <w:color w:val="auto"/>
              </w:rPr>
              <w:t>仓库</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cs="Times New Roman"/>
                <w:sz w:val="21"/>
              </w:rPr>
              <w:t>建设</w:t>
            </w:r>
            <w:r>
              <w:rPr>
                <w:rFonts w:ascii="Times New Roman" w:hAnsi="Times New Roman" w:cs="Times New Roman"/>
                <w:sz w:val="21"/>
              </w:rPr>
              <w:t>1510.27 m</w:t>
            </w:r>
            <w:r>
              <w:rPr>
                <w:rFonts w:ascii="Times New Roman" w:hAnsi="Times New Roman" w:cs="Times New Roman"/>
                <w:sz w:val="21"/>
                <w:vertAlign w:val="superscript"/>
              </w:rPr>
              <w:t>2</w:t>
            </w:r>
            <w:r>
              <w:rPr>
                <w:rFonts w:ascii="Times New Roman" w:hAnsi="Times New Roman" w:cs="Times New Roman"/>
                <w:sz w:val="21"/>
              </w:rPr>
              <w:t>×8.10m</w:t>
            </w:r>
            <w:r>
              <w:rPr>
                <w:rFonts w:hint="eastAsia" w:ascii="Times New Roman" w:cs="Times New Roman"/>
                <w:sz w:val="21"/>
              </w:rPr>
              <w:t>，</w:t>
            </w:r>
            <w:r>
              <w:rPr>
                <w:rFonts w:hint="eastAsia" w:ascii="Times New Roman" w:hAnsi="Times New Roman" w:cs="Times New Roman"/>
                <w:sz w:val="21"/>
              </w:rPr>
              <w:t>主要用于储存外来及本项目产生的送至焚烧车间的危废以及废碱渣</w:t>
            </w:r>
            <w:r>
              <w:rPr>
                <w:rFonts w:hint="eastAsia" w:ascii="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414"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2#</w:t>
            </w:r>
          </w:p>
          <w:p>
            <w:pPr>
              <w:pStyle w:val="187"/>
              <w:spacing w:line="240" w:lineRule="exact"/>
              <w:rPr>
                <w:rFonts w:ascii="Times New Roman"/>
                <w:color w:val="auto"/>
              </w:rPr>
            </w:pPr>
            <w:r>
              <w:rPr>
                <w:rFonts w:hint="eastAsia" w:ascii="Times New Roman"/>
                <w:color w:val="auto"/>
              </w:rPr>
              <w:t>仓库</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cs="Times New Roman"/>
                <w:sz w:val="21"/>
              </w:rPr>
              <w:t>建设</w:t>
            </w:r>
            <w:r>
              <w:rPr>
                <w:rFonts w:ascii="Times New Roman" w:hAnsi="Times New Roman" w:cs="Times New Roman"/>
                <w:sz w:val="21"/>
              </w:rPr>
              <w:t>1510.27 m</w:t>
            </w:r>
            <w:r>
              <w:rPr>
                <w:rFonts w:ascii="Times New Roman" w:hAnsi="Times New Roman" w:cs="Times New Roman"/>
                <w:sz w:val="21"/>
                <w:vertAlign w:val="superscript"/>
              </w:rPr>
              <w:t>2</w:t>
            </w:r>
            <w:r>
              <w:rPr>
                <w:rFonts w:ascii="Times New Roman" w:hAnsi="Times New Roman" w:cs="Times New Roman"/>
                <w:sz w:val="21"/>
              </w:rPr>
              <w:t>×8.10m</w:t>
            </w:r>
            <w:r>
              <w:rPr>
                <w:rFonts w:hint="eastAsia" w:ascii="Times New Roman" w:cs="Times New Roman"/>
                <w:sz w:val="21"/>
              </w:rPr>
              <w:t>，</w:t>
            </w:r>
            <w:r>
              <w:rPr>
                <w:rFonts w:hint="eastAsia" w:ascii="Times New Roman" w:hAnsi="Times New Roman" w:cs="Times New Roman"/>
                <w:sz w:val="21"/>
              </w:rPr>
              <w:t>主要用于储存外来及本项目产生的送至焚烧车间的危废以及废碱渣，还有飞灰</w:t>
            </w:r>
            <w:r>
              <w:rPr>
                <w:rFonts w:hint="eastAsia" w:ascii="Times New Roman"/>
                <w:sz w:val="21"/>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35"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rPr>
              <w:t>危废暂存库</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hAnsi="Times New Roman" w:cs="Times New Roman"/>
                <w:sz w:val="21"/>
              </w:rPr>
            </w:pPr>
            <w:r>
              <w:rPr>
                <w:rFonts w:hint="eastAsia" w:ascii="Times New Roman" w:hAnsi="Times New Roman" w:cs="Times New Roman"/>
                <w:sz w:val="21"/>
              </w:rPr>
              <w:t>新增</w:t>
            </w:r>
            <w:r>
              <w:rPr>
                <w:rFonts w:ascii="Times New Roman" w:hAnsi="Times New Roman" w:cs="Times New Roman"/>
                <w:sz w:val="21"/>
              </w:rPr>
              <w:t>1710.27 m</w:t>
            </w:r>
            <w:r>
              <w:rPr>
                <w:rFonts w:ascii="Times New Roman" w:hAnsi="Times New Roman" w:cs="Times New Roman"/>
                <w:sz w:val="21"/>
                <w:vertAlign w:val="superscript"/>
              </w:rPr>
              <w:t>2</w:t>
            </w:r>
            <w:r>
              <w:rPr>
                <w:rFonts w:ascii="Times New Roman" w:hAnsi="Times New Roman" w:cs="Times New Roman"/>
                <w:sz w:val="21"/>
              </w:rPr>
              <w:t>×8.10m</w:t>
            </w:r>
            <w:r>
              <w:rPr>
                <w:rFonts w:hint="eastAsia" w:ascii="Times New Roman" w:cs="Times New Roman"/>
                <w:sz w:val="21"/>
              </w:rPr>
              <w:t>的危废暂存库，主要用于</w:t>
            </w:r>
            <w:r>
              <w:rPr>
                <w:rFonts w:hint="eastAsia"/>
                <w:sz w:val="21"/>
              </w:rPr>
              <w:t>储存入场需要送检的危废。</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35"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危废</w:t>
            </w:r>
          </w:p>
          <w:p>
            <w:pPr>
              <w:pStyle w:val="187"/>
              <w:spacing w:line="240" w:lineRule="exact"/>
              <w:rPr>
                <w:rFonts w:ascii="Times New Roman"/>
                <w:color w:val="auto"/>
              </w:rPr>
            </w:pPr>
            <w:r>
              <w:rPr>
                <w:rFonts w:hint="eastAsia" w:ascii="Times New Roman"/>
                <w:color w:val="auto"/>
              </w:rPr>
              <w:t>罐区</w:t>
            </w:r>
          </w:p>
        </w:tc>
        <w:tc>
          <w:tcPr>
            <w:tcW w:w="7643" w:type="dxa"/>
            <w:tcBorders>
              <w:top w:val="dotted" w:color="auto" w:sz="4" w:space="0"/>
              <w:left w:val="dotted" w:color="auto" w:sz="4" w:space="0"/>
              <w:bottom w:val="dotted" w:color="auto" w:sz="4" w:space="0"/>
              <w:right w:val="nil"/>
            </w:tcBorders>
            <w:vAlign w:val="center"/>
          </w:tcPr>
          <w:p>
            <w:pPr>
              <w:pStyle w:val="183"/>
              <w:spacing w:line="240" w:lineRule="exact"/>
              <w:ind w:firstLine="0" w:firstLineChars="0"/>
              <w:rPr>
                <w:rFonts w:ascii="Times New Roman" w:cs="Times New Roman"/>
                <w:sz w:val="21"/>
              </w:rPr>
            </w:pPr>
            <w:r>
              <w:rPr>
                <w:rFonts w:hint="eastAsia" w:ascii="Times New Roman" w:cs="Times New Roman"/>
                <w:sz w:val="21"/>
              </w:rPr>
              <w:t>物化车间废液储存罐区：</w:t>
            </w:r>
            <w:r>
              <w:rPr>
                <w:rFonts w:ascii="Times New Roman" w:cs="Times New Roman"/>
                <w:sz w:val="21"/>
              </w:rPr>
              <w:t>4</w:t>
            </w:r>
            <w:r>
              <w:rPr>
                <w:rFonts w:hint="eastAsia" w:ascii="Times New Roman" w:cs="Times New Roman"/>
                <w:sz w:val="21"/>
              </w:rPr>
              <w:t>台容积为</w:t>
            </w:r>
            <w:r>
              <w:rPr>
                <w:rFonts w:ascii="Times New Roman" w:cs="Times New Roman"/>
                <w:sz w:val="21"/>
              </w:rPr>
              <w:t>100 m</w:t>
            </w:r>
            <w:r>
              <w:rPr>
                <w:rFonts w:ascii="Times New Roman" w:cs="Times New Roman"/>
                <w:sz w:val="21"/>
                <w:vertAlign w:val="superscript"/>
              </w:rPr>
              <w:t>3</w:t>
            </w:r>
            <w:r>
              <w:rPr>
                <w:rFonts w:hint="eastAsia" w:ascii="Times New Roman" w:cs="Times New Roman"/>
                <w:sz w:val="21"/>
              </w:rPr>
              <w:t>的废酸储罐；</w:t>
            </w:r>
            <w:r>
              <w:rPr>
                <w:rFonts w:ascii="Times New Roman" w:cs="Times New Roman"/>
                <w:sz w:val="21"/>
              </w:rPr>
              <w:t>2</w:t>
            </w:r>
            <w:r>
              <w:rPr>
                <w:rFonts w:hint="eastAsia" w:ascii="Times New Roman" w:cs="Times New Roman"/>
                <w:sz w:val="21"/>
              </w:rPr>
              <w:t>台容积为</w:t>
            </w:r>
            <w:r>
              <w:rPr>
                <w:rFonts w:ascii="Times New Roman" w:cs="Times New Roman"/>
                <w:sz w:val="21"/>
              </w:rPr>
              <w:t>100 m</w:t>
            </w:r>
            <w:r>
              <w:rPr>
                <w:rFonts w:ascii="Times New Roman" w:cs="Times New Roman"/>
                <w:sz w:val="21"/>
                <w:vertAlign w:val="superscript"/>
              </w:rPr>
              <w:t>3</w:t>
            </w:r>
            <w:r>
              <w:rPr>
                <w:rFonts w:hint="eastAsia" w:ascii="Times New Roman" w:cs="Times New Roman"/>
                <w:sz w:val="21"/>
              </w:rPr>
              <w:t>的废乳化液储罐；</w:t>
            </w:r>
            <w:r>
              <w:rPr>
                <w:rFonts w:ascii="Times New Roman" w:cs="Times New Roman"/>
                <w:sz w:val="21"/>
              </w:rPr>
              <w:t>4</w:t>
            </w:r>
            <w:r>
              <w:rPr>
                <w:rFonts w:hint="eastAsia" w:ascii="Times New Roman" w:cs="Times New Roman"/>
                <w:sz w:val="21"/>
              </w:rPr>
              <w:t>台容积为</w:t>
            </w:r>
            <w:r>
              <w:rPr>
                <w:rFonts w:ascii="Times New Roman" w:cs="Times New Roman"/>
                <w:sz w:val="21"/>
              </w:rPr>
              <w:t>100 m</w:t>
            </w:r>
            <w:r>
              <w:rPr>
                <w:rFonts w:ascii="Times New Roman" w:cs="Times New Roman"/>
                <w:sz w:val="21"/>
                <w:vertAlign w:val="superscript"/>
              </w:rPr>
              <w:t>3</w:t>
            </w:r>
            <w:r>
              <w:rPr>
                <w:rFonts w:hint="eastAsia" w:ascii="Times New Roman" w:cs="Times New Roman"/>
                <w:sz w:val="21"/>
              </w:rPr>
              <w:t>的废碱储罐；</w:t>
            </w:r>
            <w:r>
              <w:rPr>
                <w:rFonts w:ascii="Times New Roman" w:cs="Times New Roman"/>
                <w:sz w:val="21"/>
              </w:rPr>
              <w:t>5</w:t>
            </w:r>
            <w:r>
              <w:rPr>
                <w:rFonts w:hint="eastAsia" w:ascii="Times New Roman" w:cs="Times New Roman"/>
                <w:sz w:val="21"/>
              </w:rPr>
              <w:t>台容积为</w:t>
            </w:r>
            <w:r>
              <w:rPr>
                <w:rFonts w:ascii="Times New Roman" w:cs="Times New Roman"/>
                <w:sz w:val="21"/>
              </w:rPr>
              <w:t>15 m</w:t>
            </w:r>
            <w:r>
              <w:rPr>
                <w:rFonts w:ascii="Times New Roman" w:cs="Times New Roman"/>
                <w:sz w:val="21"/>
                <w:vertAlign w:val="superscript"/>
              </w:rPr>
              <w:t>3</w:t>
            </w:r>
            <w:r>
              <w:rPr>
                <w:rFonts w:hint="eastAsia" w:ascii="Times New Roman" w:cs="Times New Roman"/>
                <w:sz w:val="21"/>
              </w:rPr>
              <w:t>的预处理罐。</w:t>
            </w:r>
          </w:p>
          <w:p>
            <w:pPr>
              <w:pStyle w:val="183"/>
              <w:spacing w:line="240" w:lineRule="exact"/>
              <w:ind w:firstLine="0" w:firstLineChars="0"/>
              <w:rPr>
                <w:rFonts w:ascii="Times New Roman" w:hAnsi="Times New Roman" w:cs="Times New Roman"/>
                <w:sz w:val="21"/>
              </w:rPr>
            </w:pPr>
            <w:r>
              <w:rPr>
                <w:rFonts w:hint="eastAsia" w:ascii="Times New Roman" w:cs="Times New Roman"/>
                <w:sz w:val="21"/>
              </w:rPr>
              <w:t>送往焚烧车间废液储存罐区：</w:t>
            </w:r>
            <w:r>
              <w:rPr>
                <w:rFonts w:ascii="Times New Roman" w:cs="Times New Roman"/>
                <w:sz w:val="21"/>
              </w:rPr>
              <w:t>4</w:t>
            </w:r>
            <w:r>
              <w:rPr>
                <w:rFonts w:hint="eastAsia" w:ascii="Times New Roman" w:cs="Times New Roman"/>
                <w:sz w:val="21"/>
              </w:rPr>
              <w:t>台容积为</w:t>
            </w:r>
            <w:r>
              <w:rPr>
                <w:rFonts w:ascii="Times New Roman" w:cs="Times New Roman"/>
                <w:sz w:val="21"/>
              </w:rPr>
              <w:t>300m</w:t>
            </w:r>
            <w:r>
              <w:rPr>
                <w:rFonts w:ascii="Times New Roman" w:cs="Times New Roman"/>
                <w:sz w:val="21"/>
                <w:vertAlign w:val="superscript"/>
              </w:rPr>
              <w:t>3</w:t>
            </w:r>
            <w:r>
              <w:rPr>
                <w:rFonts w:hint="eastAsia" w:ascii="Times New Roman" w:cs="Times New Roman"/>
                <w:sz w:val="21"/>
              </w:rPr>
              <w:t>的废液储罐。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535"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719" w:type="dxa"/>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综合</w:t>
            </w:r>
          </w:p>
          <w:p>
            <w:pPr>
              <w:pStyle w:val="187"/>
              <w:spacing w:line="240" w:lineRule="exact"/>
              <w:rPr>
                <w:rFonts w:ascii="Times New Roman"/>
                <w:color w:val="auto"/>
              </w:rPr>
            </w:pPr>
            <w:r>
              <w:rPr>
                <w:rFonts w:hint="eastAsia" w:ascii="Times New Roman"/>
                <w:color w:val="auto"/>
              </w:rPr>
              <w:t>仓库</w:t>
            </w:r>
          </w:p>
        </w:tc>
        <w:tc>
          <w:tcPr>
            <w:tcW w:w="7643" w:type="dxa"/>
            <w:tcBorders>
              <w:top w:val="dotted" w:color="auto" w:sz="4" w:space="0"/>
              <w:left w:val="dotted" w:color="auto" w:sz="4" w:space="0"/>
              <w:bottom w:val="dotted" w:color="auto" w:sz="4" w:space="0"/>
              <w:right w:val="nil"/>
            </w:tcBorders>
            <w:vAlign w:val="center"/>
          </w:tcPr>
          <w:p>
            <w:pPr>
              <w:spacing w:line="240" w:lineRule="exact"/>
              <w:ind w:firstLine="0" w:firstLineChars="0"/>
              <w:rPr>
                <w:sz w:val="21"/>
              </w:rPr>
            </w:pPr>
            <w:r>
              <w:rPr>
                <w:rFonts w:cs="Times New Roman"/>
                <w:sz w:val="21"/>
              </w:rPr>
              <w:t>1</w:t>
            </w:r>
            <w:r>
              <w:rPr>
                <w:rFonts w:hint="eastAsia" w:cs="Times New Roman"/>
                <w:sz w:val="21"/>
              </w:rPr>
              <w:t>座</w:t>
            </w:r>
            <w:r>
              <w:rPr>
                <w:rFonts w:cs="Times New Roman"/>
                <w:sz w:val="21"/>
              </w:rPr>
              <w:t>696m</w:t>
            </w:r>
            <w:r>
              <w:rPr>
                <w:rFonts w:cs="Times New Roman"/>
                <w:sz w:val="21"/>
                <w:vertAlign w:val="superscript"/>
              </w:rPr>
              <w:t>2</w:t>
            </w:r>
            <w:r>
              <w:rPr>
                <w:rFonts w:cs="Times New Roman"/>
                <w:sz w:val="21"/>
              </w:rPr>
              <w:t>×6.5m</w:t>
            </w:r>
            <w:r>
              <w:rPr>
                <w:rFonts w:hint="eastAsia" w:cs="Times New Roman"/>
                <w:sz w:val="21"/>
              </w:rPr>
              <w:t>的综合仓库，用来贮存消石灰、氢氧化钠等辅助材料。</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660" w:type="dxa"/>
            <w:vMerge w:val="continue"/>
            <w:tcBorders>
              <w:top w:val="dotted" w:color="auto" w:sz="4" w:space="0"/>
              <w:left w:val="nil"/>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616" w:type="dxa"/>
            <w:vMerge w:val="continue"/>
            <w:tcBorders>
              <w:top w:val="dotted" w:color="auto" w:sz="4" w:space="0"/>
              <w:left w:val="dotted" w:color="auto" w:sz="4" w:space="0"/>
              <w:bottom w:val="single" w:color="auto" w:sz="12" w:space="0"/>
              <w:right w:val="dotted" w:color="auto" w:sz="4" w:space="0"/>
            </w:tcBorders>
            <w:vAlign w:val="center"/>
          </w:tcPr>
          <w:p>
            <w:pPr>
              <w:widowControl/>
              <w:spacing w:line="240" w:lineRule="auto"/>
              <w:ind w:firstLine="0" w:firstLineChars="0"/>
              <w:jc w:val="left"/>
              <w:rPr>
                <w:rFonts w:cs="Times New Roman"/>
                <w:sz w:val="21"/>
              </w:rPr>
            </w:pPr>
          </w:p>
        </w:tc>
        <w:tc>
          <w:tcPr>
            <w:tcW w:w="719" w:type="dxa"/>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柴油</w:t>
            </w:r>
          </w:p>
          <w:p>
            <w:pPr>
              <w:pStyle w:val="187"/>
              <w:spacing w:line="240" w:lineRule="exact"/>
              <w:rPr>
                <w:rFonts w:ascii="Times New Roman"/>
                <w:color w:val="auto"/>
              </w:rPr>
            </w:pPr>
            <w:r>
              <w:rPr>
                <w:rFonts w:hint="eastAsia" w:ascii="Times New Roman"/>
                <w:color w:val="auto"/>
              </w:rPr>
              <w:t>储罐</w:t>
            </w:r>
          </w:p>
        </w:tc>
        <w:tc>
          <w:tcPr>
            <w:tcW w:w="7643" w:type="dxa"/>
            <w:tcBorders>
              <w:top w:val="dotted" w:color="auto" w:sz="4" w:space="0"/>
              <w:left w:val="dotted" w:color="auto" w:sz="4" w:space="0"/>
              <w:bottom w:val="single" w:color="auto" w:sz="12" w:space="0"/>
              <w:right w:val="nil"/>
            </w:tcBorders>
            <w:vAlign w:val="center"/>
          </w:tcPr>
          <w:p>
            <w:pPr>
              <w:pStyle w:val="187"/>
              <w:spacing w:line="240" w:lineRule="exact"/>
              <w:jc w:val="both"/>
              <w:rPr>
                <w:rFonts w:ascii="Times New Roman"/>
                <w:color w:val="auto"/>
              </w:rPr>
            </w:pPr>
            <w:r>
              <w:rPr>
                <w:rFonts w:ascii="Times New Roman"/>
              </w:rPr>
              <w:t>1</w:t>
            </w:r>
            <w:r>
              <w:rPr>
                <w:rFonts w:hint="eastAsia" w:ascii="Times New Roman"/>
              </w:rPr>
              <w:t>个</w:t>
            </w:r>
            <w:r>
              <w:rPr>
                <w:rFonts w:ascii="Times New Roman"/>
              </w:rPr>
              <w:t>20m</w:t>
            </w:r>
            <w:r>
              <w:rPr>
                <w:rFonts w:ascii="Times New Roman"/>
                <w:vertAlign w:val="superscript"/>
              </w:rPr>
              <w:t>3</w:t>
            </w:r>
            <w:r>
              <w:rPr>
                <w:rFonts w:hint="eastAsia" w:ascii="Times New Roman"/>
              </w:rPr>
              <w:t>的柴油储罐，设置于储罐区。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22" w:hRule="atLeast"/>
          <w:jc w:val="center"/>
        </w:trPr>
        <w:tc>
          <w:tcPr>
            <w:tcW w:w="660"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3</w:t>
            </w:r>
          </w:p>
        </w:tc>
        <w:tc>
          <w:tcPr>
            <w:tcW w:w="8978" w:type="dxa"/>
            <w:gridSpan w:val="3"/>
            <w:tcBorders>
              <w:top w:val="dotted" w:color="auto" w:sz="4" w:space="0"/>
              <w:left w:val="dotted" w:color="auto" w:sz="4" w:space="0"/>
              <w:bottom w:val="single" w:color="auto" w:sz="12" w:space="0"/>
              <w:right w:val="nil"/>
            </w:tcBorders>
            <w:vAlign w:val="center"/>
          </w:tcPr>
          <w:p>
            <w:pPr>
              <w:pStyle w:val="187"/>
              <w:spacing w:line="240" w:lineRule="exact"/>
              <w:rPr>
                <w:rFonts w:ascii="Times New Roman"/>
                <w:color w:val="auto"/>
              </w:rPr>
            </w:pPr>
            <w:r>
              <w:rPr>
                <w:rFonts w:hint="eastAsia" w:ascii="Times New Roman"/>
                <w:color w:val="auto"/>
              </w:rPr>
              <w:t>环保工程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660" w:type="dxa"/>
            <w:tcBorders>
              <w:top w:val="single" w:color="auto" w:sz="12"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3.1</w:t>
            </w:r>
          </w:p>
        </w:tc>
        <w:tc>
          <w:tcPr>
            <w:tcW w:w="1335" w:type="dxa"/>
            <w:gridSpan w:val="2"/>
            <w:tcBorders>
              <w:top w:val="single" w:color="auto" w:sz="12"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废气治理</w:t>
            </w:r>
          </w:p>
        </w:tc>
        <w:tc>
          <w:tcPr>
            <w:tcW w:w="7643" w:type="dxa"/>
            <w:tcBorders>
              <w:top w:val="single" w:color="auto" w:sz="12" w:space="0"/>
              <w:left w:val="dotted" w:color="auto" w:sz="4" w:space="0"/>
              <w:bottom w:val="dotted" w:color="auto" w:sz="4" w:space="0"/>
              <w:right w:val="nil"/>
            </w:tcBorders>
            <w:vAlign w:val="center"/>
          </w:tcPr>
          <w:p>
            <w:pPr>
              <w:pStyle w:val="187"/>
              <w:snapToGrid w:val="0"/>
              <w:spacing w:line="240" w:lineRule="exact"/>
              <w:jc w:val="both"/>
              <w:rPr>
                <w:rFonts w:ascii="Times New Roman"/>
                <w:color w:val="auto"/>
              </w:rPr>
            </w:pPr>
            <w:r>
              <w:rPr>
                <w:rFonts w:hint="eastAsia" w:ascii="Times New Roman"/>
                <w:color w:val="auto"/>
                <w:lang w:val="pt-BR"/>
              </w:rPr>
              <w:t>各危废暂存库有组织废气经紫外光系统</w:t>
            </w:r>
            <w:r>
              <w:rPr>
                <w:rFonts w:ascii="Times New Roman"/>
                <w:color w:val="auto"/>
                <w:lang w:val="pt-BR"/>
              </w:rPr>
              <w:t>+</w:t>
            </w:r>
            <w:r>
              <w:rPr>
                <w:rFonts w:hint="eastAsia" w:ascii="Times New Roman"/>
                <w:color w:val="auto"/>
                <w:lang w:val="pt-BR"/>
              </w:rPr>
              <w:t>活性炭纤维有机废气净化器处理后，由</w:t>
            </w:r>
            <w:r>
              <w:rPr>
                <w:rFonts w:ascii="Times New Roman"/>
                <w:color w:val="auto"/>
                <w:lang w:val="pt-BR"/>
              </w:rPr>
              <w:t>20m</w:t>
            </w:r>
            <w:r>
              <w:rPr>
                <w:rFonts w:hint="eastAsia" w:ascii="Times New Roman"/>
                <w:color w:val="auto"/>
                <w:lang w:val="pt-BR"/>
              </w:rPr>
              <w:t>烟囱排放</w:t>
            </w:r>
            <w:r>
              <w:rPr>
                <w:rFonts w:hint="eastAsia" w:ascii="Times New Roman"/>
                <w:color w:val="auto"/>
              </w:rPr>
              <w:t>；</w:t>
            </w:r>
            <w:r>
              <w:rPr>
                <w:rFonts w:hint="eastAsia" w:ascii="Times New Roman"/>
                <w:color w:val="auto"/>
                <w:lang w:val="pt-BR"/>
              </w:rPr>
              <w:t>焚烧车间焚烧废气经</w:t>
            </w:r>
            <w:r>
              <w:rPr>
                <w:rFonts w:ascii="Times New Roman"/>
              </w:rPr>
              <w:t>SNCR</w:t>
            </w:r>
            <w:r>
              <w:rPr>
                <w:rFonts w:hint="eastAsia" w:ascii="Times New Roman"/>
              </w:rPr>
              <w:t>脱硝</w:t>
            </w:r>
            <w:r>
              <w:rPr>
                <w:rFonts w:ascii="Times New Roman"/>
              </w:rPr>
              <w:t>+</w:t>
            </w:r>
            <w:r>
              <w:rPr>
                <w:rFonts w:hint="eastAsia" w:ascii="Times New Roman"/>
              </w:rPr>
              <w:t>急冷塔</w:t>
            </w:r>
            <w:r>
              <w:rPr>
                <w:rFonts w:ascii="Times New Roman"/>
              </w:rPr>
              <w:t>+</w:t>
            </w:r>
            <w:r>
              <w:rPr>
                <w:rFonts w:hint="eastAsia" w:ascii="Times New Roman"/>
              </w:rPr>
              <w:t>干式反应器</w:t>
            </w:r>
            <w:r>
              <w:rPr>
                <w:rFonts w:ascii="Times New Roman"/>
              </w:rPr>
              <w:t>+</w:t>
            </w:r>
            <w:r>
              <w:rPr>
                <w:rFonts w:hint="eastAsia" w:ascii="Times New Roman"/>
              </w:rPr>
              <w:t>袋式除尘</w:t>
            </w:r>
            <w:r>
              <w:rPr>
                <w:rFonts w:ascii="Times New Roman"/>
              </w:rPr>
              <w:t>+</w:t>
            </w:r>
            <w:r>
              <w:rPr>
                <w:rFonts w:hint="eastAsia" w:ascii="Times New Roman"/>
              </w:rPr>
              <w:t>二级湿法脱酸系统</w:t>
            </w:r>
            <w:r>
              <w:rPr>
                <w:rFonts w:ascii="Times New Roman"/>
              </w:rPr>
              <w:t>+</w:t>
            </w:r>
            <w:r>
              <w:rPr>
                <w:rFonts w:hint="eastAsia" w:ascii="Times New Roman"/>
              </w:rPr>
              <w:t>湿式电除雾器</w:t>
            </w:r>
            <w:r>
              <w:rPr>
                <w:rFonts w:ascii="Times New Roman"/>
                <w:color w:val="auto"/>
                <w:lang w:val="pt-BR"/>
              </w:rPr>
              <w:t>+</w:t>
            </w:r>
            <w:r>
              <w:rPr>
                <w:rFonts w:hint="eastAsia" w:ascii="Times New Roman"/>
                <w:color w:val="auto"/>
                <w:lang w:val="pt-BR"/>
              </w:rPr>
              <w:t>尾气加热后，由</w:t>
            </w:r>
            <w:r>
              <w:rPr>
                <w:rFonts w:ascii="Times New Roman"/>
                <w:color w:val="auto"/>
                <w:lang w:val="pt-BR"/>
              </w:rPr>
              <w:t>50m</w:t>
            </w:r>
            <w:r>
              <w:rPr>
                <w:rFonts w:hint="eastAsia" w:ascii="Times New Roman"/>
                <w:color w:val="auto"/>
                <w:lang w:val="pt-BR"/>
              </w:rPr>
              <w:t>烟囱排放；污水处理系统三效蒸发器排气经活性炭纤维有机废气净化器处理后，由</w:t>
            </w:r>
            <w:r>
              <w:rPr>
                <w:rFonts w:ascii="Times New Roman"/>
                <w:color w:val="auto"/>
                <w:lang w:val="pt-BR"/>
              </w:rPr>
              <w:t>15m</w:t>
            </w:r>
            <w:r>
              <w:rPr>
                <w:rFonts w:hint="eastAsia" w:ascii="Times New Roman"/>
                <w:color w:val="auto"/>
                <w:lang w:val="pt-BR"/>
              </w:rPr>
              <w:t>烟囱排放；</w:t>
            </w:r>
            <w:r>
              <w:rPr>
                <w:rFonts w:hint="eastAsia" w:ascii="Times New Roman"/>
                <w:color w:val="auto"/>
              </w:rPr>
              <w:t>填埋库区设置气体收集排气系统，导排采用导气竖井的方式，导气竖井间距按</w:t>
            </w:r>
            <w:r>
              <w:rPr>
                <w:rFonts w:ascii="Times New Roman"/>
                <w:color w:val="auto"/>
              </w:rPr>
              <w:t>50m</w:t>
            </w:r>
            <w:r>
              <w:rPr>
                <w:rFonts w:hint="eastAsia" w:ascii="Times New Roman"/>
                <w:color w:val="auto"/>
              </w:rPr>
              <w:t>考虑。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59" w:hRule="atLeast"/>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3.2</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废水治理</w:t>
            </w:r>
          </w:p>
        </w:tc>
        <w:tc>
          <w:tcPr>
            <w:tcW w:w="7643" w:type="dxa"/>
            <w:tcBorders>
              <w:top w:val="dotted" w:color="auto" w:sz="4" w:space="0"/>
              <w:left w:val="dotted" w:color="auto" w:sz="4" w:space="0"/>
              <w:bottom w:val="dotted" w:color="auto" w:sz="4" w:space="0"/>
              <w:right w:val="nil"/>
            </w:tcBorders>
            <w:vAlign w:val="center"/>
          </w:tcPr>
          <w:p>
            <w:pPr>
              <w:pStyle w:val="187"/>
              <w:spacing w:line="240" w:lineRule="exact"/>
              <w:jc w:val="both"/>
              <w:rPr>
                <w:rFonts w:ascii="Times New Roman"/>
                <w:color w:val="auto"/>
              </w:rPr>
            </w:pPr>
            <w:r>
              <w:rPr>
                <w:rFonts w:hint="eastAsia"/>
              </w:rPr>
              <w:t>本项目物化车间澄清池排水和沉淀池废水经</w:t>
            </w:r>
            <w:r>
              <w:t>“</w:t>
            </w:r>
            <w:r>
              <w:rPr>
                <w:rFonts w:hint="eastAsia"/>
              </w:rPr>
              <w:t>絮凝沉淀</w:t>
            </w:r>
            <w:r>
              <w:t>”</w:t>
            </w:r>
            <w:r>
              <w:rPr>
                <w:rFonts w:hint="eastAsia"/>
              </w:rPr>
              <w:t>处理后排水、焚烧车间喷淋洗涤塔排水由本车间污水处理模块经</w:t>
            </w:r>
            <w:r>
              <w:t>“</w:t>
            </w:r>
            <w:r>
              <w:rPr>
                <w:rFonts w:hint="eastAsia"/>
              </w:rPr>
              <w:t>絮凝沉淀</w:t>
            </w:r>
            <w:r>
              <w:t>”</w:t>
            </w:r>
            <w:r>
              <w:rPr>
                <w:rFonts w:hint="eastAsia"/>
              </w:rPr>
              <w:t>处理后排水、冲洗废水、安全填埋场渗滤液、物化车间酸雾吸收塔排水、循环水系统排水、余热锅炉排水及软化水系统排水、污水处理站排浓水进污水处理站采用</w:t>
            </w:r>
            <w:r>
              <w:t>“</w:t>
            </w:r>
            <w:r>
              <w:rPr>
                <w:rFonts w:hint="eastAsia"/>
              </w:rPr>
              <w:t>Fenton+强制循环蒸发</w:t>
            </w:r>
            <w:r>
              <w:t>”</w:t>
            </w:r>
            <w:r>
              <w:rPr>
                <w:rFonts w:hint="eastAsia"/>
              </w:rPr>
              <w:t>的方法进行处理，处理后的冷凝液与化验用水以及生活污水送至污水处理站，经</w:t>
            </w:r>
            <w:r>
              <w:t>“</w:t>
            </w:r>
            <w:r>
              <w:rPr>
                <w:rFonts w:hint="eastAsia"/>
              </w:rPr>
              <w:t>絮凝沉淀+水解酸化+MBR+回用系统</w:t>
            </w:r>
            <w:r>
              <w:t>”</w:t>
            </w:r>
            <w:r>
              <w:rPr>
                <w:rFonts w:hint="eastAsia"/>
              </w:rPr>
              <w:t>处理后，出水部分回用至固化车间，其余回用至焚烧车间，浓水送至固化车间。</w:t>
            </w:r>
            <w:r>
              <w:rPr>
                <w:rFonts w:hint="eastAsia"/>
                <w:lang w:val="pt-BR"/>
              </w:rPr>
              <w:t>本项目处理后的废水全部回用于各生产工段，全厂无废水外排。</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700" w:hRule="atLeast"/>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3.3</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地下水防治</w:t>
            </w:r>
          </w:p>
        </w:tc>
        <w:tc>
          <w:tcPr>
            <w:tcW w:w="7643" w:type="dxa"/>
            <w:tcBorders>
              <w:top w:val="dotted" w:color="auto" w:sz="4" w:space="0"/>
              <w:left w:val="dotted" w:color="auto" w:sz="4" w:space="0"/>
              <w:bottom w:val="dotted" w:color="auto" w:sz="4" w:space="0"/>
              <w:right w:val="nil"/>
            </w:tcBorders>
            <w:vAlign w:val="center"/>
          </w:tcPr>
          <w:p>
            <w:pPr>
              <w:snapToGrid w:val="0"/>
              <w:spacing w:line="280" w:lineRule="exact"/>
              <w:ind w:firstLine="0" w:firstLineChars="0"/>
              <w:rPr>
                <w:rFonts w:hAnsi="宋体"/>
                <w:sz w:val="21"/>
              </w:rPr>
            </w:pPr>
            <w:r>
              <w:rPr>
                <w:rFonts w:hint="eastAsia" w:cs="Times New Roman"/>
                <w:sz w:val="21"/>
              </w:rPr>
              <w:t>本项目危废综合处置厂区分为重点污染防治区和一般污染防治区，重点污染防治区设置防渗层，防渗性能应不低于</w:t>
            </w:r>
            <w:r>
              <w:rPr>
                <w:rFonts w:cs="Times New Roman"/>
                <w:sz w:val="21"/>
              </w:rPr>
              <w:t>6.0m</w:t>
            </w:r>
            <w:r>
              <w:rPr>
                <w:rFonts w:hint="eastAsia" w:cs="Times New Roman"/>
                <w:sz w:val="21"/>
              </w:rPr>
              <w:t>厚渗透系数为</w:t>
            </w:r>
            <w:r>
              <w:rPr>
                <w:rFonts w:cs="Times New Roman"/>
                <w:sz w:val="21"/>
              </w:rPr>
              <w:t>1.0×10</w:t>
            </w:r>
            <w:r>
              <w:rPr>
                <w:rFonts w:cs="Times New Roman"/>
                <w:sz w:val="21"/>
                <w:vertAlign w:val="superscript"/>
              </w:rPr>
              <w:t>-7</w:t>
            </w:r>
            <w:r>
              <w:rPr>
                <w:rFonts w:cs="Times New Roman"/>
                <w:sz w:val="21"/>
              </w:rPr>
              <w:t>cm/s</w:t>
            </w:r>
            <w:r>
              <w:rPr>
                <w:rFonts w:hint="eastAsia" w:cs="Times New Roman"/>
                <w:sz w:val="21"/>
              </w:rPr>
              <w:t>的黏土层；一般污染防治区设置防渗层，防渗性能应不低于</w:t>
            </w:r>
            <w:r>
              <w:rPr>
                <w:rFonts w:cs="Times New Roman"/>
                <w:sz w:val="21"/>
              </w:rPr>
              <w:t>1.5m</w:t>
            </w:r>
            <w:r>
              <w:rPr>
                <w:rFonts w:hint="eastAsia" w:cs="Times New Roman"/>
                <w:sz w:val="21"/>
              </w:rPr>
              <w:t>厚渗透系数为</w:t>
            </w:r>
            <w:r>
              <w:rPr>
                <w:rFonts w:cs="Times New Roman"/>
                <w:sz w:val="21"/>
              </w:rPr>
              <w:t>1.0×10</w:t>
            </w:r>
            <w:r>
              <w:rPr>
                <w:rFonts w:cs="Times New Roman"/>
                <w:sz w:val="21"/>
                <w:vertAlign w:val="superscript"/>
              </w:rPr>
              <w:t>-7</w:t>
            </w:r>
            <w:r>
              <w:rPr>
                <w:rFonts w:cs="Times New Roman"/>
                <w:sz w:val="21"/>
              </w:rPr>
              <w:t>cm/s</w:t>
            </w:r>
            <w:r>
              <w:rPr>
                <w:rFonts w:hint="eastAsia" w:cs="Times New Roman"/>
                <w:sz w:val="21"/>
              </w:rPr>
              <w:t>的黏土层。全厂污染防渗层内设置渗漏污染物收集系统。</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51" w:hRule="atLeast"/>
          <w:jc w:val="center"/>
        </w:trPr>
        <w:tc>
          <w:tcPr>
            <w:tcW w:w="660" w:type="dxa"/>
            <w:tcBorders>
              <w:top w:val="dotted" w:color="auto" w:sz="4" w:space="0"/>
              <w:left w:val="nil"/>
              <w:bottom w:val="dotted" w:color="auto" w:sz="4" w:space="0"/>
              <w:right w:val="dotted" w:color="auto" w:sz="4" w:space="0"/>
            </w:tcBorders>
            <w:vAlign w:val="center"/>
          </w:tcPr>
          <w:p>
            <w:pPr>
              <w:pStyle w:val="187"/>
              <w:spacing w:line="240" w:lineRule="exact"/>
              <w:rPr>
                <w:rFonts w:ascii="Times New Roman"/>
                <w:color w:val="auto"/>
              </w:rPr>
            </w:pPr>
            <w:r>
              <w:rPr>
                <w:rFonts w:ascii="Times New Roman"/>
                <w:color w:val="auto"/>
              </w:rPr>
              <w:t>3.4</w:t>
            </w:r>
          </w:p>
        </w:tc>
        <w:tc>
          <w:tcPr>
            <w:tcW w:w="1335" w:type="dxa"/>
            <w:gridSpan w:val="2"/>
            <w:tcBorders>
              <w:top w:val="dotted" w:color="auto" w:sz="4" w:space="0"/>
              <w:left w:val="dotted" w:color="auto" w:sz="4" w:space="0"/>
              <w:bottom w:val="dotted" w:color="auto" w:sz="4"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废渣治理</w:t>
            </w:r>
          </w:p>
        </w:tc>
        <w:tc>
          <w:tcPr>
            <w:tcW w:w="7643" w:type="dxa"/>
            <w:tcBorders>
              <w:top w:val="dotted" w:color="auto" w:sz="4" w:space="0"/>
              <w:left w:val="dotted" w:color="auto" w:sz="4" w:space="0"/>
              <w:bottom w:val="dotted" w:color="auto" w:sz="4" w:space="0"/>
              <w:right w:val="nil"/>
            </w:tcBorders>
            <w:vAlign w:val="center"/>
          </w:tcPr>
          <w:p>
            <w:pPr>
              <w:pStyle w:val="187"/>
              <w:spacing w:line="240" w:lineRule="exact"/>
              <w:jc w:val="both"/>
              <w:rPr>
                <w:rFonts w:ascii="Times New Roman"/>
                <w:color w:val="auto"/>
                <w:highlight w:val="yellow"/>
              </w:rPr>
            </w:pPr>
            <w:r>
              <w:rPr>
                <w:rFonts w:hint="eastAsia" w:ascii="Times New Roman"/>
                <w:kern w:val="0"/>
              </w:rPr>
              <w:t>有机废气净化器产生的废物送至回转窑进行焚烧处理；物化车间澄清池废渣送至固化车间经固化后安全填埋；物化车间隔油池产生的废油送至回转窑进行焚烧处理；物化车间沉淀池废渣送至固化车间经固化后安全填埋；焚烧车间产生的焚烧炉炉渣、飞灰和喷淋洗涤塔滤渣送至固化车间经固化后安全填埋；厂区污水处理站污泥送至固化车间经固化后安全填埋；强制循环蒸发系统产生盐泥送至固化车间经固化后安全填埋；强制循环蒸发系统净化器产生的废物送至回转窑进行焚烧处理；生活垃圾由当地环卫部门进行统一处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61" w:hRule="atLeast"/>
          <w:jc w:val="center"/>
        </w:trPr>
        <w:tc>
          <w:tcPr>
            <w:tcW w:w="660" w:type="dxa"/>
            <w:tcBorders>
              <w:top w:val="dotted" w:color="auto" w:sz="4" w:space="0"/>
              <w:left w:val="nil"/>
              <w:bottom w:val="single" w:color="auto" w:sz="12" w:space="0"/>
              <w:right w:val="dotted" w:color="auto" w:sz="4" w:space="0"/>
            </w:tcBorders>
            <w:vAlign w:val="center"/>
          </w:tcPr>
          <w:p>
            <w:pPr>
              <w:pStyle w:val="187"/>
              <w:spacing w:line="240" w:lineRule="exact"/>
              <w:rPr>
                <w:rFonts w:ascii="Times New Roman"/>
                <w:color w:val="auto"/>
              </w:rPr>
            </w:pPr>
            <w:r>
              <w:rPr>
                <w:rFonts w:ascii="Times New Roman"/>
                <w:color w:val="auto"/>
              </w:rPr>
              <w:t>3.5</w:t>
            </w:r>
          </w:p>
        </w:tc>
        <w:tc>
          <w:tcPr>
            <w:tcW w:w="1335" w:type="dxa"/>
            <w:gridSpan w:val="2"/>
            <w:tcBorders>
              <w:top w:val="dotted" w:color="auto" w:sz="4" w:space="0"/>
              <w:left w:val="dotted" w:color="auto" w:sz="4" w:space="0"/>
              <w:bottom w:val="single" w:color="auto" w:sz="12" w:space="0"/>
              <w:right w:val="dotted" w:color="auto" w:sz="4" w:space="0"/>
            </w:tcBorders>
            <w:vAlign w:val="center"/>
          </w:tcPr>
          <w:p>
            <w:pPr>
              <w:pStyle w:val="187"/>
              <w:spacing w:line="240" w:lineRule="exact"/>
              <w:rPr>
                <w:rFonts w:ascii="Times New Roman"/>
                <w:color w:val="auto"/>
              </w:rPr>
            </w:pPr>
            <w:r>
              <w:rPr>
                <w:rFonts w:hint="eastAsia" w:ascii="Times New Roman"/>
                <w:color w:val="auto"/>
              </w:rPr>
              <w:t>噪声治理</w:t>
            </w:r>
          </w:p>
        </w:tc>
        <w:tc>
          <w:tcPr>
            <w:tcW w:w="7643" w:type="dxa"/>
            <w:tcBorders>
              <w:top w:val="dotted" w:color="auto" w:sz="4" w:space="0"/>
              <w:left w:val="dotted" w:color="auto" w:sz="4" w:space="0"/>
              <w:bottom w:val="single" w:color="auto" w:sz="12" w:space="0"/>
              <w:right w:val="nil"/>
            </w:tcBorders>
            <w:vAlign w:val="center"/>
          </w:tcPr>
          <w:p>
            <w:pPr>
              <w:pStyle w:val="187"/>
              <w:spacing w:line="240" w:lineRule="exact"/>
              <w:rPr>
                <w:rFonts w:ascii="Times New Roman"/>
                <w:color w:val="auto"/>
              </w:rPr>
            </w:pPr>
            <w:r>
              <w:rPr>
                <w:rFonts w:hint="eastAsia" w:ascii="Times New Roman"/>
                <w:color w:val="auto"/>
              </w:rPr>
              <w:t>各噪声源均采用相应的隔声、基础减震设备。</w:t>
            </w:r>
          </w:p>
        </w:tc>
      </w:tr>
    </w:tbl>
    <w:p>
      <w:pPr>
        <w:pStyle w:val="4"/>
      </w:pPr>
      <w:bookmarkStart w:id="830" w:name="_Toc13760340"/>
      <w:r>
        <w:rPr>
          <w:rFonts w:hint="eastAsia"/>
        </w:rPr>
        <w:t>10.2环境质量现状</w:t>
      </w:r>
      <w:bookmarkEnd w:id="829"/>
      <w:bookmarkEnd w:id="830"/>
    </w:p>
    <w:p>
      <w:pPr>
        <w:pStyle w:val="5"/>
        <w:rPr>
          <w:rFonts w:asciiTheme="minorHAnsi" w:hAnsiTheme="minorHAnsi"/>
          <w:sz w:val="24"/>
        </w:rPr>
      </w:pPr>
      <w:bookmarkStart w:id="831" w:name="_Toc13760341"/>
      <w:r>
        <w:rPr>
          <w:rFonts w:hint="eastAsia"/>
        </w:rPr>
        <w:t>10.2.1环境空气</w:t>
      </w:r>
      <w:bookmarkEnd w:id="831"/>
    </w:p>
    <w:p>
      <w:pPr>
        <w:pStyle w:val="739"/>
        <w:ind w:firstLine="480"/>
        <w:rPr>
          <w:rFonts w:cs="Times New Roman" w:hAnsiTheme="minorEastAsia" w:eastAsiaTheme="minorEastAsia"/>
          <w:szCs w:val="24"/>
        </w:rPr>
      </w:pPr>
      <w:r>
        <w:rPr>
          <w:rFonts w:hint="eastAsia" w:cs="Times New Roman" w:hAnsiTheme="minorEastAsia" w:eastAsiaTheme="minorEastAsia"/>
          <w:szCs w:val="24"/>
        </w:rPr>
        <w:t>本项目区域城市环境质量采用</w:t>
      </w:r>
      <w:r>
        <w:rPr>
          <w:rFonts w:hint="eastAsia"/>
        </w:rPr>
        <w:t>《</w:t>
      </w:r>
      <w:r>
        <w:t>2017</w:t>
      </w:r>
      <w:r>
        <w:rPr>
          <w:rFonts w:hint="eastAsia"/>
        </w:rPr>
        <w:t>内蒙古自治区环境质量报告书》中阿拉善左旗地区的环境空气质量监测数据作为评价区域达标情况的依据。</w:t>
      </w:r>
      <w:r>
        <w:rPr>
          <w:rFonts w:hint="eastAsia" w:cs="Times New Roman" w:hAnsiTheme="minorEastAsia" w:eastAsiaTheme="minorEastAsia"/>
          <w:szCs w:val="24"/>
        </w:rPr>
        <w:t>由监测数据可以看出，本项目所在区域</w:t>
      </w:r>
      <w:r>
        <w:rPr>
          <w:rFonts w:cs="Times New Roman" w:hAnsiTheme="minorEastAsia" w:eastAsiaTheme="minorEastAsia"/>
          <w:szCs w:val="24"/>
        </w:rPr>
        <w:t>SO</w:t>
      </w:r>
      <w:r>
        <w:rPr>
          <w:rFonts w:cs="Times New Roman" w:hAnsiTheme="minorEastAsia" w:eastAsiaTheme="minorEastAsia"/>
          <w:szCs w:val="24"/>
          <w:vertAlign w:val="subscript"/>
        </w:rPr>
        <w:t>2</w:t>
      </w:r>
      <w:r>
        <w:rPr>
          <w:rFonts w:hint="eastAsia" w:cs="Times New Roman" w:hAnsiTheme="minorEastAsia" w:eastAsiaTheme="minorEastAsia"/>
          <w:szCs w:val="24"/>
        </w:rPr>
        <w:t>、</w:t>
      </w:r>
      <w:r>
        <w:rPr>
          <w:rFonts w:cs="Times New Roman" w:hAnsiTheme="minorEastAsia" w:eastAsiaTheme="minorEastAsia"/>
          <w:szCs w:val="24"/>
        </w:rPr>
        <w:t>NO</w:t>
      </w:r>
      <w:r>
        <w:rPr>
          <w:rFonts w:cs="Times New Roman" w:hAnsiTheme="minorEastAsia" w:eastAsiaTheme="minorEastAsia"/>
          <w:szCs w:val="24"/>
          <w:vertAlign w:val="subscript"/>
        </w:rPr>
        <w:t>2</w:t>
      </w:r>
      <w:r>
        <w:rPr>
          <w:rFonts w:hint="eastAsia" w:cs="Times New Roman" w:hAnsiTheme="minorEastAsia" w:eastAsiaTheme="minorEastAsia"/>
          <w:szCs w:val="24"/>
        </w:rPr>
        <w:t>、</w:t>
      </w:r>
      <w:r>
        <w:rPr>
          <w:rFonts w:cs="Times New Roman" w:hAnsiTheme="minorEastAsia" w:eastAsiaTheme="minorEastAsia"/>
          <w:szCs w:val="24"/>
        </w:rPr>
        <w:t>PM</w:t>
      </w:r>
      <w:r>
        <w:rPr>
          <w:rFonts w:cs="Times New Roman" w:hAnsiTheme="minorEastAsia" w:eastAsiaTheme="minorEastAsia"/>
          <w:szCs w:val="24"/>
          <w:vertAlign w:val="subscript"/>
        </w:rPr>
        <w:t>2.5</w:t>
      </w:r>
      <w:r>
        <w:rPr>
          <w:rFonts w:hint="eastAsia" w:cs="Times New Roman" w:hAnsiTheme="minorEastAsia" w:eastAsiaTheme="minorEastAsia"/>
          <w:szCs w:val="24"/>
        </w:rPr>
        <w:t>年平均质量浓度，</w:t>
      </w:r>
      <w:r>
        <w:rPr>
          <w:rFonts w:cs="Times New Roman" w:hAnsiTheme="minorEastAsia" w:eastAsiaTheme="minorEastAsia"/>
          <w:szCs w:val="24"/>
        </w:rPr>
        <w:t>CO</w:t>
      </w:r>
      <w:r>
        <w:rPr>
          <w:rFonts w:hint="eastAsia" w:cs="Times New Roman" w:hAnsiTheme="minorEastAsia" w:eastAsiaTheme="minorEastAsia"/>
          <w:szCs w:val="24"/>
        </w:rPr>
        <w:t>百分位数日平均浓度及</w:t>
      </w:r>
      <w:r>
        <w:rPr>
          <w:rFonts w:cs="Times New Roman" w:hAnsiTheme="minorEastAsia" w:eastAsiaTheme="minorEastAsia"/>
          <w:szCs w:val="24"/>
        </w:rPr>
        <w:t>O</w:t>
      </w:r>
      <w:r>
        <w:rPr>
          <w:rFonts w:cs="Times New Roman" w:hAnsiTheme="minorEastAsia" w:eastAsiaTheme="minorEastAsia"/>
          <w:szCs w:val="24"/>
          <w:vertAlign w:val="subscript"/>
        </w:rPr>
        <w:t>3</w:t>
      </w:r>
      <w:r>
        <w:rPr>
          <w:rFonts w:cs="Times New Roman" w:hAnsiTheme="minorEastAsia" w:eastAsiaTheme="minorEastAsia"/>
          <w:szCs w:val="24"/>
        </w:rPr>
        <w:t>8h</w:t>
      </w:r>
      <w:r>
        <w:rPr>
          <w:rFonts w:hint="eastAsia" w:cs="Times New Roman" w:hAnsiTheme="minorEastAsia" w:eastAsiaTheme="minorEastAsia"/>
          <w:szCs w:val="24"/>
        </w:rPr>
        <w:t>平均质量浓度均满足相应浓度限值，</w:t>
      </w:r>
      <w:r>
        <w:rPr>
          <w:rFonts w:cs="Times New Roman" w:hAnsiTheme="minorEastAsia" w:eastAsiaTheme="minorEastAsia"/>
          <w:szCs w:val="24"/>
        </w:rPr>
        <w:t>PM</w:t>
      </w:r>
      <w:r>
        <w:rPr>
          <w:rFonts w:cs="Times New Roman" w:hAnsiTheme="minorEastAsia" w:eastAsiaTheme="minorEastAsia"/>
          <w:szCs w:val="24"/>
          <w:vertAlign w:val="subscript"/>
        </w:rPr>
        <w:t>10</w:t>
      </w:r>
      <w:r>
        <w:rPr>
          <w:rFonts w:hint="eastAsia" w:cs="Times New Roman" w:hAnsiTheme="minorEastAsia" w:eastAsiaTheme="minorEastAsia"/>
          <w:szCs w:val="24"/>
        </w:rPr>
        <w:t>存在不同程度超标现象，根据《环境影响评价技术导则大气环境》（</w:t>
      </w:r>
      <w:r>
        <w:rPr>
          <w:rFonts w:cs="Times New Roman" w:hAnsiTheme="minorEastAsia" w:eastAsiaTheme="minorEastAsia"/>
          <w:szCs w:val="24"/>
        </w:rPr>
        <w:t>HJ2.2-2-2018</w:t>
      </w:r>
      <w:r>
        <w:rPr>
          <w:rFonts w:hint="eastAsia" w:cs="Times New Roman" w:hAnsiTheme="minorEastAsia" w:eastAsiaTheme="minorEastAsia"/>
          <w:szCs w:val="24"/>
        </w:rPr>
        <w:t>）</w:t>
      </w:r>
      <w:r>
        <w:rPr>
          <w:rFonts w:cs="Times New Roman" w:hAnsiTheme="minorEastAsia" w:eastAsiaTheme="minorEastAsia"/>
          <w:szCs w:val="24"/>
        </w:rPr>
        <w:t>6.4.1.1</w:t>
      </w:r>
      <w:r>
        <w:rPr>
          <w:rFonts w:hint="eastAsia" w:cs="Times New Roman" w:hAnsiTheme="minorEastAsia" w:eastAsiaTheme="minorEastAsia"/>
          <w:szCs w:val="24"/>
        </w:rPr>
        <w:t>的要求，六项污染物全部达标即为城市空气质量达标，因此，本项目所在区域城市环境空气质量不达标，不达标因子为</w:t>
      </w:r>
      <w:r>
        <w:rPr>
          <w:rFonts w:cs="Times New Roman" w:hAnsiTheme="minorEastAsia" w:eastAsiaTheme="minorEastAsia"/>
          <w:szCs w:val="24"/>
        </w:rPr>
        <w:t>PM</w:t>
      </w:r>
      <w:r>
        <w:rPr>
          <w:rFonts w:cs="Times New Roman" w:hAnsiTheme="minorEastAsia" w:eastAsiaTheme="minorEastAsia"/>
          <w:szCs w:val="24"/>
          <w:vertAlign w:val="subscript"/>
        </w:rPr>
        <w:t>10</w:t>
      </w:r>
      <w:r>
        <w:rPr>
          <w:rFonts w:hint="eastAsia" w:cs="Times New Roman" w:hAnsiTheme="minorEastAsia" w:eastAsiaTheme="minorEastAsia"/>
          <w:szCs w:val="24"/>
        </w:rPr>
        <w:t>。</w:t>
      </w:r>
    </w:p>
    <w:p>
      <w:pPr>
        <w:ind w:firstLine="480"/>
        <w:rPr>
          <w:kern w:val="0"/>
          <w:szCs w:val="24"/>
        </w:rPr>
      </w:pPr>
      <w:r>
        <w:rPr>
          <w:rFonts w:hint="eastAsia" w:cs="Times New Roman"/>
        </w:rPr>
        <w:t>本项目环境空气补充污染物现状监测引用</w:t>
      </w:r>
      <w:r>
        <w:rPr>
          <w:rFonts w:hint="eastAsia" w:hAnsi="宋体"/>
          <w:lang w:val="zh-CN"/>
        </w:rPr>
        <w:t>《</w:t>
      </w:r>
      <w:r>
        <w:rPr>
          <w:rFonts w:hint="eastAsia" w:hAnsi="宋体"/>
          <w:bCs/>
        </w:rPr>
        <w:t>阿拉善盟绿能环保科技有限公司危险废弃物处置中心项目</w:t>
      </w:r>
      <w:r>
        <w:rPr>
          <w:rFonts w:hint="eastAsia" w:hAnsi="宋体"/>
          <w:lang w:val="zh-CN"/>
        </w:rPr>
        <w:t>环境影响报告书》（内蒙古环科园环境科技有限责任公司，</w:t>
      </w:r>
      <w:r>
        <w:rPr>
          <w:rFonts w:hAnsi="宋体"/>
          <w:lang w:val="zh-CN"/>
        </w:rPr>
        <w:t>2018</w:t>
      </w:r>
      <w:r>
        <w:rPr>
          <w:rFonts w:hint="eastAsia" w:hAnsi="宋体"/>
          <w:lang w:val="zh-CN"/>
        </w:rPr>
        <w:t>年）</w:t>
      </w:r>
      <w:r>
        <w:rPr>
          <w:rFonts w:hint="eastAsia" w:hAnsi="宋体"/>
        </w:rPr>
        <w:t>中的数据。</w:t>
      </w:r>
      <w:r>
        <w:rPr>
          <w:rFonts w:hint="eastAsia"/>
          <w:kern w:val="0"/>
        </w:rPr>
        <w:t>监测结果表明，评价区域内特征污染物小时浓度、日均浓度浓度达到《工业企业设计卫生标准》</w:t>
      </w:r>
      <w:r>
        <w:rPr>
          <w:kern w:val="0"/>
        </w:rPr>
        <w:t>(TJ36-79)</w:t>
      </w:r>
      <w:r>
        <w:rPr>
          <w:rFonts w:hint="eastAsia"/>
          <w:kern w:val="0"/>
        </w:rPr>
        <w:t>、《环境空气质量标准非甲烷总烃限值》</w:t>
      </w:r>
      <w:r>
        <w:rPr>
          <w:kern w:val="0"/>
        </w:rPr>
        <w:t>(DB13/1577-2012)</w:t>
      </w:r>
      <w:r>
        <w:rPr>
          <w:rFonts w:hint="eastAsia"/>
        </w:rPr>
        <w:t>、南斯拉夫环境标准</w:t>
      </w:r>
      <w:r>
        <w:rPr>
          <w:rFonts w:hint="eastAsia"/>
          <w:szCs w:val="24"/>
        </w:rPr>
        <w:t>、</w:t>
      </w:r>
      <w:r>
        <w:rPr>
          <w:rFonts w:hint="eastAsia"/>
          <w:szCs w:val="24"/>
          <w:lang w:val="zh-CN"/>
        </w:rPr>
        <w:t>前苏联居民区大气中有害物质的最大允许浓度</w:t>
      </w:r>
      <w:r>
        <w:rPr>
          <w:szCs w:val="24"/>
          <w:lang w:val="zh-CN"/>
        </w:rPr>
        <w:t>(CH245-71)</w:t>
      </w:r>
      <w:r>
        <w:rPr>
          <w:rFonts w:hint="eastAsia"/>
          <w:kern w:val="0"/>
          <w:szCs w:val="24"/>
        </w:rPr>
        <w:t>和</w:t>
      </w:r>
      <w:r>
        <w:rPr>
          <w:rFonts w:hint="eastAsia" w:ascii="宋体" w:cs="宋体"/>
          <w:kern w:val="0"/>
          <w:szCs w:val="24"/>
        </w:rPr>
        <w:t>日本环境厅中央环境审议会制定的环境标准</w:t>
      </w:r>
      <w:r>
        <w:rPr>
          <w:rFonts w:hint="eastAsia"/>
          <w:kern w:val="0"/>
          <w:szCs w:val="24"/>
        </w:rPr>
        <w:t>，未出现超标现象。</w:t>
      </w:r>
    </w:p>
    <w:p>
      <w:pPr>
        <w:pStyle w:val="5"/>
      </w:pPr>
      <w:bookmarkStart w:id="832" w:name="_Toc13760342"/>
      <w:bookmarkStart w:id="833" w:name="_Toc3282207"/>
      <w:r>
        <w:t>10.2.2</w:t>
      </w:r>
      <w:r>
        <w:rPr>
          <w:rFonts w:hint="eastAsia"/>
        </w:rPr>
        <w:t>地下水</w:t>
      </w:r>
      <w:bookmarkEnd w:id="832"/>
      <w:bookmarkEnd w:id="833"/>
    </w:p>
    <w:p>
      <w:pPr>
        <w:pStyle w:val="601"/>
        <w:ind w:firstLine="480"/>
      </w:pPr>
      <w:bookmarkStart w:id="834" w:name="_Toc3282208"/>
      <w:r>
        <w:rPr>
          <w:rFonts w:hint="eastAsia" w:cs="Times New Roman"/>
        </w:rPr>
        <w:t>评价区</w:t>
      </w:r>
      <w:r>
        <w:rPr>
          <w:rFonts w:ascii="Times New Roman" w:cs="Times New Roman"/>
        </w:rPr>
        <w:t>1#</w:t>
      </w:r>
      <w:r>
        <w:rPr>
          <w:rFonts w:hint="eastAsia" w:cs="Times New Roman"/>
        </w:rPr>
        <w:t>和</w:t>
      </w:r>
      <w:r>
        <w:rPr>
          <w:rFonts w:ascii="Times New Roman" w:hAnsi="Times New Roman" w:cs="Times New Roman"/>
        </w:rPr>
        <w:t>2#</w:t>
      </w:r>
      <w:r>
        <w:rPr>
          <w:rFonts w:hint="eastAsia" w:cs="Times New Roman"/>
        </w:rPr>
        <w:t>监测井地下水中的氟化物的含量超标，</w:t>
      </w:r>
      <w:r>
        <w:rPr>
          <w:rFonts w:ascii="Times New Roman" w:hAnsi="Times New Roman" w:cs="Times New Roman"/>
        </w:rPr>
        <w:t>3#</w:t>
      </w:r>
      <w:r>
        <w:rPr>
          <w:rFonts w:hint="eastAsia" w:cs="Times New Roman"/>
        </w:rPr>
        <w:t>监测井溶解性总固体、硫酸盐、氯化物和氟化物超标，</w:t>
      </w:r>
      <w:r>
        <w:rPr>
          <w:rFonts w:ascii="Times New Roman" w:hAnsi="Times New Roman" w:cs="Times New Roman"/>
        </w:rPr>
        <w:t>4#</w:t>
      </w:r>
      <w:r>
        <w:rPr>
          <w:rFonts w:hint="eastAsia" w:cs="Times New Roman"/>
        </w:rPr>
        <w:t>监测井溶解性总固体超标，这是当地地下水氟化物本底值较高所致，其它各监测因子指标均符合</w:t>
      </w:r>
      <w:r>
        <w:rPr>
          <w:rFonts w:ascii="Times New Roman" w:hAnsi="Times New Roman" w:cs="Times New Roman"/>
        </w:rPr>
        <w:t>GB/T14848-93</w:t>
      </w:r>
      <w:r>
        <w:rPr>
          <w:rFonts w:hint="eastAsia" w:cs="Times New Roman"/>
        </w:rPr>
        <w:t>《地下水质量标准》Ⅲ类标准的要求，未出现超标现象。</w:t>
      </w:r>
    </w:p>
    <w:p>
      <w:pPr>
        <w:pStyle w:val="5"/>
      </w:pPr>
      <w:bookmarkStart w:id="835" w:name="_Toc13760343"/>
      <w:r>
        <w:t>10.2.3</w:t>
      </w:r>
      <w:r>
        <w:rPr>
          <w:rFonts w:hint="eastAsia"/>
        </w:rPr>
        <w:t>声环境</w:t>
      </w:r>
      <w:bookmarkEnd w:id="834"/>
      <w:bookmarkEnd w:id="835"/>
    </w:p>
    <w:p>
      <w:pPr>
        <w:adjustRightInd w:val="0"/>
        <w:snapToGrid w:val="0"/>
        <w:ind w:firstLine="480"/>
      </w:pPr>
      <w:r>
        <w:rPr>
          <w:rFonts w:hint="eastAsia"/>
        </w:rPr>
        <w:t>监测结果表明，本项目拟建厂址周围的声环境质量等效</w:t>
      </w:r>
      <w:r>
        <w:t>A</w:t>
      </w:r>
      <w:r>
        <w:rPr>
          <w:rFonts w:hint="eastAsia"/>
        </w:rPr>
        <w:t>声级昼间在</w:t>
      </w:r>
      <w:r>
        <w:t>52~56dB(A)</w:t>
      </w:r>
      <w:r>
        <w:rPr>
          <w:rFonts w:hint="eastAsia"/>
        </w:rPr>
        <w:t>之间，夜间在</w:t>
      </w:r>
      <w:r>
        <w:t>50~52dB(A)</w:t>
      </w:r>
      <w:r>
        <w:rPr>
          <w:rFonts w:hint="eastAsia"/>
        </w:rPr>
        <w:t>之间，符合《声环境质量标准》</w:t>
      </w:r>
      <w:r>
        <w:t>(GB3096-2008)3</w:t>
      </w:r>
      <w:r>
        <w:rPr>
          <w:rFonts w:hint="eastAsia"/>
        </w:rPr>
        <w:t>类标准要求，评价区声环境质量状况良好。</w:t>
      </w:r>
    </w:p>
    <w:p>
      <w:pPr>
        <w:pStyle w:val="5"/>
      </w:pPr>
      <w:bookmarkStart w:id="836" w:name="_Toc13760344"/>
      <w:r>
        <w:t>10.2.</w:t>
      </w:r>
      <w:r>
        <w:rPr>
          <w:rFonts w:hint="eastAsia"/>
        </w:rPr>
        <w:t>4土壤</w:t>
      </w:r>
      <w:bookmarkEnd w:id="836"/>
    </w:p>
    <w:p>
      <w:pPr>
        <w:pStyle w:val="161"/>
        <w:ind w:firstLine="464"/>
        <w:rPr>
          <w:lang w:val="en-US"/>
        </w:rPr>
      </w:pPr>
      <w:r>
        <w:rPr>
          <w:rFonts w:hint="eastAsia" w:cs="Times New Roman"/>
          <w:spacing w:val="-4"/>
        </w:rPr>
        <w:t>处置场各监测点位的土壤各项</w:t>
      </w:r>
      <w:r>
        <w:rPr>
          <w:rFonts w:hint="eastAsia" w:cs="Times New Roman"/>
          <w:spacing w:val="-8"/>
        </w:rPr>
        <w:t>监测指标均符合《土壤环境质量建设用地土壤污染风险管控标准》</w:t>
      </w:r>
      <w:r>
        <w:rPr>
          <w:rFonts w:cs="Times New Roman"/>
        </w:rPr>
        <w:t>(GB36600-2018)</w:t>
      </w:r>
      <w:r>
        <w:rPr>
          <w:rFonts w:hint="eastAsia" w:cs="Times New Roman"/>
        </w:rPr>
        <w:t>中第二类用地筛选值标准，区域土壤质量现状较好。</w:t>
      </w:r>
    </w:p>
    <w:p>
      <w:pPr>
        <w:pStyle w:val="4"/>
      </w:pPr>
      <w:bookmarkStart w:id="837" w:name="_Toc13760345"/>
      <w:bookmarkStart w:id="838" w:name="_Toc3282209"/>
      <w:r>
        <w:rPr>
          <w:rFonts w:hint="eastAsia"/>
        </w:rPr>
        <w:t>10.3环境影响预测和评价</w:t>
      </w:r>
      <w:bookmarkEnd w:id="837"/>
      <w:bookmarkEnd w:id="838"/>
    </w:p>
    <w:p>
      <w:pPr>
        <w:pStyle w:val="739"/>
        <w:ind w:firstLine="480"/>
        <w:outlineLvl w:val="0"/>
      </w:pPr>
      <w:bookmarkStart w:id="839" w:name="_Toc13582318"/>
      <w:bookmarkStart w:id="840" w:name="_Toc13760346"/>
      <w:r>
        <w:rPr>
          <w:rFonts w:hint="eastAsia" w:hAnsi="宋体" w:cs="宋体"/>
        </w:rPr>
        <w:t>⑴</w:t>
      </w:r>
      <w:r>
        <w:rPr>
          <w:rFonts w:hint="eastAsia"/>
        </w:rPr>
        <w:t>环境空气影响</w:t>
      </w:r>
      <w:bookmarkEnd w:id="839"/>
      <w:bookmarkEnd w:id="840"/>
    </w:p>
    <w:p>
      <w:pPr>
        <w:pStyle w:val="739"/>
        <w:ind w:firstLine="480"/>
        <w:rPr>
          <w:rFonts w:cs="Times New Roman"/>
          <w:bCs/>
        </w:rPr>
      </w:pPr>
      <w:r>
        <w:rPr>
          <w:rFonts w:hint="eastAsia" w:cs="Times New Roman"/>
        </w:rPr>
        <w:t>项目改扩建后，根据预测，</w:t>
      </w:r>
      <w:r>
        <w:rPr>
          <w:rFonts w:hint="eastAsia" w:cs="Times New Roman"/>
          <w:bCs/>
        </w:rPr>
        <w:t>项目变更后</w:t>
      </w:r>
      <w:r>
        <w:rPr>
          <w:rFonts w:cs="Times New Roman"/>
        </w:rPr>
        <w:t>VOC</w:t>
      </w:r>
      <w:r>
        <w:rPr>
          <w:rFonts w:hint="eastAsia" w:cs="Times New Roman"/>
        </w:rPr>
        <w:t>、</w:t>
      </w:r>
      <w:r>
        <w:rPr>
          <w:rFonts w:cs="Times New Roman"/>
        </w:rPr>
        <w:t>H</w:t>
      </w:r>
      <w:r>
        <w:rPr>
          <w:rFonts w:cs="Times New Roman"/>
          <w:vertAlign w:val="subscript"/>
        </w:rPr>
        <w:t>2</w:t>
      </w:r>
      <w:r>
        <w:rPr>
          <w:rFonts w:cs="Times New Roman"/>
        </w:rPr>
        <w:t>S</w:t>
      </w:r>
      <w:r>
        <w:rPr>
          <w:rFonts w:hint="eastAsia" w:cs="Times New Roman"/>
        </w:rPr>
        <w:t>、</w:t>
      </w:r>
      <w:r>
        <w:rPr>
          <w:rFonts w:cs="Times New Roman"/>
        </w:rPr>
        <w:t>NH</w:t>
      </w:r>
      <w:r>
        <w:rPr>
          <w:rFonts w:cs="Times New Roman"/>
          <w:vertAlign w:val="subscript"/>
        </w:rPr>
        <w:t>3</w:t>
      </w:r>
      <w:r>
        <w:rPr>
          <w:rFonts w:hint="eastAsia" w:cs="Times New Roman"/>
        </w:rPr>
        <w:t>、酸雾叠加背景浓度后，落地浓度比改扩建前有所增加，但增加幅度较小，未出现超标现象。</w:t>
      </w:r>
    </w:p>
    <w:p>
      <w:pPr>
        <w:pStyle w:val="739"/>
        <w:ind w:firstLine="480"/>
        <w:outlineLvl w:val="0"/>
      </w:pPr>
      <w:bookmarkStart w:id="841" w:name="_Toc13760347"/>
      <w:bookmarkStart w:id="842" w:name="_Toc13582319"/>
      <w:r>
        <w:rPr>
          <w:rFonts w:hint="eastAsia" w:hAnsi="宋体"/>
        </w:rPr>
        <w:t>⑵</w:t>
      </w:r>
      <w:r>
        <w:rPr>
          <w:rFonts w:hint="eastAsia"/>
        </w:rPr>
        <w:t>地表水环境影响</w:t>
      </w:r>
      <w:bookmarkEnd w:id="841"/>
      <w:bookmarkEnd w:id="842"/>
    </w:p>
    <w:p>
      <w:pPr>
        <w:pStyle w:val="739"/>
        <w:ind w:firstLine="480"/>
      </w:pPr>
      <w:r>
        <w:rPr>
          <w:rFonts w:hint="eastAsia" w:hAnsi="宋体"/>
        </w:rPr>
        <w:t>在正常工况下，全厂排水经污水处理站处理后均回用于各生产工段，不外排，对地表水环境影响甚微</w:t>
      </w:r>
      <w:r>
        <w:rPr>
          <w:rFonts w:hint="eastAsia"/>
        </w:rPr>
        <w:t>。</w:t>
      </w:r>
    </w:p>
    <w:p>
      <w:pPr>
        <w:pStyle w:val="739"/>
        <w:ind w:firstLine="480"/>
        <w:outlineLvl w:val="0"/>
      </w:pPr>
      <w:bookmarkStart w:id="843" w:name="_Toc13760348"/>
      <w:bookmarkStart w:id="844" w:name="_Toc13582320"/>
      <w:r>
        <w:rPr>
          <w:rFonts w:hint="eastAsia" w:hAnsi="宋体"/>
        </w:rPr>
        <w:t>⑶</w:t>
      </w:r>
      <w:r>
        <w:rPr>
          <w:rFonts w:hint="eastAsia"/>
        </w:rPr>
        <w:t>地下水环境影响</w:t>
      </w:r>
      <w:bookmarkEnd w:id="843"/>
      <w:bookmarkEnd w:id="844"/>
    </w:p>
    <w:p>
      <w:pPr>
        <w:autoSpaceDE w:val="0"/>
        <w:autoSpaceDN w:val="0"/>
        <w:adjustRightInd w:val="0"/>
        <w:snapToGrid w:val="0"/>
        <w:ind w:firstLine="480"/>
        <w:rPr>
          <w:szCs w:val="24"/>
        </w:rPr>
      </w:pPr>
      <w:r>
        <w:rPr>
          <w:rFonts w:hint="eastAsia"/>
          <w:szCs w:val="24"/>
        </w:rPr>
        <w:t>本次评价设置了</w:t>
      </w:r>
      <w:r>
        <w:rPr>
          <w:rFonts w:hint="eastAsia" w:ascii="宋体" w:hAnsi="宋体" w:cs="宋体"/>
          <w:szCs w:val="24"/>
        </w:rPr>
        <w:t>①</w:t>
      </w:r>
      <w:r>
        <w:rPr>
          <w:rFonts w:hint="eastAsia"/>
          <w:szCs w:val="24"/>
        </w:rPr>
        <w:t>污水处理系统水池持续泄漏、</w:t>
      </w:r>
      <w:r>
        <w:rPr>
          <w:rFonts w:hint="eastAsia" w:ascii="宋体" w:hAnsi="宋体" w:cs="宋体"/>
          <w:szCs w:val="24"/>
        </w:rPr>
        <w:t>②</w:t>
      </w:r>
      <w:r>
        <w:rPr>
          <w:rFonts w:hint="eastAsia"/>
          <w:szCs w:val="24"/>
        </w:rPr>
        <w:t>污水处理系统水池短时泄漏，预测结果如下：</w:t>
      </w:r>
    </w:p>
    <w:p>
      <w:pPr>
        <w:adjustRightInd w:val="0"/>
        <w:snapToGrid w:val="0"/>
        <w:ind w:firstLine="480"/>
        <w:rPr>
          <w:szCs w:val="24"/>
        </w:rPr>
      </w:pPr>
      <w:r>
        <w:rPr>
          <w:rFonts w:hint="eastAsia"/>
          <w:szCs w:val="24"/>
        </w:rPr>
        <w:t>物化车间沉淀池持续泄漏，在整个预测期内，污染物以泄漏点为起点向四周扩散，至预测期末期达到最大，此时持续泄漏形成的石油类污染晕最大范围垂直地下水流向为</w:t>
      </w:r>
      <w:r>
        <w:rPr>
          <w:szCs w:val="24"/>
        </w:rPr>
        <w:t>-8m~8m</w:t>
      </w:r>
      <w:r>
        <w:rPr>
          <w:rFonts w:hint="eastAsia"/>
          <w:szCs w:val="24"/>
        </w:rPr>
        <w:t>，直径为</w:t>
      </w:r>
      <w:r>
        <w:rPr>
          <w:szCs w:val="24"/>
        </w:rPr>
        <w:t>16m</w:t>
      </w:r>
      <w:r>
        <w:rPr>
          <w:rFonts w:hint="eastAsia"/>
          <w:szCs w:val="24"/>
        </w:rPr>
        <w:t>，平行水流方向为</w:t>
      </w:r>
      <w:r>
        <w:rPr>
          <w:szCs w:val="24"/>
        </w:rPr>
        <w:t>-8~192m</w:t>
      </w:r>
      <w:r>
        <w:rPr>
          <w:rFonts w:hint="eastAsia"/>
          <w:szCs w:val="24"/>
        </w:rPr>
        <w:t>，直径为</w:t>
      </w:r>
      <w:r>
        <w:rPr>
          <w:szCs w:val="24"/>
        </w:rPr>
        <w:t>200m</w:t>
      </w:r>
      <w:r>
        <w:rPr>
          <w:rFonts w:hint="eastAsia"/>
          <w:szCs w:val="24"/>
        </w:rPr>
        <w:t>。</w:t>
      </w:r>
    </w:p>
    <w:p>
      <w:pPr>
        <w:adjustRightInd w:val="0"/>
        <w:snapToGrid w:val="0"/>
        <w:ind w:firstLine="480"/>
        <w:rPr>
          <w:szCs w:val="24"/>
        </w:rPr>
      </w:pPr>
      <w:r>
        <w:rPr>
          <w:rFonts w:hint="eastAsia"/>
          <w:szCs w:val="24"/>
        </w:rPr>
        <w:t>焚烧车间喷淋洗涤塔排水收集池持续泄漏，地下水中形成的汞污染物迁移规律与物化车间沉淀池持续泄漏地下水中石油类污染晕迁移规律相似。地下水中的汞污染晕以泄漏点为起点向四周扩散，到泄漏的第</w:t>
      </w:r>
      <w:r>
        <w:rPr>
          <w:szCs w:val="24"/>
        </w:rPr>
        <w:t>3000</w:t>
      </w:r>
      <w:r>
        <w:rPr>
          <w:rFonts w:hint="eastAsia"/>
          <w:szCs w:val="24"/>
        </w:rPr>
        <w:t>天，污染晕的扩散范围达到最大，此后基本稳定直至泄漏末期。即焚烧车间喷淋洗涤塔排水持续泄漏形成的汞污染晕最大范围平行地下水流向为</w:t>
      </w:r>
      <w:r>
        <w:rPr>
          <w:szCs w:val="24"/>
        </w:rPr>
        <w:t>-17m~705m</w:t>
      </w:r>
      <w:r>
        <w:rPr>
          <w:rFonts w:hint="eastAsia"/>
          <w:szCs w:val="24"/>
        </w:rPr>
        <w:t>，直径为</w:t>
      </w:r>
      <w:r>
        <w:rPr>
          <w:szCs w:val="24"/>
        </w:rPr>
        <w:t>722m</w:t>
      </w:r>
      <w:r>
        <w:rPr>
          <w:rFonts w:hint="eastAsia"/>
          <w:szCs w:val="24"/>
        </w:rPr>
        <w:t>，垂直水流方向为</w:t>
      </w:r>
      <w:r>
        <w:rPr>
          <w:szCs w:val="24"/>
        </w:rPr>
        <w:t>-50~50m</w:t>
      </w:r>
      <w:r>
        <w:rPr>
          <w:rFonts w:hint="eastAsia"/>
          <w:szCs w:val="24"/>
        </w:rPr>
        <w:t>，直径为</w:t>
      </w:r>
      <w:r>
        <w:rPr>
          <w:szCs w:val="24"/>
        </w:rPr>
        <w:t>100m</w:t>
      </w:r>
      <w:r>
        <w:rPr>
          <w:rFonts w:hint="eastAsia"/>
          <w:szCs w:val="24"/>
        </w:rPr>
        <w:t>；最大超标范围平行地下水流向为</w:t>
      </w:r>
      <w:r>
        <w:rPr>
          <w:szCs w:val="24"/>
        </w:rPr>
        <w:t>-10~621m</w:t>
      </w:r>
      <w:r>
        <w:rPr>
          <w:rFonts w:hint="eastAsia"/>
          <w:szCs w:val="24"/>
        </w:rPr>
        <w:t>，直径为</w:t>
      </w:r>
      <w:r>
        <w:rPr>
          <w:szCs w:val="24"/>
        </w:rPr>
        <w:t>631m</w:t>
      </w:r>
      <w:r>
        <w:rPr>
          <w:rFonts w:hint="eastAsia"/>
          <w:szCs w:val="24"/>
        </w:rPr>
        <w:t>，垂直水流方向为</w:t>
      </w:r>
      <w:r>
        <w:rPr>
          <w:szCs w:val="24"/>
        </w:rPr>
        <w:t>-27~27m</w:t>
      </w:r>
      <w:r>
        <w:rPr>
          <w:rFonts w:hint="eastAsia"/>
          <w:szCs w:val="24"/>
        </w:rPr>
        <w:t>，直径为</w:t>
      </w:r>
      <w:r>
        <w:rPr>
          <w:szCs w:val="24"/>
        </w:rPr>
        <w:t>54m</w:t>
      </w:r>
      <w:r>
        <w:rPr>
          <w:rFonts w:hint="eastAsia"/>
          <w:szCs w:val="24"/>
        </w:rPr>
        <w:t>。</w:t>
      </w:r>
    </w:p>
    <w:p>
      <w:pPr>
        <w:adjustRightInd w:val="0"/>
        <w:snapToGrid w:val="0"/>
        <w:ind w:firstLine="480"/>
        <w:rPr>
          <w:szCs w:val="24"/>
        </w:rPr>
      </w:pPr>
      <w:r>
        <w:rPr>
          <w:rFonts w:hint="eastAsia"/>
          <w:szCs w:val="24"/>
        </w:rPr>
        <w:t>若物化车间沉淀池发生泄漏，企业能够及时发现并切断污染物向地下水中的泄漏途径，将泄漏时间控制在</w:t>
      </w:r>
      <w:r>
        <w:rPr>
          <w:szCs w:val="24"/>
        </w:rPr>
        <w:t>100</w:t>
      </w:r>
      <w:r>
        <w:rPr>
          <w:rFonts w:hint="eastAsia"/>
          <w:szCs w:val="24"/>
        </w:rPr>
        <w:t>天，则泄漏形成的石油类污染晕将在泄漏停止后逐渐缩小，直至消失。此种情景，污染晕平行水流方向最大影响范围为</w:t>
      </w:r>
      <w:r>
        <w:rPr>
          <w:szCs w:val="24"/>
        </w:rPr>
        <w:t>-5~49m</w:t>
      </w:r>
      <w:r>
        <w:rPr>
          <w:rFonts w:hint="eastAsia"/>
          <w:szCs w:val="24"/>
        </w:rPr>
        <w:t>，垂直水流方向最大影响范围为</w:t>
      </w:r>
      <w:r>
        <w:rPr>
          <w:szCs w:val="24"/>
        </w:rPr>
        <w:t>-4~4m</w:t>
      </w:r>
      <w:r>
        <w:rPr>
          <w:rFonts w:hint="eastAsia"/>
          <w:szCs w:val="24"/>
        </w:rPr>
        <w:t>，远远小于持续泄漏情景的影响范围，表明企业若能加强管理，发生泄漏及时切断污染物向含水层中的泄漏途径，可将泄漏引起的地下水污染降低至可接受的范围。</w:t>
      </w:r>
    </w:p>
    <w:p>
      <w:pPr>
        <w:adjustRightInd w:val="0"/>
        <w:snapToGrid w:val="0"/>
        <w:ind w:firstLine="480"/>
        <w:rPr>
          <w:szCs w:val="24"/>
        </w:rPr>
      </w:pPr>
      <w:r>
        <w:rPr>
          <w:rFonts w:hint="eastAsia"/>
          <w:szCs w:val="24"/>
        </w:rPr>
        <w:t>焚烧车间喷淋洗涤塔排水收集池短时泄漏在地下水中形成的汞污染晕与物化车间短时泄漏污染晕迁移情景相似。在泄漏</w:t>
      </w:r>
      <w:r>
        <w:rPr>
          <w:szCs w:val="24"/>
        </w:rPr>
        <w:t>100</w:t>
      </w:r>
      <w:r>
        <w:rPr>
          <w:rFonts w:hint="eastAsia"/>
          <w:szCs w:val="24"/>
        </w:rPr>
        <w:t>天停止泄漏后，污染晕范围在地下水的稀释作用下逐渐减小，至第</w:t>
      </w:r>
      <w:r>
        <w:rPr>
          <w:szCs w:val="24"/>
        </w:rPr>
        <w:t>600</w:t>
      </w:r>
      <w:r>
        <w:rPr>
          <w:rFonts w:hint="eastAsia"/>
          <w:szCs w:val="24"/>
        </w:rPr>
        <w:t>天，污染晕最大浓度减小至</w:t>
      </w:r>
      <w:r>
        <w:rPr>
          <w:szCs w:val="24"/>
        </w:rPr>
        <w:t>0.000045mg/L</w:t>
      </w:r>
      <w:r>
        <w:rPr>
          <w:rFonts w:hint="eastAsia"/>
          <w:szCs w:val="24"/>
        </w:rPr>
        <w:t>，小于影响范围限值</w:t>
      </w:r>
      <w:r>
        <w:rPr>
          <w:szCs w:val="24"/>
        </w:rPr>
        <w:t>(0.00005mg/L)</w:t>
      </w:r>
      <w:r>
        <w:rPr>
          <w:rFonts w:hint="eastAsia"/>
          <w:szCs w:val="24"/>
        </w:rPr>
        <w:t>，汞污染物对地下水的影响基本消失。短时泄漏汞污染晕最大影响范围直径为</w:t>
      </w:r>
      <w:r>
        <w:rPr>
          <w:szCs w:val="24"/>
        </w:rPr>
        <w:t>62m</w:t>
      </w:r>
      <w:r>
        <w:rPr>
          <w:rFonts w:hint="eastAsia"/>
          <w:szCs w:val="24"/>
        </w:rPr>
        <w:t>，远远小于持续泄漏情景的</w:t>
      </w:r>
      <w:r>
        <w:rPr>
          <w:szCs w:val="24"/>
        </w:rPr>
        <w:t>725m</w:t>
      </w:r>
      <w:r>
        <w:rPr>
          <w:rFonts w:hint="eastAsia"/>
          <w:szCs w:val="24"/>
        </w:rPr>
        <w:t>，且污染是短暂的，表明企业若能加强管理，发生泄漏及时切断污染物向含水层中的泄漏途径，可将泄漏引起的地下水污染降低至可接受的范围。</w:t>
      </w:r>
    </w:p>
    <w:p>
      <w:pPr>
        <w:pStyle w:val="739"/>
        <w:ind w:firstLine="480"/>
        <w:rPr>
          <w:szCs w:val="24"/>
        </w:rPr>
      </w:pPr>
      <w:r>
        <w:rPr>
          <w:rFonts w:hint="eastAsia" w:hAnsi="宋体"/>
        </w:rPr>
        <w:t>从地下水环境保护角度来说，项目改扩建可行。</w:t>
      </w:r>
    </w:p>
    <w:p>
      <w:pPr>
        <w:pStyle w:val="739"/>
        <w:ind w:firstLine="480"/>
        <w:outlineLvl w:val="0"/>
        <w:rPr>
          <w:szCs w:val="20"/>
        </w:rPr>
      </w:pPr>
      <w:bookmarkStart w:id="845" w:name="_Toc13760349"/>
      <w:bookmarkStart w:id="846" w:name="_Toc13582321"/>
      <w:r>
        <w:rPr>
          <w:rFonts w:hint="eastAsia" w:hAnsi="宋体"/>
        </w:rPr>
        <w:t>⑷</w:t>
      </w:r>
      <w:r>
        <w:rPr>
          <w:rFonts w:hint="eastAsia"/>
        </w:rPr>
        <w:t>声环境影响</w:t>
      </w:r>
      <w:bookmarkEnd w:id="845"/>
      <w:bookmarkEnd w:id="846"/>
    </w:p>
    <w:p>
      <w:pPr>
        <w:pStyle w:val="739"/>
        <w:ind w:firstLine="480"/>
      </w:pPr>
      <w:r>
        <w:rPr>
          <w:rFonts w:hint="eastAsia"/>
        </w:rPr>
        <w:t>在正常运行情况下，改扩建后厂界噪声最大值在</w:t>
      </w:r>
      <w:r>
        <w:t>50.11-53.</w:t>
      </w:r>
      <w:r>
        <w:rPr>
          <w:rFonts w:hint="eastAsia"/>
        </w:rPr>
        <w:t>44</w:t>
      </w:r>
      <w:r>
        <w:t>dB(A)</w:t>
      </w:r>
      <w:r>
        <w:rPr>
          <w:rFonts w:hint="eastAsia"/>
        </w:rPr>
        <w:t>之间，各个厂界噪声均达到《工业企业厂界环境噪声排放标准》</w:t>
      </w:r>
      <w:r>
        <w:t>3</w:t>
      </w:r>
      <w:r>
        <w:rPr>
          <w:rFonts w:hint="eastAsia"/>
        </w:rPr>
        <w:t>类区标准要求，因此不会产生噪声扰民现象。</w:t>
      </w:r>
    </w:p>
    <w:p>
      <w:pPr>
        <w:pStyle w:val="739"/>
        <w:ind w:firstLine="480"/>
        <w:outlineLvl w:val="0"/>
        <w:rPr>
          <w:kern w:val="0"/>
        </w:rPr>
      </w:pPr>
      <w:bookmarkStart w:id="847" w:name="_Toc13582322"/>
      <w:bookmarkStart w:id="848" w:name="_Toc13760350"/>
      <w:r>
        <w:rPr>
          <w:rFonts w:hint="eastAsia"/>
          <w:kern w:val="0"/>
        </w:rPr>
        <w:t>⑸固废影响</w:t>
      </w:r>
      <w:bookmarkEnd w:id="847"/>
      <w:bookmarkEnd w:id="848"/>
    </w:p>
    <w:p>
      <w:pPr>
        <w:pStyle w:val="739"/>
        <w:ind w:firstLine="480"/>
      </w:pPr>
      <w:r>
        <w:rPr>
          <w:rFonts w:hint="eastAsia"/>
        </w:rPr>
        <w:t>改扩建工程产生的固废大部分经本项目处理后送至安全填埋场进行填埋后，对周围环境及人体影响较小，不会造成二次污染，固废处置方式符合规范要求，处置方案可靠，对环境影响不大。</w:t>
      </w:r>
    </w:p>
    <w:p>
      <w:pPr>
        <w:pStyle w:val="178"/>
        <w:adjustRightInd w:val="0"/>
        <w:snapToGrid w:val="0"/>
        <w:ind w:firstLine="480"/>
        <w:jc w:val="both"/>
        <w:rPr>
          <w:rFonts w:ascii="Times New Roman" w:hAnsi="Times New Roman"/>
        </w:rPr>
      </w:pPr>
      <w:bookmarkStart w:id="849" w:name="_Toc532546146"/>
    </w:p>
    <w:p>
      <w:pPr>
        <w:pStyle w:val="4"/>
        <w:rPr>
          <w:sz w:val="24"/>
          <w:szCs w:val="20"/>
        </w:rPr>
      </w:pPr>
      <w:bookmarkStart w:id="850" w:name="_Toc13760351"/>
      <w:r>
        <w:rPr>
          <w:rFonts w:hint="eastAsia"/>
          <w:lang w:val="zh-CN"/>
        </w:rPr>
        <w:t>10.</w:t>
      </w:r>
      <w:r>
        <w:rPr>
          <w:lang w:val="zh-CN"/>
        </w:rPr>
        <w:t>4</w:t>
      </w:r>
      <w:r>
        <w:rPr>
          <w:rFonts w:hint="eastAsia"/>
          <w:lang w:val="zh-CN"/>
        </w:rPr>
        <w:t>风险影响分析</w:t>
      </w:r>
      <w:bookmarkEnd w:id="849"/>
      <w:bookmarkEnd w:id="850"/>
    </w:p>
    <w:p>
      <w:pPr>
        <w:adjustRightInd w:val="0"/>
        <w:snapToGrid w:val="0"/>
        <w:ind w:firstLine="480"/>
        <w:rPr>
          <w:szCs w:val="24"/>
        </w:rPr>
      </w:pPr>
      <w:r>
        <w:rPr>
          <w:rFonts w:hint="eastAsia"/>
          <w:szCs w:val="24"/>
        </w:rPr>
        <w:t>建设项目从厂区总平面布置、危化品储存管理、污染治理系统事故运行机制、工艺设备及装置、火灾报警系统等方面编制了详细的风险防范措施，并根据有关规定制定了企业的环境突发事件应急救援预案，并定期进行演练。当出现事故时，要采取紧急的工程应急措施，如有必要，要采取社会应急措施，以控制事故和减少对环境造成的危害。企业设有</w:t>
      </w:r>
      <w:r>
        <w:rPr>
          <w:rFonts w:cs="Times New Roman"/>
          <w:szCs w:val="24"/>
        </w:rPr>
        <w:t>1406.25m</w:t>
      </w:r>
      <w:r>
        <w:rPr>
          <w:rFonts w:cs="Times New Roman"/>
          <w:szCs w:val="24"/>
          <w:vertAlign w:val="superscript"/>
        </w:rPr>
        <w:t>3</w:t>
      </w:r>
      <w:r>
        <w:rPr>
          <w:rFonts w:hint="eastAsia"/>
        </w:rPr>
        <w:t>的全厂事故及雨水收集池</w:t>
      </w:r>
      <w:r>
        <w:rPr>
          <w:rFonts w:hint="eastAsia"/>
          <w:szCs w:val="24"/>
        </w:rPr>
        <w:t>，并应配套设置迅速切断事故排水直接外排并使其进入储存设施的措施。事故池应采取安全措施，且事故池在非事故状态下不得占用，以保证可以随时容纳可能发生的事故废水。</w:t>
      </w:r>
    </w:p>
    <w:p>
      <w:pPr>
        <w:adjustRightInd w:val="0"/>
        <w:snapToGrid w:val="0"/>
        <w:ind w:firstLine="480"/>
        <w:rPr>
          <w:szCs w:val="24"/>
        </w:rPr>
      </w:pPr>
      <w:r>
        <w:rPr>
          <w:rFonts w:hint="eastAsia"/>
          <w:szCs w:val="24"/>
        </w:rPr>
        <w:t>针对可能发生的环境风险所产生的特征污染物，在各类事故发生时，选择适当的因子进行应急检测，指导应急救援及环境污染治理方案的编制和实施。</w:t>
      </w:r>
    </w:p>
    <w:p>
      <w:pPr>
        <w:snapToGrid w:val="0"/>
        <w:ind w:firstLine="480"/>
        <w:rPr>
          <w:kern w:val="0"/>
        </w:rPr>
      </w:pPr>
      <w:r>
        <w:rPr>
          <w:rFonts w:hint="eastAsia"/>
          <w:szCs w:val="24"/>
        </w:rPr>
        <w:t>项目建成后，除了进行必要的工程质量、施工等方面的验收外，还必须经公安消防部门审核合格，具有国家安全评价资质的评价机构进行安全验收评价，报请国家主管部门审批后，方投入正常生产。厂内主要责任人及安全管理人员必须经安监部门培训，考核合格后持证上岗；特种作业人员必须经过专业培训持证上岗。其他从业人员均应经过三级安全教育，持证上岗。在各环境风险防范措施落实到位的情况下，将可大大降低本项目的环境风险，最大程度减少对环境可能造成的危害。</w:t>
      </w:r>
    </w:p>
    <w:p>
      <w:pPr>
        <w:pStyle w:val="4"/>
        <w:rPr>
          <w:sz w:val="24"/>
        </w:rPr>
      </w:pPr>
      <w:bookmarkStart w:id="851" w:name="_Toc461101993"/>
      <w:bookmarkStart w:id="852" w:name="_Toc165198274"/>
      <w:bookmarkStart w:id="853" w:name="_Toc187809161"/>
      <w:bookmarkStart w:id="854" w:name="_Toc187337114"/>
      <w:bookmarkStart w:id="855" w:name="_Toc188349851"/>
      <w:bookmarkStart w:id="856" w:name="_Toc187141948"/>
      <w:bookmarkStart w:id="857" w:name="_Toc532546147"/>
      <w:bookmarkStart w:id="858" w:name="_Toc213817088"/>
      <w:bookmarkStart w:id="859" w:name="_Toc213661921"/>
      <w:bookmarkStart w:id="860" w:name="_Toc13760352"/>
      <w:r>
        <w:rPr>
          <w:rFonts w:hint="eastAsia"/>
          <w:lang w:val="zh-CN"/>
        </w:rPr>
        <w:t>10</w:t>
      </w:r>
      <w:r>
        <w:rPr>
          <w:lang w:val="zh-CN"/>
        </w:rPr>
        <w:t>.5</w:t>
      </w:r>
      <w:r>
        <w:rPr>
          <w:rFonts w:hint="eastAsia"/>
          <w:lang w:val="zh-CN"/>
        </w:rPr>
        <w:t>评价总结论</w:t>
      </w:r>
      <w:bookmarkEnd w:id="851"/>
      <w:bookmarkEnd w:id="852"/>
      <w:bookmarkEnd w:id="853"/>
      <w:bookmarkEnd w:id="854"/>
      <w:bookmarkEnd w:id="855"/>
      <w:bookmarkEnd w:id="856"/>
      <w:bookmarkEnd w:id="857"/>
      <w:bookmarkEnd w:id="858"/>
      <w:bookmarkEnd w:id="859"/>
      <w:bookmarkEnd w:id="860"/>
    </w:p>
    <w:p>
      <w:pPr>
        <w:pStyle w:val="178"/>
        <w:snapToGrid w:val="0"/>
        <w:ind w:firstLine="480"/>
        <w:jc w:val="both"/>
        <w:rPr>
          <w:rFonts w:hAnsi="宋体"/>
        </w:rPr>
      </w:pPr>
      <w:r>
        <w:rPr>
          <w:rFonts w:hint="eastAsia"/>
        </w:rPr>
        <w:t>本次项目改扩建是针对</w:t>
      </w:r>
      <w:r>
        <w:rPr>
          <w:rFonts w:hint="eastAsia" w:hAnsi="宋体"/>
        </w:rPr>
        <w:t>全厂总平面布置</w:t>
      </w:r>
      <w:r>
        <w:rPr>
          <w:rFonts w:hint="eastAsia"/>
        </w:rPr>
        <w:t>、危废焚烧系统规模、固化系统规模、物化系统规模、</w:t>
      </w:r>
      <w:r>
        <w:rPr>
          <w:rFonts w:hint="eastAsia" w:hAnsi="宋体"/>
        </w:rPr>
        <w:t>危废暂存方案</w:t>
      </w:r>
      <w:r>
        <w:rPr>
          <w:rFonts w:hint="eastAsia"/>
        </w:rPr>
        <w:t>、</w:t>
      </w:r>
      <w:r>
        <w:rPr>
          <w:rFonts w:hint="eastAsia" w:hAnsi="宋体"/>
        </w:rPr>
        <w:t>填埋场规模设置方案</w:t>
      </w:r>
      <w:r>
        <w:rPr>
          <w:rFonts w:hint="eastAsia"/>
        </w:rPr>
        <w:t>、</w:t>
      </w:r>
      <w:r>
        <w:rPr>
          <w:rFonts w:hint="eastAsia" w:hAnsi="宋体"/>
        </w:rPr>
        <w:t>厂区污水处理方案进行改扩建。工艺和环保措施与原环评报告内容保持一致，未发生变化。</w:t>
      </w:r>
    </w:p>
    <w:p>
      <w:pPr>
        <w:ind w:firstLine="480"/>
        <w:rPr>
          <w:rFonts w:hAnsi="Courier New"/>
        </w:rPr>
      </w:pPr>
      <w:r>
        <w:rPr>
          <w:rFonts w:hint="eastAsia"/>
        </w:rPr>
        <w:t>经分析，改扩建后全厂废气污染物排放量有所增加，经预测，增加幅度较小，落地浓度未出现超标现象。</w:t>
      </w:r>
    </w:p>
    <w:p>
      <w:pPr>
        <w:ind w:firstLine="480"/>
      </w:pPr>
      <w:r>
        <w:rPr>
          <w:rFonts w:hint="eastAsia"/>
        </w:rPr>
        <w:t>改扩建后的全厂废水处理工艺更加可靠，进一步确保了废水回用及全厂废水零排放的可行性，不会新增对地表水的不利影响。</w:t>
      </w:r>
    </w:p>
    <w:p>
      <w:pPr>
        <w:ind w:firstLine="480"/>
      </w:pPr>
      <w:r>
        <w:rPr>
          <w:rFonts w:hint="eastAsia"/>
        </w:rPr>
        <w:t>改扩建后的全厂总平图更加合理，在采取隔声、减振等措施后，厂界噪声仍可达标。</w:t>
      </w:r>
    </w:p>
    <w:p>
      <w:pPr>
        <w:pStyle w:val="178"/>
        <w:snapToGrid w:val="0"/>
        <w:ind w:firstLine="480"/>
        <w:jc w:val="both"/>
      </w:pPr>
      <w:r>
        <w:rPr>
          <w:rFonts w:hint="eastAsia"/>
        </w:rPr>
        <w:t>改扩建后全厂危废的产生量有所增加，仍可由本项目的相关处置措施进行处理，不外送。</w:t>
      </w:r>
    </w:p>
    <w:p>
      <w:pPr>
        <w:pStyle w:val="178"/>
        <w:snapToGrid w:val="0"/>
        <w:ind w:firstLine="480"/>
        <w:jc w:val="both"/>
      </w:pPr>
      <w:r>
        <w:rPr>
          <w:rFonts w:hint="eastAsia"/>
        </w:rPr>
        <w:t>在部分环保措施进一步加强的情况下，项目环保投资有所增加。</w:t>
      </w:r>
    </w:p>
    <w:p>
      <w:pPr>
        <w:pStyle w:val="178"/>
        <w:snapToGrid w:val="0"/>
        <w:ind w:firstLine="480"/>
        <w:jc w:val="both"/>
      </w:pPr>
      <w:r>
        <w:rPr>
          <w:rFonts w:hint="eastAsia"/>
        </w:rPr>
        <w:t>总的来说，在业主提供的调整方案及本报告提出的各项环保措施充分落实到位的前提下，项目部分方案调整变更后对区域环境影响仍在可接受范围内，改扩建工程从环保角度讲是可行的。</w:t>
      </w:r>
    </w:p>
    <w:p>
      <w:pPr>
        <w:ind w:firstLine="480"/>
      </w:pPr>
    </w:p>
    <w:p>
      <w:pPr>
        <w:ind w:firstLine="480"/>
      </w:pPr>
    </w:p>
    <w:p>
      <w:pPr>
        <w:ind w:firstLine="480"/>
        <w:rPr>
          <w:rFonts w:asciiTheme="minorEastAsia" w:hAnsiTheme="minorEastAsia" w:eastAsiaTheme="minorEastAsia"/>
          <w:szCs w:val="24"/>
        </w:rPr>
        <w:sectPr>
          <w:pgSz w:w="11906" w:h="16838"/>
          <w:pgMar w:top="1418" w:right="1134" w:bottom="1418" w:left="1134" w:header="851" w:footer="850" w:gutter="0"/>
          <w:cols w:space="425" w:num="1"/>
          <w:docGrid w:type="lines" w:linePitch="326" w:charSpace="0"/>
        </w:sectPr>
      </w:pPr>
    </w:p>
    <w:p>
      <w:pPr>
        <w:pStyle w:val="3"/>
        <w:spacing w:before="163" w:after="163"/>
      </w:pPr>
      <w:bookmarkStart w:id="861" w:name="_Toc13760353"/>
      <w:bookmarkStart w:id="862" w:name="_Toc3282223"/>
      <w:r>
        <w:rPr>
          <w:rFonts w:hint="eastAsia"/>
        </w:rPr>
        <w:t>附件：</w:t>
      </w:r>
      <w:bookmarkEnd w:id="861"/>
      <w:bookmarkEnd w:id="862"/>
    </w:p>
    <w:p>
      <w:pPr>
        <w:ind w:firstLine="480"/>
        <w:rPr>
          <w:rFonts w:asciiTheme="minorEastAsia" w:hAnsiTheme="minorEastAsia" w:eastAsiaTheme="minorEastAsia"/>
          <w:szCs w:val="24"/>
        </w:rPr>
      </w:pPr>
      <w:r>
        <w:rPr>
          <w:rFonts w:hint="eastAsia" w:asciiTheme="minorEastAsia" w:hAnsiTheme="minorEastAsia" w:eastAsiaTheme="minorEastAsia"/>
          <w:szCs w:val="24"/>
        </w:rPr>
        <w:t>附件1—委托书</w:t>
      </w:r>
    </w:p>
    <w:p>
      <w:pPr>
        <w:ind w:firstLine="480"/>
        <w:rPr>
          <w:rFonts w:asciiTheme="minorEastAsia" w:hAnsiTheme="minorEastAsia" w:eastAsiaTheme="minorEastAsia"/>
          <w:szCs w:val="24"/>
        </w:rPr>
      </w:pPr>
      <w:r>
        <w:rPr>
          <w:rFonts w:hint="eastAsia" w:asciiTheme="minorEastAsia" w:hAnsiTheme="minorEastAsia" w:eastAsiaTheme="minorEastAsia"/>
          <w:szCs w:val="24"/>
        </w:rPr>
        <w:t>附件2—</w:t>
      </w:r>
      <w:r>
        <w:rPr>
          <w:rFonts w:hint="eastAsia"/>
          <w:szCs w:val="24"/>
        </w:rPr>
        <w:t>阿拉善盟环境保护局的环评批复《阿拉善盟环境保护局关于</w:t>
      </w:r>
      <w:r>
        <w:rPr>
          <w:rFonts w:hint="eastAsia" w:hAnsi="宋体"/>
          <w:bCs/>
        </w:rPr>
        <w:t>阿拉善绿能环保科技有限公司危险废弃物处置中心项目</w:t>
      </w:r>
      <w:r>
        <w:rPr>
          <w:rFonts w:hint="eastAsia" w:hAnsi="宋体"/>
          <w:lang w:val="zh-CN"/>
        </w:rPr>
        <w:t>环境影响报告书</w:t>
      </w:r>
      <w:r>
        <w:rPr>
          <w:rFonts w:hint="eastAsia"/>
          <w:szCs w:val="24"/>
        </w:rPr>
        <w:t>的批复》</w:t>
      </w:r>
      <w:r>
        <w:rPr>
          <w:rFonts w:hint="eastAsia" w:asciiTheme="minorEastAsia" w:hAnsiTheme="minorEastAsia" w:eastAsiaTheme="minorEastAsia"/>
          <w:szCs w:val="24"/>
        </w:rPr>
        <w:t>(</w:t>
      </w:r>
      <w:r>
        <w:rPr>
          <w:rFonts w:hint="eastAsia"/>
          <w:szCs w:val="24"/>
        </w:rPr>
        <w:t>阿环审</w:t>
      </w:r>
      <w:r>
        <w:rPr>
          <w:szCs w:val="24"/>
        </w:rPr>
        <w:t>[201</w:t>
      </w:r>
      <w:r>
        <w:rPr>
          <w:rFonts w:hint="eastAsia"/>
          <w:szCs w:val="24"/>
        </w:rPr>
        <w:t>8</w:t>
      </w:r>
      <w:r>
        <w:rPr>
          <w:szCs w:val="24"/>
        </w:rPr>
        <w:t>]1</w:t>
      </w:r>
      <w:r>
        <w:rPr>
          <w:rFonts w:hint="eastAsia"/>
          <w:szCs w:val="24"/>
        </w:rPr>
        <w:t>号</w:t>
      </w:r>
      <w:r>
        <w:rPr>
          <w:rFonts w:hint="eastAsia" w:asciiTheme="minorEastAsia" w:hAnsiTheme="minorEastAsia" w:eastAsiaTheme="minorEastAsia"/>
          <w:szCs w:val="24"/>
        </w:rPr>
        <w:t>)</w:t>
      </w:r>
    </w:p>
    <w:p>
      <w:pPr>
        <w:ind w:firstLine="480"/>
        <w:rPr>
          <w:rFonts w:asciiTheme="minorEastAsia" w:hAnsiTheme="minorEastAsia" w:eastAsiaTheme="minorEastAsia"/>
          <w:szCs w:val="24"/>
        </w:rPr>
      </w:pPr>
      <w:r>
        <w:rPr>
          <w:rFonts w:hint="eastAsia" w:asciiTheme="minorEastAsia" w:hAnsiTheme="minorEastAsia" w:eastAsiaTheme="minorEastAsia"/>
          <w:szCs w:val="24"/>
        </w:rPr>
        <w:t>附件3—监测报告</w:t>
      </w:r>
    </w:p>
    <w:p>
      <w:pPr>
        <w:ind w:firstLine="480"/>
        <w:rPr>
          <w:rFonts w:asciiTheme="minorEastAsia" w:hAnsiTheme="minorEastAsia" w:eastAsiaTheme="minorEastAsia"/>
          <w:szCs w:val="24"/>
        </w:rPr>
      </w:pPr>
    </w:p>
    <w:p>
      <w:pPr>
        <w:ind w:firstLine="480"/>
        <w:rPr>
          <w:rFonts w:asciiTheme="minorEastAsia" w:hAnsiTheme="minorEastAsia" w:eastAsiaTheme="minorEastAsia"/>
          <w:szCs w:val="24"/>
        </w:rPr>
      </w:pPr>
    </w:p>
    <w:p>
      <w:pPr>
        <w:pStyle w:val="28"/>
        <w:ind w:firstLine="480"/>
        <w:rPr>
          <w:rFonts w:asciiTheme="minorEastAsia" w:hAnsiTheme="minorEastAsia" w:eastAsiaTheme="minorEastAsia"/>
          <w:szCs w:val="24"/>
        </w:rPr>
      </w:pPr>
    </w:p>
    <w:sectPr>
      <w:pgSz w:w="11906" w:h="16838"/>
      <w:pgMar w:top="1418" w:right="1134" w:bottom="1418" w:left="1134" w:header="851" w:footer="850"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2FF" w:usb1="400004FF" w:usb2="00000000" w:usb3="00000000" w:csb0="2000019F" w:csb1="00000000"/>
  </w:font>
  <w:font w:name="汉鼎简书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FLGPEK+TimesNewRoman,Italic">
    <w:altName w:val="宋体"/>
    <w:panose1 w:val="00000000000000000000"/>
    <w:charset w:val="86"/>
    <w:family w:val="roma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Garamond">
    <w:altName w:val="RomanS"/>
    <w:panose1 w:val="02020404030301010803"/>
    <w:charset w:val="00"/>
    <w:family w:val="roman"/>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Vladimir Script">
    <w:altName w:val="Mongolian Baiti"/>
    <w:panose1 w:val="03050402040407070305"/>
    <w:charset w:val="00"/>
    <w:family w:val="script"/>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Gungsuh">
    <w:panose1 w:val="02030600000101010101"/>
    <w:charset w:val="81"/>
    <w:family w:val="roman"/>
    <w:pitch w:val="default"/>
    <w:sig w:usb0="B00002AF" w:usb1="69D77CFB" w:usb2="00000030" w:usb3="00000000" w:csb0="4008009F" w:csb1="DFD70000"/>
  </w:font>
  <w:font w:name="Batang">
    <w:panose1 w:val="02030600000101010101"/>
    <w:charset w:val="81"/>
    <w:family w:val="roman"/>
    <w:pitch w:val="default"/>
    <w:sig w:usb0="B00002AF" w:usb1="69D77CFB" w:usb2="00000030" w:usb3="00000000" w:csb0="4008009F" w:csb1="DFD70000"/>
  </w:font>
  <w:font w:name="Arial Rounded MT Bold">
    <w:altName w:val="Arial"/>
    <w:panose1 w:val="020F0704030504030204"/>
    <w:charset w:val="00"/>
    <w:family w:val="swiss"/>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auto"/>
    <w:pitch w:val="default"/>
    <w:sig w:usb0="00000000" w:usb1="00000000" w:usb2="00000010"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Century Schoolbook">
    <w:altName w:val="Segoe Print"/>
    <w:panose1 w:val="02040604050505020304"/>
    <w:charset w:val="00"/>
    <w:family w:val="roman"/>
    <w:pitch w:val="default"/>
    <w:sig w:usb0="00000000" w:usb1="00000000" w:usb2="00000000" w:usb3="00000000" w:csb0="0000009F" w:csb1="00000000"/>
  </w:font>
  <w:font w:name="CG Times (W1)">
    <w:altName w:val="Times New Roman"/>
    <w:panose1 w:val="00000000000000000000"/>
    <w:charset w:val="00"/>
    <w:family w:val="roman"/>
    <w:pitch w:val="default"/>
    <w:sig w:usb0="00000000" w:usb1="00000000" w:usb2="00000000" w:usb3="00000000" w:csb0="00000001" w:csb1="00000000"/>
  </w:font>
  <w:font w:name="宋体-18030">
    <w:altName w:val="宋体"/>
    <w:panose1 w:val="00000000000000000000"/>
    <w:charset w:val="86"/>
    <w:family w:val="auto"/>
    <w:pitch w:val="default"/>
    <w:sig w:usb0="00000000" w:usb1="00000000" w:usb2="000A005E" w:usb3="00000000" w:csb0="00040001" w:csb1="00000000"/>
  </w:font>
  <w:font w:name="Kai Titling">
    <w:altName w:val="黑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方正粗圆简体">
    <w:altName w:val="宋体"/>
    <w:panose1 w:val="00000000000000000000"/>
    <w:charset w:val="86"/>
    <w:family w:val="auto"/>
    <w:pitch w:val="default"/>
    <w:sig w:usb0="00000000" w:usb1="00000000" w:usb2="00000010" w:usb3="00000000" w:csb0="00040000" w:csb1="00000000"/>
  </w:font>
  <w:font w:name="Vrinda">
    <w:panose1 w:val="020B0502040204020203"/>
    <w:charset w:val="00"/>
    <w:family w:val="swiss"/>
    <w:pitch w:val="default"/>
    <w:sig w:usb0="00010003"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Chicago">
    <w:altName w:val="Arial"/>
    <w:panose1 w:val="00000000000000000000"/>
    <w:charset w:val="00"/>
    <w:family w:val="swiss"/>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方正宋三简体">
    <w:altName w:val="宋体"/>
    <w:panose1 w:val="00000000000000000000"/>
    <w:charset w:val="86"/>
    <w:family w:val="auto"/>
    <w:pitch w:val="default"/>
    <w:sig w:usb0="00000000" w:usb1="00000000" w:usb2="00000010" w:usb3="00000000" w:csb0="00040000" w:csb1="00000000"/>
  </w:font>
  <w:font w:name="CG Omega">
    <w:altName w:val="Arial"/>
    <w:panose1 w:val="00000000000000000000"/>
    <w:charset w:val="00"/>
    <w:family w:val="swiss"/>
    <w:pitch w:val="default"/>
    <w:sig w:usb0="00000000" w:usb1="00000000" w:usb2="00000000" w:usb3="00000000" w:csb0="00000093" w:csb1="00000000"/>
  </w:font>
  <w:font w:name="Century">
    <w:altName w:val="Nyala"/>
    <w:panose1 w:val="02040604050505020304"/>
    <w:charset w:val="00"/>
    <w:family w:val="roman"/>
    <w:pitch w:val="default"/>
    <w:sig w:usb0="00000000"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MS Mincho">
    <w:panose1 w:val="02020609040205080304"/>
    <w:charset w:val="80"/>
    <w:family w:val="modern"/>
    <w:pitch w:val="default"/>
    <w:sig w:usb0="E00002FF" w:usb1="6AC7FDFB" w:usb2="00000012" w:usb3="00000000" w:csb0="4002009F" w:csb1="DFD70000"/>
  </w:font>
  <w:font w:name="五">
    <w:altName w:val="黑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MSMincho">
    <w:altName w:val="MS Gothic"/>
    <w:panose1 w:val="00000000000000000000"/>
    <w:charset w:val="80"/>
    <w:family w:val="auto"/>
    <w:pitch w:val="default"/>
    <w:sig w:usb0="00000000" w:usb1="00000000" w:usb2="00000010" w:usb3="00000000" w:csb0="00020000" w:csb1="00000000"/>
  </w:font>
  <w:font w:name="ӗԲ">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幼圆">
    <w:altName w:val="宋体"/>
    <w:panose1 w:val="02010509060101010101"/>
    <w:charset w:val="86"/>
    <w:family w:val="modern"/>
    <w:pitch w:val="default"/>
    <w:sig w:usb0="00000000" w:usb1="00000000" w:usb2="00000010" w:usb3="00000000" w:csb0="00040000" w:csb1="00000000"/>
  </w:font>
  <w:font w:name="JIJGJC+TimesNewRomanPS">
    <w:altName w:val="宋体"/>
    <w:panose1 w:val="00000000000000000000"/>
    <w:charset w:val="86"/>
    <w:family w:val="roman"/>
    <w:pitch w:val="default"/>
    <w:sig w:usb0="00000000" w:usb1="00000000" w:usb2="00000010" w:usb3="00000000" w:csb0="00040000" w:csb1="00000000"/>
  </w:font>
  <w:font w:name="Sim Sun">
    <w:altName w:val="微软雅黑"/>
    <w:panose1 w:val="00000000000000000000"/>
    <w:charset w:val="86"/>
    <w:family w:val="swiss"/>
    <w:pitch w:val="default"/>
    <w:sig w:usb0="00000000" w:usb1="00000000" w:usb2="00000010" w:usb3="00000000" w:csb0="00040000" w:csb1="00000000"/>
  </w:font>
  <w:font w:name="长城楷体">
    <w:altName w:val="黑体"/>
    <w:panose1 w:val="00000000000000000000"/>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Mincho">
    <w:altName w:val="MS Mincho"/>
    <w:panose1 w:val="02020609040305080305"/>
    <w:charset w:val="80"/>
    <w:family w:val="roman"/>
    <w:pitch w:val="default"/>
    <w:sig w:usb0="00000000" w:usb1="00000000" w:usb2="00000010" w:usb3="00000000" w:csb0="00020000" w:csb1="00000000"/>
  </w:font>
  <w:font w:name="Plotter">
    <w:altName w:val="Arial"/>
    <w:panose1 w:val="00000000000000000000"/>
    <w:charset w:val="00"/>
    <w:family w:val="roman"/>
    <w:pitch w:val="default"/>
    <w:sig w:usb0="00000000" w:usb1="00000000" w:usb2="0000006E" w:usb3="00650000" w:csb0="00200077" w:csb1="006F0052"/>
  </w:font>
  <w:font w:name="SimSun-Identity-H">
    <w:altName w:val="宋体"/>
    <w:panose1 w:val="00000000000000000000"/>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ڢ,  ڌ墬 ˎ̥">
    <w:altName w:val="宋体"/>
    <w:panose1 w:val="00000000000000000000"/>
    <w:charset w:val="86"/>
    <w:family w:val="auto"/>
    <w:pitch w:val="default"/>
    <w:sig w:usb0="00000000" w:usb1="00000000" w:usb2="00000010" w:usb3="00000000" w:csb0="00040000" w:csb1="00000000"/>
  </w:font>
  <w:font w:name="DFKai-SB">
    <w:panose1 w:val="03000509000000000000"/>
    <w:charset w:val="88"/>
    <w:family w:val="script"/>
    <w:pitch w:val="default"/>
    <w:sig w:usb0="00000003" w:usb1="082E0000" w:usb2="00000016" w:usb3="00000000" w:csb0="00100001" w:csb1="00000000"/>
  </w:font>
  <w:font w:name="Cordia New">
    <w:panose1 w:val="020B0304020202020204"/>
    <w:charset w:val="00"/>
    <w:family w:val="swiss"/>
    <w:pitch w:val="default"/>
    <w:sig w:usb0="81000003" w:usb1="00000000" w:usb2="00000000" w:usb3="00000000" w:csb0="00010001" w:csb1="00000000"/>
  </w:font>
  <w:font w:name="等线">
    <w:altName w:val="微软雅黑"/>
    <w:panose1 w:val="00000000000000000000"/>
    <w:charset w:val="86"/>
    <w:family w:val="auto"/>
    <w:pitch w:val="default"/>
    <w:sig w:usb0="00000000" w:usb1="00000000" w:usb2="00000016" w:usb3="00000000" w:csb0="0004000F" w:csb1="00000000"/>
  </w:font>
  <w:font w:name="TimesNewRomanPSMT">
    <w:altName w:val="黑体"/>
    <w:panose1 w:val="00000000000000000000"/>
    <w:charset w:val="86"/>
    <w:family w:val="auto"/>
    <w:pitch w:val="default"/>
    <w:sig w:usb0="00000000" w:usb1="00000000" w:usb2="00000010" w:usb3="00000000" w:csb0="00040000" w:csb1="00000000"/>
  </w:font>
  <w:font w:name="宋体e眠副浡渀.">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RomanS">
    <w:panose1 w:val="02000400000000000000"/>
    <w:charset w:val="00"/>
    <w:family w:val="auto"/>
    <w:pitch w:val="default"/>
    <w:sig w:usb0="00000207" w:usb1="00000000" w:usb2="00000000" w:usb3="00000000" w:csb0="000001FF" w:csb1="00000000"/>
  </w:font>
  <w:font w:name="Mongolian Baiti">
    <w:panose1 w:val="03000500000000000000"/>
    <w:charset w:val="00"/>
    <w:family w:val="auto"/>
    <w:pitch w:val="default"/>
    <w:sig w:usb0="80000023" w:usb1="00000000" w:usb2="00020000" w:usb3="00000000" w:csb0="00000001" w:csb1="00000000"/>
  </w:font>
  <w:font w:name="Segoe Print">
    <w:panose1 w:val="02000600000000000000"/>
    <w:charset w:val="00"/>
    <w:family w:val="auto"/>
    <w:pitch w:val="default"/>
    <w:sig w:usb0="0000028F" w:usb1="00000000" w:usb2="00000000" w:usb3="00000000" w:csb0="2000009F" w:csb1="47010000"/>
  </w:font>
  <w:font w:name="Nyala">
    <w:panose1 w:val="02000504070300020003"/>
    <w:charset w:val="00"/>
    <w:family w:val="auto"/>
    <w:pitch w:val="default"/>
    <w:sig w:usb0="A000006F" w:usb1="00000000" w:usb2="00000800" w:usb3="00000000" w:csb0="00000093"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double" w:color="auto" w:sz="6" w:space="1"/>
      </w:pBd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66947"/>
    </w:sdtPr>
    <w:sdtContent>
      <w:p>
        <w:pPr>
          <w:pStyle w:val="55"/>
          <w:pBdr>
            <w:top w:val="single" w:color="auto" w:sz="12" w:space="1"/>
          </w:pBdr>
          <w:ind w:firstLine="360"/>
          <w:jc w:val="center"/>
        </w:pPr>
        <w:r>
          <w:fldChar w:fldCharType="begin"/>
        </w:r>
        <w:r>
          <w:instrText xml:space="preserve"> PAGE   \* MERGEFORMAT </w:instrText>
        </w:r>
        <w:r>
          <w:fldChar w:fldCharType="separate"/>
        </w:r>
        <w:r>
          <w:rPr>
            <w:lang w:val="zh-CN"/>
          </w:rPr>
          <w:t>4</w:t>
        </w:r>
        <w:r>
          <w:rPr>
            <w:lang w:val="zh-CN"/>
          </w:rPr>
          <w:fldChar w:fldCharType="end"/>
        </w:r>
      </w:p>
    </w:sdtContent>
  </w:sdt>
  <w:p>
    <w:pPr>
      <w:pStyle w:val="5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66951"/>
    </w:sdtPr>
    <w:sdtContent>
      <w:p>
        <w:pPr>
          <w:pStyle w:val="55"/>
          <w:pBdr>
            <w:top w:val="single" w:color="auto" w:sz="12" w:space="1"/>
          </w:pBdr>
          <w:ind w:firstLine="360"/>
          <w:jc w:val="center"/>
        </w:pPr>
        <w:r>
          <w:fldChar w:fldCharType="begin"/>
        </w:r>
        <w:r>
          <w:instrText xml:space="preserve"> PAGE   \* MERGEFORMAT </w:instrText>
        </w:r>
        <w:r>
          <w:fldChar w:fldCharType="separate"/>
        </w:r>
        <w:r>
          <w:rPr>
            <w:lang w:val="zh-CN"/>
          </w:rPr>
          <w:t>260</w:t>
        </w:r>
        <w:r>
          <w:rPr>
            <w:lang w:val="zh-CN"/>
          </w:rPr>
          <w:fldChar w:fldCharType="end"/>
        </w:r>
      </w:p>
    </w:sdtContent>
  </w:sdt>
  <w:p>
    <w:pPr>
      <w:pStyle w:val="5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thickThinSmallGap" w:color="auto" w:sz="24" w:space="1"/>
      </w:pBdr>
      <w:ind w:firstLine="361"/>
      <w:rPr>
        <w:b/>
      </w:rPr>
    </w:pPr>
    <w:r>
      <w:rPr>
        <w:rFonts w:hint="eastAsia"/>
        <w:b/>
      </w:rPr>
      <w:t>阿拉善盟绿能环保科技有限公司危险废弃物处置中心改扩建项目环境影响报告书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thickThinSmallGap" w:color="auto" w:sz="24" w:space="1"/>
      </w:pBdr>
      <w:ind w:firstLine="361"/>
      <w:rPr>
        <w:b/>
      </w:rPr>
    </w:pPr>
    <w:r>
      <w:rPr>
        <w:rFonts w:hint="eastAsia"/>
        <w:b/>
      </w:rPr>
      <w:t>阿拉善盟绿能环保科技有限公司危险废弃物处置中心改扩建项目环境影响报告书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2"/>
    <w:multiLevelType w:val="multilevel"/>
    <w:tmpl w:val="00000032"/>
    <w:lvl w:ilvl="0" w:tentative="0">
      <w:start w:val="1"/>
      <w:numFmt w:val="decimal"/>
      <w:lvlText w:val="(%1)"/>
      <w:lvlJc w:val="left"/>
      <w:pPr>
        <w:tabs>
          <w:tab w:val="left" w:pos="360"/>
        </w:tabs>
        <w:ind w:left="360" w:hanging="360"/>
      </w:pPr>
      <w:rPr>
        <w:rFonts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37146F6"/>
    <w:multiLevelType w:val="multilevel"/>
    <w:tmpl w:val="037146F6"/>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268479F"/>
    <w:multiLevelType w:val="multilevel"/>
    <w:tmpl w:val="1268479F"/>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3235A03"/>
    <w:multiLevelType w:val="multilevel"/>
    <w:tmpl w:val="13235A03"/>
    <w:lvl w:ilvl="0" w:tentative="0">
      <w:start w:val="1"/>
      <w:numFmt w:val="decimal"/>
      <w:lvlText w:val="(%1)"/>
      <w:lvlJc w:val="left"/>
      <w:pPr>
        <w:ind w:left="620" w:hanging="420"/>
      </w:pPr>
      <w:rPr>
        <w:rFonts w:hint="default" w:ascii="Times New Roman" w:hAnsi="Times New Roman"/>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4">
    <w:nsid w:val="1B5E2C1A"/>
    <w:multiLevelType w:val="multilevel"/>
    <w:tmpl w:val="1B5E2C1A"/>
    <w:lvl w:ilvl="0" w:tentative="0">
      <w:start w:val="1"/>
      <w:numFmt w:val="decimal"/>
      <w:lvlText w:val="(%1)"/>
      <w:lvlJc w:val="left"/>
      <w:pPr>
        <w:tabs>
          <w:tab w:val="left" w:pos="360"/>
        </w:tabs>
        <w:ind w:left="360" w:hanging="360"/>
      </w:pPr>
      <w:rPr>
        <w:rFonts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4813238"/>
    <w:multiLevelType w:val="multilevel"/>
    <w:tmpl w:val="24813238"/>
    <w:lvl w:ilvl="0" w:tentative="0">
      <w:start w:val="1"/>
      <w:numFmt w:val="decimal"/>
      <w:lvlText w:val="(%1)"/>
      <w:lvlJc w:val="left"/>
      <w:pPr>
        <w:tabs>
          <w:tab w:val="left" w:pos="360"/>
        </w:tabs>
        <w:ind w:left="360" w:hanging="360"/>
      </w:pPr>
      <w:rPr>
        <w:rFonts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8C95C3C"/>
    <w:multiLevelType w:val="multilevel"/>
    <w:tmpl w:val="28C95C3C"/>
    <w:lvl w:ilvl="0" w:tentative="0">
      <w:start w:val="1"/>
      <w:numFmt w:val="decimal"/>
      <w:lvlText w:val="(%1)"/>
      <w:lvlJc w:val="left"/>
      <w:pPr>
        <w:tabs>
          <w:tab w:val="left" w:pos="360"/>
        </w:tabs>
        <w:ind w:left="360" w:hanging="360"/>
      </w:pPr>
      <w:rPr>
        <w:rFonts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E4D5268"/>
    <w:multiLevelType w:val="multilevel"/>
    <w:tmpl w:val="3E4D5268"/>
    <w:lvl w:ilvl="0" w:tentative="0">
      <w:start w:val="1"/>
      <w:numFmt w:val="decimal"/>
      <w:lvlText w:val="(%1)"/>
      <w:lvlJc w:val="left"/>
      <w:pPr>
        <w:ind w:left="900" w:hanging="420"/>
      </w:pPr>
      <w:rPr>
        <w:rFonts w:hint="default" w:ascii="Times New Roman"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49952A0"/>
    <w:multiLevelType w:val="multilevel"/>
    <w:tmpl w:val="449952A0"/>
    <w:lvl w:ilvl="0" w:tentative="0">
      <w:start w:val="1"/>
      <w:numFmt w:val="decimal"/>
      <w:lvlText w:val="(%1)"/>
      <w:lvlJc w:val="left"/>
      <w:pPr>
        <w:tabs>
          <w:tab w:val="left" w:pos="360"/>
        </w:tabs>
        <w:ind w:left="360" w:hanging="360"/>
      </w:pPr>
      <w:rPr>
        <w:rFonts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B750321"/>
    <w:multiLevelType w:val="multilevel"/>
    <w:tmpl w:val="4B750321"/>
    <w:lvl w:ilvl="0" w:tentative="0">
      <w:start w:val="1"/>
      <w:numFmt w:val="decimal"/>
      <w:lvlText w:val="（%1）"/>
      <w:lvlJc w:val="left"/>
      <w:pPr>
        <w:ind w:left="420" w:hanging="420"/>
      </w:pPr>
      <w:rPr>
        <w:rFonts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11C4A14"/>
    <w:multiLevelType w:val="multilevel"/>
    <w:tmpl w:val="611C4A14"/>
    <w:lvl w:ilvl="0" w:tentative="0">
      <w:start w:val="1"/>
      <w:numFmt w:val="decimal"/>
      <w:lvlText w:val="(%1)"/>
      <w:lvlJc w:val="left"/>
      <w:pPr>
        <w:ind w:left="1260" w:hanging="420"/>
      </w:pPr>
      <w:rPr>
        <w:rFonts w:hint="default" w:ascii="Times New Roman" w:hAnsi="Times New Roman"/>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613906CD"/>
    <w:multiLevelType w:val="multilevel"/>
    <w:tmpl w:val="613906CD"/>
    <w:lvl w:ilvl="0" w:tentative="0">
      <w:start w:val="1"/>
      <w:numFmt w:val="decimal"/>
      <w:lvlText w:val="(%1)"/>
      <w:lvlJc w:val="left"/>
      <w:pPr>
        <w:tabs>
          <w:tab w:val="left" w:pos="360"/>
        </w:tabs>
        <w:ind w:left="360" w:hanging="360"/>
      </w:pPr>
      <w:rPr>
        <w:rFonts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98D0CD7"/>
    <w:multiLevelType w:val="multilevel"/>
    <w:tmpl w:val="698D0CD7"/>
    <w:lvl w:ilvl="0" w:tentative="0">
      <w:start w:val="1"/>
      <w:numFmt w:val="decimal"/>
      <w:lvlText w:val="(%1)"/>
      <w:lvlJc w:val="left"/>
      <w:pPr>
        <w:tabs>
          <w:tab w:val="left" w:pos="360"/>
        </w:tabs>
        <w:ind w:left="360" w:hanging="360"/>
      </w:pPr>
      <w:rPr>
        <w:rFonts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1"/>
  </w:num>
  <w:num w:numId="3">
    <w:abstractNumId w:val="3"/>
  </w:num>
  <w:num w:numId="4">
    <w:abstractNumId w:val="2"/>
  </w:num>
  <w:num w:numId="5">
    <w:abstractNumId w:val="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50B44"/>
    <w:rsid w:val="000008B6"/>
    <w:rsid w:val="00001AEB"/>
    <w:rsid w:val="000026C8"/>
    <w:rsid w:val="00003DF3"/>
    <w:rsid w:val="0000446C"/>
    <w:rsid w:val="0000597A"/>
    <w:rsid w:val="000062DE"/>
    <w:rsid w:val="00012864"/>
    <w:rsid w:val="00013146"/>
    <w:rsid w:val="0001545E"/>
    <w:rsid w:val="00015835"/>
    <w:rsid w:val="00015EEA"/>
    <w:rsid w:val="0001633E"/>
    <w:rsid w:val="0001690B"/>
    <w:rsid w:val="00016D42"/>
    <w:rsid w:val="0001723B"/>
    <w:rsid w:val="00017DD1"/>
    <w:rsid w:val="00017EA7"/>
    <w:rsid w:val="00020DCA"/>
    <w:rsid w:val="00021F8A"/>
    <w:rsid w:val="00022A74"/>
    <w:rsid w:val="000232DA"/>
    <w:rsid w:val="000238E5"/>
    <w:rsid w:val="00023E1D"/>
    <w:rsid w:val="0002563E"/>
    <w:rsid w:val="00025EAD"/>
    <w:rsid w:val="000336C7"/>
    <w:rsid w:val="00033E7E"/>
    <w:rsid w:val="00035DFA"/>
    <w:rsid w:val="000364CD"/>
    <w:rsid w:val="0004097F"/>
    <w:rsid w:val="00041A03"/>
    <w:rsid w:val="00041F26"/>
    <w:rsid w:val="00042532"/>
    <w:rsid w:val="00042F42"/>
    <w:rsid w:val="00043D04"/>
    <w:rsid w:val="000442EA"/>
    <w:rsid w:val="00044751"/>
    <w:rsid w:val="000448F5"/>
    <w:rsid w:val="00044CFF"/>
    <w:rsid w:val="00046166"/>
    <w:rsid w:val="00046627"/>
    <w:rsid w:val="00046C32"/>
    <w:rsid w:val="000512E8"/>
    <w:rsid w:val="00051774"/>
    <w:rsid w:val="00053098"/>
    <w:rsid w:val="000545B6"/>
    <w:rsid w:val="000547DA"/>
    <w:rsid w:val="00054BB7"/>
    <w:rsid w:val="000550F0"/>
    <w:rsid w:val="000557D0"/>
    <w:rsid w:val="000611CF"/>
    <w:rsid w:val="000613A8"/>
    <w:rsid w:val="00063A27"/>
    <w:rsid w:val="00066131"/>
    <w:rsid w:val="00067B14"/>
    <w:rsid w:val="000716BE"/>
    <w:rsid w:val="00071B4F"/>
    <w:rsid w:val="0007216B"/>
    <w:rsid w:val="000722AF"/>
    <w:rsid w:val="000724C8"/>
    <w:rsid w:val="00073DA7"/>
    <w:rsid w:val="0007407C"/>
    <w:rsid w:val="00074E0F"/>
    <w:rsid w:val="00076BCA"/>
    <w:rsid w:val="0008104F"/>
    <w:rsid w:val="000814DC"/>
    <w:rsid w:val="000845A9"/>
    <w:rsid w:val="000879B0"/>
    <w:rsid w:val="00087FC2"/>
    <w:rsid w:val="00090655"/>
    <w:rsid w:val="00090ADF"/>
    <w:rsid w:val="00090E6F"/>
    <w:rsid w:val="000930CA"/>
    <w:rsid w:val="00093C0D"/>
    <w:rsid w:val="00093C2B"/>
    <w:rsid w:val="0009566C"/>
    <w:rsid w:val="0009579F"/>
    <w:rsid w:val="0009623C"/>
    <w:rsid w:val="00096472"/>
    <w:rsid w:val="00097046"/>
    <w:rsid w:val="00097DA0"/>
    <w:rsid w:val="000A0FB8"/>
    <w:rsid w:val="000A4803"/>
    <w:rsid w:val="000A7751"/>
    <w:rsid w:val="000A7E2C"/>
    <w:rsid w:val="000B1401"/>
    <w:rsid w:val="000B2538"/>
    <w:rsid w:val="000B3842"/>
    <w:rsid w:val="000B3A34"/>
    <w:rsid w:val="000B3E0A"/>
    <w:rsid w:val="000C0D34"/>
    <w:rsid w:val="000C136D"/>
    <w:rsid w:val="000C26D7"/>
    <w:rsid w:val="000C4052"/>
    <w:rsid w:val="000C423D"/>
    <w:rsid w:val="000C652D"/>
    <w:rsid w:val="000C7971"/>
    <w:rsid w:val="000D0853"/>
    <w:rsid w:val="000D2357"/>
    <w:rsid w:val="000D4AEC"/>
    <w:rsid w:val="000D66BF"/>
    <w:rsid w:val="000D69AE"/>
    <w:rsid w:val="000D6B20"/>
    <w:rsid w:val="000D7D35"/>
    <w:rsid w:val="000E0ED1"/>
    <w:rsid w:val="000E2F23"/>
    <w:rsid w:val="000E433E"/>
    <w:rsid w:val="000E5DE1"/>
    <w:rsid w:val="000E650E"/>
    <w:rsid w:val="000E74BC"/>
    <w:rsid w:val="000F0DF1"/>
    <w:rsid w:val="000F3549"/>
    <w:rsid w:val="000F3A37"/>
    <w:rsid w:val="000F3D49"/>
    <w:rsid w:val="000F69C1"/>
    <w:rsid w:val="000F6DE1"/>
    <w:rsid w:val="001003BB"/>
    <w:rsid w:val="00100E9A"/>
    <w:rsid w:val="00102648"/>
    <w:rsid w:val="0010264E"/>
    <w:rsid w:val="001027C9"/>
    <w:rsid w:val="00102B30"/>
    <w:rsid w:val="001031EE"/>
    <w:rsid w:val="00103813"/>
    <w:rsid w:val="00103ED8"/>
    <w:rsid w:val="00103F18"/>
    <w:rsid w:val="00105C7F"/>
    <w:rsid w:val="00106FA6"/>
    <w:rsid w:val="00110E62"/>
    <w:rsid w:val="00110FB9"/>
    <w:rsid w:val="0011255F"/>
    <w:rsid w:val="001126D7"/>
    <w:rsid w:val="00112DE7"/>
    <w:rsid w:val="00113ADD"/>
    <w:rsid w:val="00113DEC"/>
    <w:rsid w:val="001152EE"/>
    <w:rsid w:val="00121F9E"/>
    <w:rsid w:val="00121FA7"/>
    <w:rsid w:val="001236EE"/>
    <w:rsid w:val="001237B3"/>
    <w:rsid w:val="00123EBE"/>
    <w:rsid w:val="00124843"/>
    <w:rsid w:val="00126E67"/>
    <w:rsid w:val="00127773"/>
    <w:rsid w:val="00127AB1"/>
    <w:rsid w:val="00127FF9"/>
    <w:rsid w:val="00130E98"/>
    <w:rsid w:val="00131447"/>
    <w:rsid w:val="00132265"/>
    <w:rsid w:val="001322E1"/>
    <w:rsid w:val="001328F7"/>
    <w:rsid w:val="00133561"/>
    <w:rsid w:val="00133D3A"/>
    <w:rsid w:val="001342DC"/>
    <w:rsid w:val="0013631E"/>
    <w:rsid w:val="0013684A"/>
    <w:rsid w:val="00140854"/>
    <w:rsid w:val="00141BFA"/>
    <w:rsid w:val="001422F3"/>
    <w:rsid w:val="00143AF3"/>
    <w:rsid w:val="00143BA9"/>
    <w:rsid w:val="00143FA2"/>
    <w:rsid w:val="00144B9E"/>
    <w:rsid w:val="00146220"/>
    <w:rsid w:val="0014650C"/>
    <w:rsid w:val="001467FC"/>
    <w:rsid w:val="001501B9"/>
    <w:rsid w:val="0015108E"/>
    <w:rsid w:val="00151DF7"/>
    <w:rsid w:val="00151FDA"/>
    <w:rsid w:val="00152DA3"/>
    <w:rsid w:val="001530E2"/>
    <w:rsid w:val="001544CD"/>
    <w:rsid w:val="00155077"/>
    <w:rsid w:val="0015529D"/>
    <w:rsid w:val="001574A3"/>
    <w:rsid w:val="001611E9"/>
    <w:rsid w:val="0016193E"/>
    <w:rsid w:val="00162218"/>
    <w:rsid w:val="001625A3"/>
    <w:rsid w:val="00164B12"/>
    <w:rsid w:val="00165337"/>
    <w:rsid w:val="001662D7"/>
    <w:rsid w:val="00166479"/>
    <w:rsid w:val="00167D24"/>
    <w:rsid w:val="0017128A"/>
    <w:rsid w:val="00171344"/>
    <w:rsid w:val="0017222C"/>
    <w:rsid w:val="001730D3"/>
    <w:rsid w:val="0017359F"/>
    <w:rsid w:val="00174092"/>
    <w:rsid w:val="00175D33"/>
    <w:rsid w:val="00175E26"/>
    <w:rsid w:val="001774FE"/>
    <w:rsid w:val="00177B29"/>
    <w:rsid w:val="00177D23"/>
    <w:rsid w:val="001802B4"/>
    <w:rsid w:val="001804CB"/>
    <w:rsid w:val="00182CF0"/>
    <w:rsid w:val="00182E09"/>
    <w:rsid w:val="00183D44"/>
    <w:rsid w:val="0018432F"/>
    <w:rsid w:val="00184E34"/>
    <w:rsid w:val="0018594A"/>
    <w:rsid w:val="00185A01"/>
    <w:rsid w:val="00187D79"/>
    <w:rsid w:val="00187FBA"/>
    <w:rsid w:val="0019187B"/>
    <w:rsid w:val="001935CD"/>
    <w:rsid w:val="001938F3"/>
    <w:rsid w:val="00193E69"/>
    <w:rsid w:val="001944B4"/>
    <w:rsid w:val="00196F8C"/>
    <w:rsid w:val="00197138"/>
    <w:rsid w:val="00197619"/>
    <w:rsid w:val="001A09A0"/>
    <w:rsid w:val="001A0BFC"/>
    <w:rsid w:val="001A1341"/>
    <w:rsid w:val="001A138E"/>
    <w:rsid w:val="001A1F10"/>
    <w:rsid w:val="001A24C8"/>
    <w:rsid w:val="001A2601"/>
    <w:rsid w:val="001A4667"/>
    <w:rsid w:val="001B03BD"/>
    <w:rsid w:val="001B0CAF"/>
    <w:rsid w:val="001B1E10"/>
    <w:rsid w:val="001B1F13"/>
    <w:rsid w:val="001B6E95"/>
    <w:rsid w:val="001C2A37"/>
    <w:rsid w:val="001C2BFD"/>
    <w:rsid w:val="001C39B2"/>
    <w:rsid w:val="001C427C"/>
    <w:rsid w:val="001C5272"/>
    <w:rsid w:val="001C5720"/>
    <w:rsid w:val="001C5BD7"/>
    <w:rsid w:val="001C607D"/>
    <w:rsid w:val="001C74CB"/>
    <w:rsid w:val="001D1BA5"/>
    <w:rsid w:val="001D2C3A"/>
    <w:rsid w:val="001D42B0"/>
    <w:rsid w:val="001D448A"/>
    <w:rsid w:val="001D4592"/>
    <w:rsid w:val="001D479C"/>
    <w:rsid w:val="001D5D52"/>
    <w:rsid w:val="001D5EE8"/>
    <w:rsid w:val="001D6063"/>
    <w:rsid w:val="001D7A9B"/>
    <w:rsid w:val="001E256C"/>
    <w:rsid w:val="001E28EC"/>
    <w:rsid w:val="001E3137"/>
    <w:rsid w:val="001E5721"/>
    <w:rsid w:val="001E752C"/>
    <w:rsid w:val="001F11DB"/>
    <w:rsid w:val="001F20C5"/>
    <w:rsid w:val="001F3135"/>
    <w:rsid w:val="001F3A5F"/>
    <w:rsid w:val="001F3E61"/>
    <w:rsid w:val="001F4DAA"/>
    <w:rsid w:val="001F7966"/>
    <w:rsid w:val="00201973"/>
    <w:rsid w:val="00201C74"/>
    <w:rsid w:val="00203B9F"/>
    <w:rsid w:val="00204254"/>
    <w:rsid w:val="00206071"/>
    <w:rsid w:val="00207A0E"/>
    <w:rsid w:val="0021122F"/>
    <w:rsid w:val="0021503A"/>
    <w:rsid w:val="00215145"/>
    <w:rsid w:val="00215715"/>
    <w:rsid w:val="002159E4"/>
    <w:rsid w:val="00216F38"/>
    <w:rsid w:val="002170F5"/>
    <w:rsid w:val="002176BD"/>
    <w:rsid w:val="00217D60"/>
    <w:rsid w:val="00224D08"/>
    <w:rsid w:val="00226709"/>
    <w:rsid w:val="00226D80"/>
    <w:rsid w:val="00226FBA"/>
    <w:rsid w:val="00227688"/>
    <w:rsid w:val="00233075"/>
    <w:rsid w:val="002342DE"/>
    <w:rsid w:val="00235D29"/>
    <w:rsid w:val="00240814"/>
    <w:rsid w:val="00240B8E"/>
    <w:rsid w:val="00242A16"/>
    <w:rsid w:val="002436DD"/>
    <w:rsid w:val="002437D1"/>
    <w:rsid w:val="00243964"/>
    <w:rsid w:val="00246467"/>
    <w:rsid w:val="002478F4"/>
    <w:rsid w:val="002500A2"/>
    <w:rsid w:val="002509E7"/>
    <w:rsid w:val="00252724"/>
    <w:rsid w:val="00252F27"/>
    <w:rsid w:val="00253E0D"/>
    <w:rsid w:val="00254684"/>
    <w:rsid w:val="002549FD"/>
    <w:rsid w:val="0025512D"/>
    <w:rsid w:val="002566DA"/>
    <w:rsid w:val="002608B5"/>
    <w:rsid w:val="00261C05"/>
    <w:rsid w:val="00263664"/>
    <w:rsid w:val="00263EC6"/>
    <w:rsid w:val="0026503C"/>
    <w:rsid w:val="00266D0E"/>
    <w:rsid w:val="0027140F"/>
    <w:rsid w:val="00271C8E"/>
    <w:rsid w:val="00272100"/>
    <w:rsid w:val="00272FEC"/>
    <w:rsid w:val="00275979"/>
    <w:rsid w:val="00275CFC"/>
    <w:rsid w:val="00276804"/>
    <w:rsid w:val="00280157"/>
    <w:rsid w:val="00280304"/>
    <w:rsid w:val="00283DA3"/>
    <w:rsid w:val="00286770"/>
    <w:rsid w:val="0028765E"/>
    <w:rsid w:val="00291787"/>
    <w:rsid w:val="0029517D"/>
    <w:rsid w:val="00295680"/>
    <w:rsid w:val="002A13BB"/>
    <w:rsid w:val="002A1DA0"/>
    <w:rsid w:val="002A3149"/>
    <w:rsid w:val="002A3A28"/>
    <w:rsid w:val="002A4295"/>
    <w:rsid w:val="002A46FC"/>
    <w:rsid w:val="002A483A"/>
    <w:rsid w:val="002A4869"/>
    <w:rsid w:val="002A4AC9"/>
    <w:rsid w:val="002A54A8"/>
    <w:rsid w:val="002A5C46"/>
    <w:rsid w:val="002A5E2E"/>
    <w:rsid w:val="002A67ED"/>
    <w:rsid w:val="002A68E0"/>
    <w:rsid w:val="002A6EF6"/>
    <w:rsid w:val="002A7945"/>
    <w:rsid w:val="002B099A"/>
    <w:rsid w:val="002B4267"/>
    <w:rsid w:val="002B44EE"/>
    <w:rsid w:val="002B4640"/>
    <w:rsid w:val="002B4F20"/>
    <w:rsid w:val="002B7245"/>
    <w:rsid w:val="002C1018"/>
    <w:rsid w:val="002C1452"/>
    <w:rsid w:val="002C1B5B"/>
    <w:rsid w:val="002C1CFC"/>
    <w:rsid w:val="002C32BD"/>
    <w:rsid w:val="002C4739"/>
    <w:rsid w:val="002C53E7"/>
    <w:rsid w:val="002C5A11"/>
    <w:rsid w:val="002C5BBE"/>
    <w:rsid w:val="002C61F4"/>
    <w:rsid w:val="002C6C52"/>
    <w:rsid w:val="002D0660"/>
    <w:rsid w:val="002D0FF4"/>
    <w:rsid w:val="002D5724"/>
    <w:rsid w:val="002E0297"/>
    <w:rsid w:val="002E0E71"/>
    <w:rsid w:val="002E1865"/>
    <w:rsid w:val="002E29F6"/>
    <w:rsid w:val="002E45CB"/>
    <w:rsid w:val="002E5181"/>
    <w:rsid w:val="002E75AE"/>
    <w:rsid w:val="002E7D7D"/>
    <w:rsid w:val="002E7FB2"/>
    <w:rsid w:val="002F04EC"/>
    <w:rsid w:val="002F3204"/>
    <w:rsid w:val="002F3274"/>
    <w:rsid w:val="002F3BAA"/>
    <w:rsid w:val="002F4086"/>
    <w:rsid w:val="003009CF"/>
    <w:rsid w:val="003012E1"/>
    <w:rsid w:val="0030149C"/>
    <w:rsid w:val="00304423"/>
    <w:rsid w:val="00305692"/>
    <w:rsid w:val="00306A96"/>
    <w:rsid w:val="003113B6"/>
    <w:rsid w:val="00311F11"/>
    <w:rsid w:val="003122DC"/>
    <w:rsid w:val="003124AF"/>
    <w:rsid w:val="003125E2"/>
    <w:rsid w:val="00312DF8"/>
    <w:rsid w:val="00312F5A"/>
    <w:rsid w:val="003137ED"/>
    <w:rsid w:val="0031502B"/>
    <w:rsid w:val="0031549A"/>
    <w:rsid w:val="00315751"/>
    <w:rsid w:val="00315B51"/>
    <w:rsid w:val="00315C71"/>
    <w:rsid w:val="003168C1"/>
    <w:rsid w:val="00317313"/>
    <w:rsid w:val="003175B1"/>
    <w:rsid w:val="0032245C"/>
    <w:rsid w:val="0032295B"/>
    <w:rsid w:val="0032354C"/>
    <w:rsid w:val="00323D61"/>
    <w:rsid w:val="00325182"/>
    <w:rsid w:val="00326354"/>
    <w:rsid w:val="00330901"/>
    <w:rsid w:val="00330FE6"/>
    <w:rsid w:val="003314B3"/>
    <w:rsid w:val="00331E39"/>
    <w:rsid w:val="00332724"/>
    <w:rsid w:val="00332CE9"/>
    <w:rsid w:val="00333F5C"/>
    <w:rsid w:val="00333FD1"/>
    <w:rsid w:val="003341D3"/>
    <w:rsid w:val="00334746"/>
    <w:rsid w:val="003349CC"/>
    <w:rsid w:val="003355A3"/>
    <w:rsid w:val="00335961"/>
    <w:rsid w:val="00336709"/>
    <w:rsid w:val="00336BE4"/>
    <w:rsid w:val="00336E89"/>
    <w:rsid w:val="00337E62"/>
    <w:rsid w:val="0034112B"/>
    <w:rsid w:val="003412CD"/>
    <w:rsid w:val="00342C31"/>
    <w:rsid w:val="00343208"/>
    <w:rsid w:val="0034456E"/>
    <w:rsid w:val="003460BD"/>
    <w:rsid w:val="00346422"/>
    <w:rsid w:val="00346DDB"/>
    <w:rsid w:val="00347B41"/>
    <w:rsid w:val="00347FAA"/>
    <w:rsid w:val="00352A8C"/>
    <w:rsid w:val="0035329A"/>
    <w:rsid w:val="00354F90"/>
    <w:rsid w:val="0035517C"/>
    <w:rsid w:val="00357BF4"/>
    <w:rsid w:val="0036276B"/>
    <w:rsid w:val="003668A0"/>
    <w:rsid w:val="003676E1"/>
    <w:rsid w:val="00367F20"/>
    <w:rsid w:val="00371A12"/>
    <w:rsid w:val="003721BF"/>
    <w:rsid w:val="0037379C"/>
    <w:rsid w:val="00373AC7"/>
    <w:rsid w:val="00373DD6"/>
    <w:rsid w:val="00374A03"/>
    <w:rsid w:val="00374E43"/>
    <w:rsid w:val="0037523C"/>
    <w:rsid w:val="00376753"/>
    <w:rsid w:val="00377429"/>
    <w:rsid w:val="00382023"/>
    <w:rsid w:val="00385724"/>
    <w:rsid w:val="003868EE"/>
    <w:rsid w:val="003878C4"/>
    <w:rsid w:val="003903A8"/>
    <w:rsid w:val="00391417"/>
    <w:rsid w:val="00391905"/>
    <w:rsid w:val="0039328B"/>
    <w:rsid w:val="0039422E"/>
    <w:rsid w:val="003945F3"/>
    <w:rsid w:val="00395146"/>
    <w:rsid w:val="003951AF"/>
    <w:rsid w:val="0039631D"/>
    <w:rsid w:val="00397C43"/>
    <w:rsid w:val="003A21F9"/>
    <w:rsid w:val="003A2601"/>
    <w:rsid w:val="003A27E1"/>
    <w:rsid w:val="003A5BE6"/>
    <w:rsid w:val="003A78BE"/>
    <w:rsid w:val="003B20BB"/>
    <w:rsid w:val="003B25A2"/>
    <w:rsid w:val="003B27CE"/>
    <w:rsid w:val="003B2B1B"/>
    <w:rsid w:val="003B3156"/>
    <w:rsid w:val="003B3310"/>
    <w:rsid w:val="003B3E5B"/>
    <w:rsid w:val="003B506B"/>
    <w:rsid w:val="003B5418"/>
    <w:rsid w:val="003B6A2C"/>
    <w:rsid w:val="003B6ED3"/>
    <w:rsid w:val="003B7425"/>
    <w:rsid w:val="003B7A3B"/>
    <w:rsid w:val="003C16DF"/>
    <w:rsid w:val="003C2148"/>
    <w:rsid w:val="003C25F5"/>
    <w:rsid w:val="003C3AAB"/>
    <w:rsid w:val="003C576B"/>
    <w:rsid w:val="003C72A0"/>
    <w:rsid w:val="003D2373"/>
    <w:rsid w:val="003D2B86"/>
    <w:rsid w:val="003D3956"/>
    <w:rsid w:val="003D4524"/>
    <w:rsid w:val="003D657A"/>
    <w:rsid w:val="003E033A"/>
    <w:rsid w:val="003E1380"/>
    <w:rsid w:val="003E1E3F"/>
    <w:rsid w:val="003E332A"/>
    <w:rsid w:val="003E35F3"/>
    <w:rsid w:val="003E363C"/>
    <w:rsid w:val="003E79D5"/>
    <w:rsid w:val="003F3BD9"/>
    <w:rsid w:val="003F4EDF"/>
    <w:rsid w:val="0040073A"/>
    <w:rsid w:val="0040167F"/>
    <w:rsid w:val="00401F9B"/>
    <w:rsid w:val="004026DD"/>
    <w:rsid w:val="00404349"/>
    <w:rsid w:val="004118D4"/>
    <w:rsid w:val="004118E6"/>
    <w:rsid w:val="00411D76"/>
    <w:rsid w:val="004122B2"/>
    <w:rsid w:val="0041386D"/>
    <w:rsid w:val="004139F0"/>
    <w:rsid w:val="0041450C"/>
    <w:rsid w:val="0041745D"/>
    <w:rsid w:val="00417EFA"/>
    <w:rsid w:val="00422E04"/>
    <w:rsid w:val="0042425A"/>
    <w:rsid w:val="004306AE"/>
    <w:rsid w:val="00430ADA"/>
    <w:rsid w:val="0043297B"/>
    <w:rsid w:val="004351D5"/>
    <w:rsid w:val="00436629"/>
    <w:rsid w:val="004379EF"/>
    <w:rsid w:val="004406FF"/>
    <w:rsid w:val="00440FAF"/>
    <w:rsid w:val="00442C86"/>
    <w:rsid w:val="004437E7"/>
    <w:rsid w:val="0044409E"/>
    <w:rsid w:val="00446618"/>
    <w:rsid w:val="00447207"/>
    <w:rsid w:val="004475D4"/>
    <w:rsid w:val="00447602"/>
    <w:rsid w:val="00447D34"/>
    <w:rsid w:val="0045352F"/>
    <w:rsid w:val="004535F4"/>
    <w:rsid w:val="00453E09"/>
    <w:rsid w:val="00454582"/>
    <w:rsid w:val="0045559D"/>
    <w:rsid w:val="004562FF"/>
    <w:rsid w:val="00456B89"/>
    <w:rsid w:val="004611EA"/>
    <w:rsid w:val="004633B9"/>
    <w:rsid w:val="00463C4F"/>
    <w:rsid w:val="00464268"/>
    <w:rsid w:val="00464AEB"/>
    <w:rsid w:val="00466A67"/>
    <w:rsid w:val="00470867"/>
    <w:rsid w:val="0047409F"/>
    <w:rsid w:val="004741F9"/>
    <w:rsid w:val="00474874"/>
    <w:rsid w:val="004758CB"/>
    <w:rsid w:val="0047742E"/>
    <w:rsid w:val="004818E0"/>
    <w:rsid w:val="00481BC5"/>
    <w:rsid w:val="004822B4"/>
    <w:rsid w:val="0048360A"/>
    <w:rsid w:val="00485B3B"/>
    <w:rsid w:val="0048708E"/>
    <w:rsid w:val="00490723"/>
    <w:rsid w:val="00491184"/>
    <w:rsid w:val="00492BC2"/>
    <w:rsid w:val="0049346A"/>
    <w:rsid w:val="00494179"/>
    <w:rsid w:val="0049584B"/>
    <w:rsid w:val="00495854"/>
    <w:rsid w:val="0049669A"/>
    <w:rsid w:val="004974B4"/>
    <w:rsid w:val="0049796F"/>
    <w:rsid w:val="00497A28"/>
    <w:rsid w:val="004A04BA"/>
    <w:rsid w:val="004A179D"/>
    <w:rsid w:val="004A17B5"/>
    <w:rsid w:val="004A1D7C"/>
    <w:rsid w:val="004A263E"/>
    <w:rsid w:val="004A2B24"/>
    <w:rsid w:val="004A41EB"/>
    <w:rsid w:val="004A4650"/>
    <w:rsid w:val="004A4D77"/>
    <w:rsid w:val="004A6922"/>
    <w:rsid w:val="004A6D7C"/>
    <w:rsid w:val="004B0089"/>
    <w:rsid w:val="004B1503"/>
    <w:rsid w:val="004B23C4"/>
    <w:rsid w:val="004B33D4"/>
    <w:rsid w:val="004B3D29"/>
    <w:rsid w:val="004B43EC"/>
    <w:rsid w:val="004B5614"/>
    <w:rsid w:val="004C0C41"/>
    <w:rsid w:val="004C183F"/>
    <w:rsid w:val="004C245F"/>
    <w:rsid w:val="004C320F"/>
    <w:rsid w:val="004C5461"/>
    <w:rsid w:val="004C5852"/>
    <w:rsid w:val="004C5BBC"/>
    <w:rsid w:val="004C5D8E"/>
    <w:rsid w:val="004C7E62"/>
    <w:rsid w:val="004D06DA"/>
    <w:rsid w:val="004D269E"/>
    <w:rsid w:val="004D30EF"/>
    <w:rsid w:val="004E11CC"/>
    <w:rsid w:val="004E1648"/>
    <w:rsid w:val="004E20AA"/>
    <w:rsid w:val="004E26BB"/>
    <w:rsid w:val="004E2D05"/>
    <w:rsid w:val="004E3A86"/>
    <w:rsid w:val="004E4878"/>
    <w:rsid w:val="004E7049"/>
    <w:rsid w:val="004F04C7"/>
    <w:rsid w:val="004F0CB4"/>
    <w:rsid w:val="004F2E95"/>
    <w:rsid w:val="004F566C"/>
    <w:rsid w:val="004F56DC"/>
    <w:rsid w:val="005018A9"/>
    <w:rsid w:val="005020FE"/>
    <w:rsid w:val="00502CFB"/>
    <w:rsid w:val="0050622E"/>
    <w:rsid w:val="00506C38"/>
    <w:rsid w:val="00512C38"/>
    <w:rsid w:val="005148D5"/>
    <w:rsid w:val="00515888"/>
    <w:rsid w:val="005160CC"/>
    <w:rsid w:val="0052015D"/>
    <w:rsid w:val="005212E4"/>
    <w:rsid w:val="00522544"/>
    <w:rsid w:val="00522FB9"/>
    <w:rsid w:val="005257D3"/>
    <w:rsid w:val="00531E1B"/>
    <w:rsid w:val="005329B6"/>
    <w:rsid w:val="00532D3D"/>
    <w:rsid w:val="00535983"/>
    <w:rsid w:val="00535E39"/>
    <w:rsid w:val="00535FD1"/>
    <w:rsid w:val="0053613A"/>
    <w:rsid w:val="00536DC1"/>
    <w:rsid w:val="00536E55"/>
    <w:rsid w:val="00541395"/>
    <w:rsid w:val="00542E1F"/>
    <w:rsid w:val="005435E5"/>
    <w:rsid w:val="0054463C"/>
    <w:rsid w:val="00545015"/>
    <w:rsid w:val="00545350"/>
    <w:rsid w:val="0054561C"/>
    <w:rsid w:val="005533CA"/>
    <w:rsid w:val="00556E52"/>
    <w:rsid w:val="00557AB1"/>
    <w:rsid w:val="00560335"/>
    <w:rsid w:val="00560497"/>
    <w:rsid w:val="0056099E"/>
    <w:rsid w:val="00560A37"/>
    <w:rsid w:val="00560C93"/>
    <w:rsid w:val="005612BB"/>
    <w:rsid w:val="00561B21"/>
    <w:rsid w:val="00561FE7"/>
    <w:rsid w:val="00562BBC"/>
    <w:rsid w:val="00562EC1"/>
    <w:rsid w:val="00563DF1"/>
    <w:rsid w:val="0056566C"/>
    <w:rsid w:val="005656D3"/>
    <w:rsid w:val="005663A8"/>
    <w:rsid w:val="00567308"/>
    <w:rsid w:val="00567863"/>
    <w:rsid w:val="005703F5"/>
    <w:rsid w:val="00570D97"/>
    <w:rsid w:val="00572EEB"/>
    <w:rsid w:val="00573483"/>
    <w:rsid w:val="00573792"/>
    <w:rsid w:val="0057530F"/>
    <w:rsid w:val="00575433"/>
    <w:rsid w:val="005772C5"/>
    <w:rsid w:val="00577C83"/>
    <w:rsid w:val="0058276D"/>
    <w:rsid w:val="005836EB"/>
    <w:rsid w:val="00585450"/>
    <w:rsid w:val="0058569B"/>
    <w:rsid w:val="00587561"/>
    <w:rsid w:val="005876F7"/>
    <w:rsid w:val="005938FD"/>
    <w:rsid w:val="00593928"/>
    <w:rsid w:val="00594056"/>
    <w:rsid w:val="0059490F"/>
    <w:rsid w:val="00595A7B"/>
    <w:rsid w:val="00595F63"/>
    <w:rsid w:val="005A2D0A"/>
    <w:rsid w:val="005A3CAC"/>
    <w:rsid w:val="005A4642"/>
    <w:rsid w:val="005A4E0A"/>
    <w:rsid w:val="005A5CE0"/>
    <w:rsid w:val="005A5E39"/>
    <w:rsid w:val="005A67A9"/>
    <w:rsid w:val="005A6ABD"/>
    <w:rsid w:val="005A7FAC"/>
    <w:rsid w:val="005B0007"/>
    <w:rsid w:val="005B1A42"/>
    <w:rsid w:val="005B21CC"/>
    <w:rsid w:val="005B5663"/>
    <w:rsid w:val="005B57E1"/>
    <w:rsid w:val="005B7D5D"/>
    <w:rsid w:val="005C1B30"/>
    <w:rsid w:val="005C2B72"/>
    <w:rsid w:val="005C40AB"/>
    <w:rsid w:val="005C4786"/>
    <w:rsid w:val="005C5C2F"/>
    <w:rsid w:val="005D2420"/>
    <w:rsid w:val="005D283A"/>
    <w:rsid w:val="005D2B80"/>
    <w:rsid w:val="005D2E2E"/>
    <w:rsid w:val="005D3419"/>
    <w:rsid w:val="005D4CB1"/>
    <w:rsid w:val="005D6FAE"/>
    <w:rsid w:val="005D7D6F"/>
    <w:rsid w:val="005E070B"/>
    <w:rsid w:val="005E0966"/>
    <w:rsid w:val="005E1942"/>
    <w:rsid w:val="005E2866"/>
    <w:rsid w:val="005E3948"/>
    <w:rsid w:val="005E44D2"/>
    <w:rsid w:val="005F03E4"/>
    <w:rsid w:val="005F08EA"/>
    <w:rsid w:val="005F2443"/>
    <w:rsid w:val="005F3FFF"/>
    <w:rsid w:val="005F4084"/>
    <w:rsid w:val="005F502B"/>
    <w:rsid w:val="005F784B"/>
    <w:rsid w:val="005F7905"/>
    <w:rsid w:val="005F7ED7"/>
    <w:rsid w:val="0060103E"/>
    <w:rsid w:val="006011B3"/>
    <w:rsid w:val="006028C6"/>
    <w:rsid w:val="0060377C"/>
    <w:rsid w:val="00603DB4"/>
    <w:rsid w:val="0060558D"/>
    <w:rsid w:val="00606E70"/>
    <w:rsid w:val="00607065"/>
    <w:rsid w:val="006075AC"/>
    <w:rsid w:val="00611025"/>
    <w:rsid w:val="0061293D"/>
    <w:rsid w:val="006129CD"/>
    <w:rsid w:val="006131DD"/>
    <w:rsid w:val="00616C2A"/>
    <w:rsid w:val="00622B47"/>
    <w:rsid w:val="00624EE1"/>
    <w:rsid w:val="00626EE4"/>
    <w:rsid w:val="00627695"/>
    <w:rsid w:val="00631704"/>
    <w:rsid w:val="0063401D"/>
    <w:rsid w:val="006357AF"/>
    <w:rsid w:val="00635ADE"/>
    <w:rsid w:val="00635B30"/>
    <w:rsid w:val="00635BB7"/>
    <w:rsid w:val="00635CF9"/>
    <w:rsid w:val="00636389"/>
    <w:rsid w:val="00637C59"/>
    <w:rsid w:val="006400CD"/>
    <w:rsid w:val="006417C6"/>
    <w:rsid w:val="00641D46"/>
    <w:rsid w:val="00643682"/>
    <w:rsid w:val="0064598F"/>
    <w:rsid w:val="00646CC0"/>
    <w:rsid w:val="00651BAE"/>
    <w:rsid w:val="00651CE3"/>
    <w:rsid w:val="00652A6F"/>
    <w:rsid w:val="00653079"/>
    <w:rsid w:val="00653AD9"/>
    <w:rsid w:val="0065415A"/>
    <w:rsid w:val="006553F8"/>
    <w:rsid w:val="00655C3F"/>
    <w:rsid w:val="00655E84"/>
    <w:rsid w:val="00656DF3"/>
    <w:rsid w:val="00657143"/>
    <w:rsid w:val="00657715"/>
    <w:rsid w:val="00657BFD"/>
    <w:rsid w:val="00657CA3"/>
    <w:rsid w:val="0066003A"/>
    <w:rsid w:val="006606BE"/>
    <w:rsid w:val="00660F4C"/>
    <w:rsid w:val="00661E6C"/>
    <w:rsid w:val="00663263"/>
    <w:rsid w:val="0066333E"/>
    <w:rsid w:val="0066625C"/>
    <w:rsid w:val="00666BF8"/>
    <w:rsid w:val="00667E65"/>
    <w:rsid w:val="00667F5A"/>
    <w:rsid w:val="0067408B"/>
    <w:rsid w:val="00676EEA"/>
    <w:rsid w:val="006779A7"/>
    <w:rsid w:val="00677C18"/>
    <w:rsid w:val="00680410"/>
    <w:rsid w:val="0068080F"/>
    <w:rsid w:val="00682302"/>
    <w:rsid w:val="00682656"/>
    <w:rsid w:val="00682FB8"/>
    <w:rsid w:val="00683A34"/>
    <w:rsid w:val="00683BD9"/>
    <w:rsid w:val="006848D9"/>
    <w:rsid w:val="006869D0"/>
    <w:rsid w:val="00686B9F"/>
    <w:rsid w:val="006927B0"/>
    <w:rsid w:val="00692C83"/>
    <w:rsid w:val="00693B4D"/>
    <w:rsid w:val="00693E04"/>
    <w:rsid w:val="006950C8"/>
    <w:rsid w:val="0069644A"/>
    <w:rsid w:val="00696B9C"/>
    <w:rsid w:val="00697AA4"/>
    <w:rsid w:val="00697B56"/>
    <w:rsid w:val="006A0BCA"/>
    <w:rsid w:val="006A21FB"/>
    <w:rsid w:val="006A2AB3"/>
    <w:rsid w:val="006A2EB5"/>
    <w:rsid w:val="006A34BE"/>
    <w:rsid w:val="006A3C98"/>
    <w:rsid w:val="006A47A8"/>
    <w:rsid w:val="006A5206"/>
    <w:rsid w:val="006A5870"/>
    <w:rsid w:val="006A6154"/>
    <w:rsid w:val="006A650D"/>
    <w:rsid w:val="006A69A9"/>
    <w:rsid w:val="006B17E4"/>
    <w:rsid w:val="006B2595"/>
    <w:rsid w:val="006B2A40"/>
    <w:rsid w:val="006B610D"/>
    <w:rsid w:val="006B708A"/>
    <w:rsid w:val="006C2D2B"/>
    <w:rsid w:val="006C300E"/>
    <w:rsid w:val="006C3497"/>
    <w:rsid w:val="006C4D65"/>
    <w:rsid w:val="006C6A16"/>
    <w:rsid w:val="006D0A54"/>
    <w:rsid w:val="006D2F17"/>
    <w:rsid w:val="006D4D76"/>
    <w:rsid w:val="006D5DCD"/>
    <w:rsid w:val="006D673E"/>
    <w:rsid w:val="006D6B5C"/>
    <w:rsid w:val="006D7D53"/>
    <w:rsid w:val="006E151C"/>
    <w:rsid w:val="006E1725"/>
    <w:rsid w:val="006E2474"/>
    <w:rsid w:val="006E2580"/>
    <w:rsid w:val="006E384E"/>
    <w:rsid w:val="006E3D72"/>
    <w:rsid w:val="006E44D1"/>
    <w:rsid w:val="006E4B64"/>
    <w:rsid w:val="006E4D7C"/>
    <w:rsid w:val="006E5918"/>
    <w:rsid w:val="006E59FD"/>
    <w:rsid w:val="006E5BC8"/>
    <w:rsid w:val="006E6863"/>
    <w:rsid w:val="006E6BB8"/>
    <w:rsid w:val="006E6CA3"/>
    <w:rsid w:val="006E772E"/>
    <w:rsid w:val="006F15C2"/>
    <w:rsid w:val="006F1877"/>
    <w:rsid w:val="006F2FBC"/>
    <w:rsid w:val="006F3843"/>
    <w:rsid w:val="006F7471"/>
    <w:rsid w:val="006F792E"/>
    <w:rsid w:val="00700B1E"/>
    <w:rsid w:val="007026A3"/>
    <w:rsid w:val="00703694"/>
    <w:rsid w:val="00703FFA"/>
    <w:rsid w:val="00704350"/>
    <w:rsid w:val="0070497B"/>
    <w:rsid w:val="00705B64"/>
    <w:rsid w:val="0071017C"/>
    <w:rsid w:val="00714D34"/>
    <w:rsid w:val="00717A15"/>
    <w:rsid w:val="00717DFD"/>
    <w:rsid w:val="0072032F"/>
    <w:rsid w:val="00721EE5"/>
    <w:rsid w:val="00722BE4"/>
    <w:rsid w:val="00723757"/>
    <w:rsid w:val="007244E2"/>
    <w:rsid w:val="00724FDC"/>
    <w:rsid w:val="00725E82"/>
    <w:rsid w:val="00726645"/>
    <w:rsid w:val="00727E0B"/>
    <w:rsid w:val="00730D4D"/>
    <w:rsid w:val="00732418"/>
    <w:rsid w:val="007329CE"/>
    <w:rsid w:val="00733582"/>
    <w:rsid w:val="007340A3"/>
    <w:rsid w:val="00734A93"/>
    <w:rsid w:val="00735593"/>
    <w:rsid w:val="00737FD1"/>
    <w:rsid w:val="00740470"/>
    <w:rsid w:val="0074111B"/>
    <w:rsid w:val="00741805"/>
    <w:rsid w:val="00743350"/>
    <w:rsid w:val="0074354E"/>
    <w:rsid w:val="0074454C"/>
    <w:rsid w:val="00744ABC"/>
    <w:rsid w:val="00745A76"/>
    <w:rsid w:val="00747446"/>
    <w:rsid w:val="007541CF"/>
    <w:rsid w:val="0075691C"/>
    <w:rsid w:val="00756B60"/>
    <w:rsid w:val="00761A57"/>
    <w:rsid w:val="00762DFF"/>
    <w:rsid w:val="0076384A"/>
    <w:rsid w:val="007660BD"/>
    <w:rsid w:val="00767116"/>
    <w:rsid w:val="007671D5"/>
    <w:rsid w:val="0077129B"/>
    <w:rsid w:val="0077216E"/>
    <w:rsid w:val="007722D4"/>
    <w:rsid w:val="00772D64"/>
    <w:rsid w:val="007747A1"/>
    <w:rsid w:val="00774A4D"/>
    <w:rsid w:val="00774B93"/>
    <w:rsid w:val="00776B28"/>
    <w:rsid w:val="00776EA1"/>
    <w:rsid w:val="0077750C"/>
    <w:rsid w:val="00780148"/>
    <w:rsid w:val="00781A6F"/>
    <w:rsid w:val="00782B79"/>
    <w:rsid w:val="0078430C"/>
    <w:rsid w:val="0078447B"/>
    <w:rsid w:val="00784850"/>
    <w:rsid w:val="007865E0"/>
    <w:rsid w:val="00787162"/>
    <w:rsid w:val="007871EC"/>
    <w:rsid w:val="00787484"/>
    <w:rsid w:val="00787D83"/>
    <w:rsid w:val="00787ED6"/>
    <w:rsid w:val="0079110E"/>
    <w:rsid w:val="00791A68"/>
    <w:rsid w:val="00791B33"/>
    <w:rsid w:val="007926DB"/>
    <w:rsid w:val="0079329F"/>
    <w:rsid w:val="00793C08"/>
    <w:rsid w:val="00794251"/>
    <w:rsid w:val="007973BE"/>
    <w:rsid w:val="00797555"/>
    <w:rsid w:val="007A1BDE"/>
    <w:rsid w:val="007A1EB8"/>
    <w:rsid w:val="007A2316"/>
    <w:rsid w:val="007A6189"/>
    <w:rsid w:val="007A6ADC"/>
    <w:rsid w:val="007A7648"/>
    <w:rsid w:val="007B104A"/>
    <w:rsid w:val="007B10FD"/>
    <w:rsid w:val="007B34CF"/>
    <w:rsid w:val="007B3B13"/>
    <w:rsid w:val="007B61D0"/>
    <w:rsid w:val="007C03D7"/>
    <w:rsid w:val="007C15F1"/>
    <w:rsid w:val="007C314E"/>
    <w:rsid w:val="007C4154"/>
    <w:rsid w:val="007C436F"/>
    <w:rsid w:val="007C5C85"/>
    <w:rsid w:val="007D066A"/>
    <w:rsid w:val="007D0A55"/>
    <w:rsid w:val="007D2E9C"/>
    <w:rsid w:val="007D2FBD"/>
    <w:rsid w:val="007D4623"/>
    <w:rsid w:val="007D51CF"/>
    <w:rsid w:val="007D5E65"/>
    <w:rsid w:val="007D6B80"/>
    <w:rsid w:val="007E180D"/>
    <w:rsid w:val="007E1AA1"/>
    <w:rsid w:val="007E1CB3"/>
    <w:rsid w:val="007E3EAE"/>
    <w:rsid w:val="007E4278"/>
    <w:rsid w:val="007E4EFB"/>
    <w:rsid w:val="007E78EE"/>
    <w:rsid w:val="007F1919"/>
    <w:rsid w:val="007F3AB7"/>
    <w:rsid w:val="007F481D"/>
    <w:rsid w:val="007F5067"/>
    <w:rsid w:val="007F70DA"/>
    <w:rsid w:val="00801613"/>
    <w:rsid w:val="00802578"/>
    <w:rsid w:val="00803D5E"/>
    <w:rsid w:val="008043BC"/>
    <w:rsid w:val="00805B0D"/>
    <w:rsid w:val="00806FE8"/>
    <w:rsid w:val="00807C5F"/>
    <w:rsid w:val="0081096A"/>
    <w:rsid w:val="00811A3F"/>
    <w:rsid w:val="00812AE8"/>
    <w:rsid w:val="00813C1D"/>
    <w:rsid w:val="00817C72"/>
    <w:rsid w:val="00817E18"/>
    <w:rsid w:val="00820E75"/>
    <w:rsid w:val="00824662"/>
    <w:rsid w:val="00824C21"/>
    <w:rsid w:val="008250A9"/>
    <w:rsid w:val="00826C1E"/>
    <w:rsid w:val="0082736F"/>
    <w:rsid w:val="00827B80"/>
    <w:rsid w:val="0083001C"/>
    <w:rsid w:val="00831185"/>
    <w:rsid w:val="00831EC0"/>
    <w:rsid w:val="00833569"/>
    <w:rsid w:val="008335C3"/>
    <w:rsid w:val="008337EC"/>
    <w:rsid w:val="008358C2"/>
    <w:rsid w:val="00835BB5"/>
    <w:rsid w:val="0083749C"/>
    <w:rsid w:val="00837B6D"/>
    <w:rsid w:val="00837C90"/>
    <w:rsid w:val="00841A04"/>
    <w:rsid w:val="0084271E"/>
    <w:rsid w:val="00843EE6"/>
    <w:rsid w:val="008443D2"/>
    <w:rsid w:val="00844E97"/>
    <w:rsid w:val="00846AB4"/>
    <w:rsid w:val="00854C43"/>
    <w:rsid w:val="008576B9"/>
    <w:rsid w:val="00860226"/>
    <w:rsid w:val="008609B9"/>
    <w:rsid w:val="00860FC6"/>
    <w:rsid w:val="00861DD4"/>
    <w:rsid w:val="008631A6"/>
    <w:rsid w:val="008632E9"/>
    <w:rsid w:val="00864883"/>
    <w:rsid w:val="008648E5"/>
    <w:rsid w:val="008650B9"/>
    <w:rsid w:val="00865E9F"/>
    <w:rsid w:val="00866682"/>
    <w:rsid w:val="008677F1"/>
    <w:rsid w:val="00871E91"/>
    <w:rsid w:val="0087202C"/>
    <w:rsid w:val="00876F86"/>
    <w:rsid w:val="00880B35"/>
    <w:rsid w:val="00880D52"/>
    <w:rsid w:val="008831E8"/>
    <w:rsid w:val="0088343C"/>
    <w:rsid w:val="00883841"/>
    <w:rsid w:val="00885571"/>
    <w:rsid w:val="00887612"/>
    <w:rsid w:val="008928F6"/>
    <w:rsid w:val="0089413A"/>
    <w:rsid w:val="0089536C"/>
    <w:rsid w:val="0089610A"/>
    <w:rsid w:val="00896543"/>
    <w:rsid w:val="00896D1D"/>
    <w:rsid w:val="00897576"/>
    <w:rsid w:val="008A0167"/>
    <w:rsid w:val="008A0373"/>
    <w:rsid w:val="008A41B7"/>
    <w:rsid w:val="008A4289"/>
    <w:rsid w:val="008A4D12"/>
    <w:rsid w:val="008A6503"/>
    <w:rsid w:val="008A6D1B"/>
    <w:rsid w:val="008B0473"/>
    <w:rsid w:val="008B23F6"/>
    <w:rsid w:val="008B2CD6"/>
    <w:rsid w:val="008B5B29"/>
    <w:rsid w:val="008B7247"/>
    <w:rsid w:val="008C017A"/>
    <w:rsid w:val="008C0267"/>
    <w:rsid w:val="008C0F1F"/>
    <w:rsid w:val="008C1893"/>
    <w:rsid w:val="008C5712"/>
    <w:rsid w:val="008D1079"/>
    <w:rsid w:val="008D19BB"/>
    <w:rsid w:val="008D210B"/>
    <w:rsid w:val="008D4D27"/>
    <w:rsid w:val="008D4F9B"/>
    <w:rsid w:val="008D64DF"/>
    <w:rsid w:val="008D65AF"/>
    <w:rsid w:val="008D777A"/>
    <w:rsid w:val="008E0F14"/>
    <w:rsid w:val="008E2250"/>
    <w:rsid w:val="008E2694"/>
    <w:rsid w:val="008E29E9"/>
    <w:rsid w:val="008E3A59"/>
    <w:rsid w:val="008E3A6C"/>
    <w:rsid w:val="008E405F"/>
    <w:rsid w:val="008E5B15"/>
    <w:rsid w:val="008E71AB"/>
    <w:rsid w:val="008F0C27"/>
    <w:rsid w:val="008F1804"/>
    <w:rsid w:val="008F2DBC"/>
    <w:rsid w:val="008F4468"/>
    <w:rsid w:val="008F4616"/>
    <w:rsid w:val="00900094"/>
    <w:rsid w:val="00900229"/>
    <w:rsid w:val="00900843"/>
    <w:rsid w:val="00900E21"/>
    <w:rsid w:val="0090108B"/>
    <w:rsid w:val="00901220"/>
    <w:rsid w:val="00902F52"/>
    <w:rsid w:val="00904853"/>
    <w:rsid w:val="009053C6"/>
    <w:rsid w:val="00907A9B"/>
    <w:rsid w:val="00912138"/>
    <w:rsid w:val="00913030"/>
    <w:rsid w:val="00913074"/>
    <w:rsid w:val="0091323F"/>
    <w:rsid w:val="00916CA1"/>
    <w:rsid w:val="00917065"/>
    <w:rsid w:val="00917266"/>
    <w:rsid w:val="00917580"/>
    <w:rsid w:val="00917C65"/>
    <w:rsid w:val="00920BEB"/>
    <w:rsid w:val="00920C46"/>
    <w:rsid w:val="00923D72"/>
    <w:rsid w:val="00923D8C"/>
    <w:rsid w:val="0092573C"/>
    <w:rsid w:val="00930726"/>
    <w:rsid w:val="00931198"/>
    <w:rsid w:val="009311BE"/>
    <w:rsid w:val="009318B0"/>
    <w:rsid w:val="00932BEB"/>
    <w:rsid w:val="00932DFB"/>
    <w:rsid w:val="009342AD"/>
    <w:rsid w:val="00934312"/>
    <w:rsid w:val="009344EF"/>
    <w:rsid w:val="00935039"/>
    <w:rsid w:val="0093537D"/>
    <w:rsid w:val="0093587F"/>
    <w:rsid w:val="00935E03"/>
    <w:rsid w:val="00935EB8"/>
    <w:rsid w:val="00937EF1"/>
    <w:rsid w:val="00940A68"/>
    <w:rsid w:val="00940FCF"/>
    <w:rsid w:val="00941CEF"/>
    <w:rsid w:val="00942831"/>
    <w:rsid w:val="00942920"/>
    <w:rsid w:val="00943610"/>
    <w:rsid w:val="009444C7"/>
    <w:rsid w:val="0094708B"/>
    <w:rsid w:val="009474FA"/>
    <w:rsid w:val="009479AE"/>
    <w:rsid w:val="00952783"/>
    <w:rsid w:val="00952D58"/>
    <w:rsid w:val="009541D8"/>
    <w:rsid w:val="009545B5"/>
    <w:rsid w:val="00963259"/>
    <w:rsid w:val="009679AC"/>
    <w:rsid w:val="009767AA"/>
    <w:rsid w:val="009861D7"/>
    <w:rsid w:val="009900A6"/>
    <w:rsid w:val="00990C34"/>
    <w:rsid w:val="0099187C"/>
    <w:rsid w:val="00991E9D"/>
    <w:rsid w:val="009937D9"/>
    <w:rsid w:val="00994DA4"/>
    <w:rsid w:val="00994EEF"/>
    <w:rsid w:val="00995283"/>
    <w:rsid w:val="009A020A"/>
    <w:rsid w:val="009A0CA4"/>
    <w:rsid w:val="009A1294"/>
    <w:rsid w:val="009A1849"/>
    <w:rsid w:val="009A2450"/>
    <w:rsid w:val="009A2ADB"/>
    <w:rsid w:val="009A47DB"/>
    <w:rsid w:val="009A4B41"/>
    <w:rsid w:val="009A5FFB"/>
    <w:rsid w:val="009A640B"/>
    <w:rsid w:val="009A7EE7"/>
    <w:rsid w:val="009B07D9"/>
    <w:rsid w:val="009B0D17"/>
    <w:rsid w:val="009B191E"/>
    <w:rsid w:val="009B1A00"/>
    <w:rsid w:val="009B2C03"/>
    <w:rsid w:val="009B3D5A"/>
    <w:rsid w:val="009B444E"/>
    <w:rsid w:val="009B5077"/>
    <w:rsid w:val="009B5111"/>
    <w:rsid w:val="009B5F3C"/>
    <w:rsid w:val="009B6F00"/>
    <w:rsid w:val="009B719B"/>
    <w:rsid w:val="009B7969"/>
    <w:rsid w:val="009C0618"/>
    <w:rsid w:val="009C0B5D"/>
    <w:rsid w:val="009C10E9"/>
    <w:rsid w:val="009C1278"/>
    <w:rsid w:val="009C2CA9"/>
    <w:rsid w:val="009C3147"/>
    <w:rsid w:val="009C3219"/>
    <w:rsid w:val="009C633A"/>
    <w:rsid w:val="009C67D5"/>
    <w:rsid w:val="009C6CA3"/>
    <w:rsid w:val="009C7907"/>
    <w:rsid w:val="009D4BC3"/>
    <w:rsid w:val="009D556B"/>
    <w:rsid w:val="009D758A"/>
    <w:rsid w:val="009D7DF7"/>
    <w:rsid w:val="009E04F1"/>
    <w:rsid w:val="009E16B9"/>
    <w:rsid w:val="009E2679"/>
    <w:rsid w:val="009E3571"/>
    <w:rsid w:val="009E6384"/>
    <w:rsid w:val="009E6925"/>
    <w:rsid w:val="009F61CE"/>
    <w:rsid w:val="009F6E0D"/>
    <w:rsid w:val="009F6E86"/>
    <w:rsid w:val="009F77A5"/>
    <w:rsid w:val="00A004CD"/>
    <w:rsid w:val="00A019E6"/>
    <w:rsid w:val="00A01F7E"/>
    <w:rsid w:val="00A02199"/>
    <w:rsid w:val="00A033B0"/>
    <w:rsid w:val="00A039F1"/>
    <w:rsid w:val="00A04364"/>
    <w:rsid w:val="00A074B7"/>
    <w:rsid w:val="00A1127D"/>
    <w:rsid w:val="00A1135E"/>
    <w:rsid w:val="00A15181"/>
    <w:rsid w:val="00A158D8"/>
    <w:rsid w:val="00A176D7"/>
    <w:rsid w:val="00A2063C"/>
    <w:rsid w:val="00A21BA4"/>
    <w:rsid w:val="00A21D19"/>
    <w:rsid w:val="00A23440"/>
    <w:rsid w:val="00A23455"/>
    <w:rsid w:val="00A234D3"/>
    <w:rsid w:val="00A2384F"/>
    <w:rsid w:val="00A23D29"/>
    <w:rsid w:val="00A25BA2"/>
    <w:rsid w:val="00A27B0D"/>
    <w:rsid w:val="00A330BF"/>
    <w:rsid w:val="00A34A36"/>
    <w:rsid w:val="00A34C72"/>
    <w:rsid w:val="00A34D34"/>
    <w:rsid w:val="00A34E7F"/>
    <w:rsid w:val="00A34E9D"/>
    <w:rsid w:val="00A35493"/>
    <w:rsid w:val="00A35C00"/>
    <w:rsid w:val="00A3672E"/>
    <w:rsid w:val="00A368A3"/>
    <w:rsid w:val="00A378D4"/>
    <w:rsid w:val="00A40006"/>
    <w:rsid w:val="00A402E6"/>
    <w:rsid w:val="00A41D0B"/>
    <w:rsid w:val="00A42F07"/>
    <w:rsid w:val="00A440BE"/>
    <w:rsid w:val="00A4616C"/>
    <w:rsid w:val="00A463A6"/>
    <w:rsid w:val="00A465C8"/>
    <w:rsid w:val="00A47699"/>
    <w:rsid w:val="00A47BB3"/>
    <w:rsid w:val="00A50701"/>
    <w:rsid w:val="00A517AB"/>
    <w:rsid w:val="00A52BF1"/>
    <w:rsid w:val="00A530DF"/>
    <w:rsid w:val="00A55060"/>
    <w:rsid w:val="00A556A1"/>
    <w:rsid w:val="00A559E6"/>
    <w:rsid w:val="00A560BA"/>
    <w:rsid w:val="00A605BF"/>
    <w:rsid w:val="00A61632"/>
    <w:rsid w:val="00A61A2C"/>
    <w:rsid w:val="00A61B8F"/>
    <w:rsid w:val="00A654ED"/>
    <w:rsid w:val="00A669EC"/>
    <w:rsid w:val="00A66C2A"/>
    <w:rsid w:val="00A73610"/>
    <w:rsid w:val="00A741BA"/>
    <w:rsid w:val="00A74B98"/>
    <w:rsid w:val="00A76ED8"/>
    <w:rsid w:val="00A773F2"/>
    <w:rsid w:val="00A778D9"/>
    <w:rsid w:val="00A80556"/>
    <w:rsid w:val="00A80BF8"/>
    <w:rsid w:val="00A816AE"/>
    <w:rsid w:val="00A84938"/>
    <w:rsid w:val="00A850C9"/>
    <w:rsid w:val="00A867BA"/>
    <w:rsid w:val="00A875B4"/>
    <w:rsid w:val="00A87734"/>
    <w:rsid w:val="00A90DED"/>
    <w:rsid w:val="00A9112D"/>
    <w:rsid w:val="00A91186"/>
    <w:rsid w:val="00A91EB6"/>
    <w:rsid w:val="00A928D6"/>
    <w:rsid w:val="00A92E7A"/>
    <w:rsid w:val="00A93574"/>
    <w:rsid w:val="00A93EDC"/>
    <w:rsid w:val="00A942C4"/>
    <w:rsid w:val="00A94DBD"/>
    <w:rsid w:val="00A950F7"/>
    <w:rsid w:val="00A95369"/>
    <w:rsid w:val="00AA06F6"/>
    <w:rsid w:val="00AA1D18"/>
    <w:rsid w:val="00AA248B"/>
    <w:rsid w:val="00AA2CFF"/>
    <w:rsid w:val="00AA32AB"/>
    <w:rsid w:val="00AA3939"/>
    <w:rsid w:val="00AA3C89"/>
    <w:rsid w:val="00AA4830"/>
    <w:rsid w:val="00AA4948"/>
    <w:rsid w:val="00AA52FC"/>
    <w:rsid w:val="00AA5E7F"/>
    <w:rsid w:val="00AA70B4"/>
    <w:rsid w:val="00AB1B83"/>
    <w:rsid w:val="00AB3F18"/>
    <w:rsid w:val="00AB45D5"/>
    <w:rsid w:val="00AB52B4"/>
    <w:rsid w:val="00AB7630"/>
    <w:rsid w:val="00AB77DA"/>
    <w:rsid w:val="00AC09D6"/>
    <w:rsid w:val="00AC0FED"/>
    <w:rsid w:val="00AC2ED4"/>
    <w:rsid w:val="00AC3028"/>
    <w:rsid w:val="00AC4C94"/>
    <w:rsid w:val="00AC70D6"/>
    <w:rsid w:val="00AD1354"/>
    <w:rsid w:val="00AD16C5"/>
    <w:rsid w:val="00AD5323"/>
    <w:rsid w:val="00AD571F"/>
    <w:rsid w:val="00AD575D"/>
    <w:rsid w:val="00AD635D"/>
    <w:rsid w:val="00AD63B8"/>
    <w:rsid w:val="00AD6538"/>
    <w:rsid w:val="00AD7C81"/>
    <w:rsid w:val="00AE03C8"/>
    <w:rsid w:val="00AE05A0"/>
    <w:rsid w:val="00AE0E57"/>
    <w:rsid w:val="00AE17D3"/>
    <w:rsid w:val="00AE21EA"/>
    <w:rsid w:val="00AE2FE6"/>
    <w:rsid w:val="00AE55CC"/>
    <w:rsid w:val="00AE5768"/>
    <w:rsid w:val="00AE6863"/>
    <w:rsid w:val="00AE7303"/>
    <w:rsid w:val="00AE7916"/>
    <w:rsid w:val="00AF51EF"/>
    <w:rsid w:val="00AF540B"/>
    <w:rsid w:val="00AF7568"/>
    <w:rsid w:val="00B00610"/>
    <w:rsid w:val="00B00956"/>
    <w:rsid w:val="00B015BD"/>
    <w:rsid w:val="00B04603"/>
    <w:rsid w:val="00B048B0"/>
    <w:rsid w:val="00B04938"/>
    <w:rsid w:val="00B0495F"/>
    <w:rsid w:val="00B04A19"/>
    <w:rsid w:val="00B04AB5"/>
    <w:rsid w:val="00B068E7"/>
    <w:rsid w:val="00B06A7E"/>
    <w:rsid w:val="00B07AF2"/>
    <w:rsid w:val="00B10D87"/>
    <w:rsid w:val="00B12043"/>
    <w:rsid w:val="00B12DF2"/>
    <w:rsid w:val="00B12DFE"/>
    <w:rsid w:val="00B13B49"/>
    <w:rsid w:val="00B14BE1"/>
    <w:rsid w:val="00B15394"/>
    <w:rsid w:val="00B15558"/>
    <w:rsid w:val="00B15961"/>
    <w:rsid w:val="00B16521"/>
    <w:rsid w:val="00B1769F"/>
    <w:rsid w:val="00B1780F"/>
    <w:rsid w:val="00B1792F"/>
    <w:rsid w:val="00B21C64"/>
    <w:rsid w:val="00B21FC7"/>
    <w:rsid w:val="00B223D2"/>
    <w:rsid w:val="00B23932"/>
    <w:rsid w:val="00B24399"/>
    <w:rsid w:val="00B24E6D"/>
    <w:rsid w:val="00B3052C"/>
    <w:rsid w:val="00B30AFA"/>
    <w:rsid w:val="00B3270E"/>
    <w:rsid w:val="00B32891"/>
    <w:rsid w:val="00B35B88"/>
    <w:rsid w:val="00B35BBB"/>
    <w:rsid w:val="00B35E59"/>
    <w:rsid w:val="00B36670"/>
    <w:rsid w:val="00B3697F"/>
    <w:rsid w:val="00B374A1"/>
    <w:rsid w:val="00B376F7"/>
    <w:rsid w:val="00B3794E"/>
    <w:rsid w:val="00B4263F"/>
    <w:rsid w:val="00B436F9"/>
    <w:rsid w:val="00B43ADE"/>
    <w:rsid w:val="00B43E68"/>
    <w:rsid w:val="00B4596E"/>
    <w:rsid w:val="00B46C09"/>
    <w:rsid w:val="00B4734D"/>
    <w:rsid w:val="00B4796F"/>
    <w:rsid w:val="00B5010B"/>
    <w:rsid w:val="00B50A34"/>
    <w:rsid w:val="00B5149C"/>
    <w:rsid w:val="00B530CF"/>
    <w:rsid w:val="00B53822"/>
    <w:rsid w:val="00B53ADD"/>
    <w:rsid w:val="00B554C9"/>
    <w:rsid w:val="00B5569F"/>
    <w:rsid w:val="00B560BD"/>
    <w:rsid w:val="00B56C3A"/>
    <w:rsid w:val="00B6049A"/>
    <w:rsid w:val="00B604DC"/>
    <w:rsid w:val="00B60805"/>
    <w:rsid w:val="00B61488"/>
    <w:rsid w:val="00B6172F"/>
    <w:rsid w:val="00B61C51"/>
    <w:rsid w:val="00B62FB1"/>
    <w:rsid w:val="00B63002"/>
    <w:rsid w:val="00B64EBE"/>
    <w:rsid w:val="00B66354"/>
    <w:rsid w:val="00B66B51"/>
    <w:rsid w:val="00B7692F"/>
    <w:rsid w:val="00B76F2D"/>
    <w:rsid w:val="00B77B05"/>
    <w:rsid w:val="00B82018"/>
    <w:rsid w:val="00B82028"/>
    <w:rsid w:val="00B83348"/>
    <w:rsid w:val="00B839C7"/>
    <w:rsid w:val="00B8412D"/>
    <w:rsid w:val="00B867CF"/>
    <w:rsid w:val="00B86FDF"/>
    <w:rsid w:val="00B87D5C"/>
    <w:rsid w:val="00B91285"/>
    <w:rsid w:val="00B91C93"/>
    <w:rsid w:val="00B93EC3"/>
    <w:rsid w:val="00B9432F"/>
    <w:rsid w:val="00B95752"/>
    <w:rsid w:val="00B96A2E"/>
    <w:rsid w:val="00BA05D2"/>
    <w:rsid w:val="00BA16D6"/>
    <w:rsid w:val="00BA2F6D"/>
    <w:rsid w:val="00BA3805"/>
    <w:rsid w:val="00BA3CFC"/>
    <w:rsid w:val="00BA3D4F"/>
    <w:rsid w:val="00BA3E11"/>
    <w:rsid w:val="00BA43CD"/>
    <w:rsid w:val="00BA5DF6"/>
    <w:rsid w:val="00BA7342"/>
    <w:rsid w:val="00BA737E"/>
    <w:rsid w:val="00BB08AD"/>
    <w:rsid w:val="00BB1535"/>
    <w:rsid w:val="00BB4993"/>
    <w:rsid w:val="00BB5657"/>
    <w:rsid w:val="00BB5C37"/>
    <w:rsid w:val="00BB67B8"/>
    <w:rsid w:val="00BB6D32"/>
    <w:rsid w:val="00BC0214"/>
    <w:rsid w:val="00BC02EE"/>
    <w:rsid w:val="00BC17AC"/>
    <w:rsid w:val="00BC42FB"/>
    <w:rsid w:val="00BC4FB2"/>
    <w:rsid w:val="00BC53DA"/>
    <w:rsid w:val="00BC5746"/>
    <w:rsid w:val="00BC62FD"/>
    <w:rsid w:val="00BC76CB"/>
    <w:rsid w:val="00BD0248"/>
    <w:rsid w:val="00BD0957"/>
    <w:rsid w:val="00BD118D"/>
    <w:rsid w:val="00BD41EA"/>
    <w:rsid w:val="00BD5753"/>
    <w:rsid w:val="00BD62EB"/>
    <w:rsid w:val="00BD642C"/>
    <w:rsid w:val="00BE110D"/>
    <w:rsid w:val="00BE24E1"/>
    <w:rsid w:val="00BE3395"/>
    <w:rsid w:val="00BE5401"/>
    <w:rsid w:val="00BE5F3F"/>
    <w:rsid w:val="00BE6715"/>
    <w:rsid w:val="00BE6A53"/>
    <w:rsid w:val="00BE77BF"/>
    <w:rsid w:val="00BE77D5"/>
    <w:rsid w:val="00BF173C"/>
    <w:rsid w:val="00BF23A6"/>
    <w:rsid w:val="00BF23C2"/>
    <w:rsid w:val="00BF2EA7"/>
    <w:rsid w:val="00BF2EE4"/>
    <w:rsid w:val="00BF55BC"/>
    <w:rsid w:val="00BF6987"/>
    <w:rsid w:val="00BF7802"/>
    <w:rsid w:val="00BF7EAF"/>
    <w:rsid w:val="00C0081A"/>
    <w:rsid w:val="00C00C1A"/>
    <w:rsid w:val="00C015FC"/>
    <w:rsid w:val="00C01B4E"/>
    <w:rsid w:val="00C02422"/>
    <w:rsid w:val="00C02F11"/>
    <w:rsid w:val="00C03C44"/>
    <w:rsid w:val="00C0562F"/>
    <w:rsid w:val="00C058C4"/>
    <w:rsid w:val="00C0698A"/>
    <w:rsid w:val="00C06B13"/>
    <w:rsid w:val="00C07A01"/>
    <w:rsid w:val="00C07D64"/>
    <w:rsid w:val="00C11995"/>
    <w:rsid w:val="00C12B58"/>
    <w:rsid w:val="00C12D51"/>
    <w:rsid w:val="00C13F45"/>
    <w:rsid w:val="00C1453C"/>
    <w:rsid w:val="00C150BD"/>
    <w:rsid w:val="00C2045C"/>
    <w:rsid w:val="00C20533"/>
    <w:rsid w:val="00C20B8A"/>
    <w:rsid w:val="00C21A80"/>
    <w:rsid w:val="00C22C13"/>
    <w:rsid w:val="00C22CA3"/>
    <w:rsid w:val="00C2471C"/>
    <w:rsid w:val="00C273C3"/>
    <w:rsid w:val="00C27F82"/>
    <w:rsid w:val="00C33ED6"/>
    <w:rsid w:val="00C350E2"/>
    <w:rsid w:val="00C358DB"/>
    <w:rsid w:val="00C36008"/>
    <w:rsid w:val="00C3741E"/>
    <w:rsid w:val="00C37BDA"/>
    <w:rsid w:val="00C37CFD"/>
    <w:rsid w:val="00C40EDF"/>
    <w:rsid w:val="00C41138"/>
    <w:rsid w:val="00C415CB"/>
    <w:rsid w:val="00C41E60"/>
    <w:rsid w:val="00C4206A"/>
    <w:rsid w:val="00C42244"/>
    <w:rsid w:val="00C433F5"/>
    <w:rsid w:val="00C4529A"/>
    <w:rsid w:val="00C523BC"/>
    <w:rsid w:val="00C52B43"/>
    <w:rsid w:val="00C5358B"/>
    <w:rsid w:val="00C54624"/>
    <w:rsid w:val="00C557C3"/>
    <w:rsid w:val="00C56B25"/>
    <w:rsid w:val="00C56F70"/>
    <w:rsid w:val="00C57533"/>
    <w:rsid w:val="00C60392"/>
    <w:rsid w:val="00C60EEF"/>
    <w:rsid w:val="00C61138"/>
    <w:rsid w:val="00C626DE"/>
    <w:rsid w:val="00C6336E"/>
    <w:rsid w:val="00C6486F"/>
    <w:rsid w:val="00C649BC"/>
    <w:rsid w:val="00C65D81"/>
    <w:rsid w:val="00C65F95"/>
    <w:rsid w:val="00C70D6D"/>
    <w:rsid w:val="00C72BC8"/>
    <w:rsid w:val="00C73A1E"/>
    <w:rsid w:val="00C74165"/>
    <w:rsid w:val="00C74274"/>
    <w:rsid w:val="00C74A36"/>
    <w:rsid w:val="00C77CF4"/>
    <w:rsid w:val="00C82493"/>
    <w:rsid w:val="00C82835"/>
    <w:rsid w:val="00C84AEE"/>
    <w:rsid w:val="00C87045"/>
    <w:rsid w:val="00C90F3E"/>
    <w:rsid w:val="00C910E9"/>
    <w:rsid w:val="00C916EE"/>
    <w:rsid w:val="00C92475"/>
    <w:rsid w:val="00C92F98"/>
    <w:rsid w:val="00C93107"/>
    <w:rsid w:val="00C9504C"/>
    <w:rsid w:val="00C956F6"/>
    <w:rsid w:val="00C972A8"/>
    <w:rsid w:val="00C97945"/>
    <w:rsid w:val="00CA142E"/>
    <w:rsid w:val="00CA28A3"/>
    <w:rsid w:val="00CA2D8B"/>
    <w:rsid w:val="00CA53BB"/>
    <w:rsid w:val="00CA58CD"/>
    <w:rsid w:val="00CA5FF9"/>
    <w:rsid w:val="00CB0326"/>
    <w:rsid w:val="00CB116C"/>
    <w:rsid w:val="00CB1EBE"/>
    <w:rsid w:val="00CB2201"/>
    <w:rsid w:val="00CB42F0"/>
    <w:rsid w:val="00CB6411"/>
    <w:rsid w:val="00CB65D2"/>
    <w:rsid w:val="00CB73BC"/>
    <w:rsid w:val="00CC2FB2"/>
    <w:rsid w:val="00CC3951"/>
    <w:rsid w:val="00CC4CF7"/>
    <w:rsid w:val="00CC50CE"/>
    <w:rsid w:val="00CC6E1B"/>
    <w:rsid w:val="00CD1604"/>
    <w:rsid w:val="00CD197C"/>
    <w:rsid w:val="00CD1A89"/>
    <w:rsid w:val="00CD1EC9"/>
    <w:rsid w:val="00CD22CE"/>
    <w:rsid w:val="00CD4574"/>
    <w:rsid w:val="00CD4715"/>
    <w:rsid w:val="00CD63BC"/>
    <w:rsid w:val="00CE09C4"/>
    <w:rsid w:val="00CE0D4D"/>
    <w:rsid w:val="00CE19F0"/>
    <w:rsid w:val="00CE1D02"/>
    <w:rsid w:val="00CE2270"/>
    <w:rsid w:val="00CE35E3"/>
    <w:rsid w:val="00CE5002"/>
    <w:rsid w:val="00CE6832"/>
    <w:rsid w:val="00CE7F66"/>
    <w:rsid w:val="00CF2194"/>
    <w:rsid w:val="00CF2877"/>
    <w:rsid w:val="00CF2C7C"/>
    <w:rsid w:val="00CF45EB"/>
    <w:rsid w:val="00CF4D9C"/>
    <w:rsid w:val="00D016BB"/>
    <w:rsid w:val="00D017C1"/>
    <w:rsid w:val="00D01ED3"/>
    <w:rsid w:val="00D02875"/>
    <w:rsid w:val="00D02D8F"/>
    <w:rsid w:val="00D03481"/>
    <w:rsid w:val="00D036C1"/>
    <w:rsid w:val="00D057CA"/>
    <w:rsid w:val="00D059E4"/>
    <w:rsid w:val="00D05CBB"/>
    <w:rsid w:val="00D0746B"/>
    <w:rsid w:val="00D10561"/>
    <w:rsid w:val="00D10BEF"/>
    <w:rsid w:val="00D11671"/>
    <w:rsid w:val="00D11B18"/>
    <w:rsid w:val="00D12024"/>
    <w:rsid w:val="00D13471"/>
    <w:rsid w:val="00D13CC5"/>
    <w:rsid w:val="00D14203"/>
    <w:rsid w:val="00D16AD3"/>
    <w:rsid w:val="00D176AF"/>
    <w:rsid w:val="00D215B9"/>
    <w:rsid w:val="00D2314E"/>
    <w:rsid w:val="00D24A19"/>
    <w:rsid w:val="00D26602"/>
    <w:rsid w:val="00D27291"/>
    <w:rsid w:val="00D27D13"/>
    <w:rsid w:val="00D304B2"/>
    <w:rsid w:val="00D308FA"/>
    <w:rsid w:val="00D31704"/>
    <w:rsid w:val="00D32354"/>
    <w:rsid w:val="00D33057"/>
    <w:rsid w:val="00D35135"/>
    <w:rsid w:val="00D400DC"/>
    <w:rsid w:val="00D4014D"/>
    <w:rsid w:val="00D40924"/>
    <w:rsid w:val="00D41BF7"/>
    <w:rsid w:val="00D4297E"/>
    <w:rsid w:val="00D448B3"/>
    <w:rsid w:val="00D45327"/>
    <w:rsid w:val="00D45943"/>
    <w:rsid w:val="00D45BA0"/>
    <w:rsid w:val="00D461CB"/>
    <w:rsid w:val="00D47268"/>
    <w:rsid w:val="00D47879"/>
    <w:rsid w:val="00D47F7A"/>
    <w:rsid w:val="00D51DD9"/>
    <w:rsid w:val="00D523AE"/>
    <w:rsid w:val="00D54F29"/>
    <w:rsid w:val="00D5504E"/>
    <w:rsid w:val="00D56170"/>
    <w:rsid w:val="00D6209C"/>
    <w:rsid w:val="00D64B99"/>
    <w:rsid w:val="00D65650"/>
    <w:rsid w:val="00D67288"/>
    <w:rsid w:val="00D701D9"/>
    <w:rsid w:val="00D70C5F"/>
    <w:rsid w:val="00D71CF8"/>
    <w:rsid w:val="00D72524"/>
    <w:rsid w:val="00D73C1A"/>
    <w:rsid w:val="00D749B9"/>
    <w:rsid w:val="00D76464"/>
    <w:rsid w:val="00D77534"/>
    <w:rsid w:val="00D77F91"/>
    <w:rsid w:val="00D80015"/>
    <w:rsid w:val="00D83182"/>
    <w:rsid w:val="00D84FB1"/>
    <w:rsid w:val="00D8506C"/>
    <w:rsid w:val="00D8638C"/>
    <w:rsid w:val="00D8728A"/>
    <w:rsid w:val="00D87401"/>
    <w:rsid w:val="00D87868"/>
    <w:rsid w:val="00D9604D"/>
    <w:rsid w:val="00D96A2A"/>
    <w:rsid w:val="00D96D27"/>
    <w:rsid w:val="00D97058"/>
    <w:rsid w:val="00DA1D0A"/>
    <w:rsid w:val="00DA3892"/>
    <w:rsid w:val="00DA477D"/>
    <w:rsid w:val="00DA5BB5"/>
    <w:rsid w:val="00DA5D3F"/>
    <w:rsid w:val="00DA7675"/>
    <w:rsid w:val="00DA7F71"/>
    <w:rsid w:val="00DB0384"/>
    <w:rsid w:val="00DB1971"/>
    <w:rsid w:val="00DB1B90"/>
    <w:rsid w:val="00DB28E5"/>
    <w:rsid w:val="00DB5276"/>
    <w:rsid w:val="00DB615C"/>
    <w:rsid w:val="00DC0AB7"/>
    <w:rsid w:val="00DC0FD9"/>
    <w:rsid w:val="00DC1AC7"/>
    <w:rsid w:val="00DC2FC3"/>
    <w:rsid w:val="00DC3EB8"/>
    <w:rsid w:val="00DC4C13"/>
    <w:rsid w:val="00DC5151"/>
    <w:rsid w:val="00DC5BF9"/>
    <w:rsid w:val="00DC5C49"/>
    <w:rsid w:val="00DC5D97"/>
    <w:rsid w:val="00DD052F"/>
    <w:rsid w:val="00DD1A78"/>
    <w:rsid w:val="00DD2E4F"/>
    <w:rsid w:val="00DD346C"/>
    <w:rsid w:val="00DD41C5"/>
    <w:rsid w:val="00DD4219"/>
    <w:rsid w:val="00DD4478"/>
    <w:rsid w:val="00DD45E8"/>
    <w:rsid w:val="00DD50F6"/>
    <w:rsid w:val="00DD5964"/>
    <w:rsid w:val="00DD6996"/>
    <w:rsid w:val="00DE0407"/>
    <w:rsid w:val="00DE08B6"/>
    <w:rsid w:val="00DE0E3F"/>
    <w:rsid w:val="00DE1545"/>
    <w:rsid w:val="00DE1B48"/>
    <w:rsid w:val="00DE1FA5"/>
    <w:rsid w:val="00DE3B31"/>
    <w:rsid w:val="00DE3C26"/>
    <w:rsid w:val="00DE3DCC"/>
    <w:rsid w:val="00DE4244"/>
    <w:rsid w:val="00DE42C5"/>
    <w:rsid w:val="00DE573B"/>
    <w:rsid w:val="00DE5A17"/>
    <w:rsid w:val="00DE7BE2"/>
    <w:rsid w:val="00DE7D39"/>
    <w:rsid w:val="00DF0A69"/>
    <w:rsid w:val="00DF49F4"/>
    <w:rsid w:val="00DF54E5"/>
    <w:rsid w:val="00DF6344"/>
    <w:rsid w:val="00DF6681"/>
    <w:rsid w:val="00DF6AF9"/>
    <w:rsid w:val="00DF7D5A"/>
    <w:rsid w:val="00E03E64"/>
    <w:rsid w:val="00E03E72"/>
    <w:rsid w:val="00E03E98"/>
    <w:rsid w:val="00E0414A"/>
    <w:rsid w:val="00E048C5"/>
    <w:rsid w:val="00E064A3"/>
    <w:rsid w:val="00E100A5"/>
    <w:rsid w:val="00E13B7A"/>
    <w:rsid w:val="00E1402B"/>
    <w:rsid w:val="00E14BCE"/>
    <w:rsid w:val="00E157FD"/>
    <w:rsid w:val="00E15F7F"/>
    <w:rsid w:val="00E1727B"/>
    <w:rsid w:val="00E21F10"/>
    <w:rsid w:val="00E22118"/>
    <w:rsid w:val="00E233E1"/>
    <w:rsid w:val="00E247A1"/>
    <w:rsid w:val="00E25146"/>
    <w:rsid w:val="00E25F95"/>
    <w:rsid w:val="00E26668"/>
    <w:rsid w:val="00E27919"/>
    <w:rsid w:val="00E27D78"/>
    <w:rsid w:val="00E32A7D"/>
    <w:rsid w:val="00E32F4B"/>
    <w:rsid w:val="00E33236"/>
    <w:rsid w:val="00E33FBC"/>
    <w:rsid w:val="00E3482A"/>
    <w:rsid w:val="00E350B1"/>
    <w:rsid w:val="00E3544B"/>
    <w:rsid w:val="00E37816"/>
    <w:rsid w:val="00E3783C"/>
    <w:rsid w:val="00E37B5A"/>
    <w:rsid w:val="00E4021A"/>
    <w:rsid w:val="00E4043D"/>
    <w:rsid w:val="00E41344"/>
    <w:rsid w:val="00E41C0C"/>
    <w:rsid w:val="00E434C0"/>
    <w:rsid w:val="00E43525"/>
    <w:rsid w:val="00E44498"/>
    <w:rsid w:val="00E44662"/>
    <w:rsid w:val="00E464CD"/>
    <w:rsid w:val="00E46893"/>
    <w:rsid w:val="00E47F85"/>
    <w:rsid w:val="00E505DD"/>
    <w:rsid w:val="00E51030"/>
    <w:rsid w:val="00E511A7"/>
    <w:rsid w:val="00E521BD"/>
    <w:rsid w:val="00E54F82"/>
    <w:rsid w:val="00E55B3A"/>
    <w:rsid w:val="00E564D7"/>
    <w:rsid w:val="00E567D3"/>
    <w:rsid w:val="00E56F84"/>
    <w:rsid w:val="00E57D8F"/>
    <w:rsid w:val="00E6036C"/>
    <w:rsid w:val="00E62964"/>
    <w:rsid w:val="00E63018"/>
    <w:rsid w:val="00E63B5B"/>
    <w:rsid w:val="00E64318"/>
    <w:rsid w:val="00E645C8"/>
    <w:rsid w:val="00E646AD"/>
    <w:rsid w:val="00E660E1"/>
    <w:rsid w:val="00E664E4"/>
    <w:rsid w:val="00E66718"/>
    <w:rsid w:val="00E6721A"/>
    <w:rsid w:val="00E6722C"/>
    <w:rsid w:val="00E677FE"/>
    <w:rsid w:val="00E67BC6"/>
    <w:rsid w:val="00E716F3"/>
    <w:rsid w:val="00E7402B"/>
    <w:rsid w:val="00E742B5"/>
    <w:rsid w:val="00E75AF6"/>
    <w:rsid w:val="00E75D94"/>
    <w:rsid w:val="00E76740"/>
    <w:rsid w:val="00E76D8A"/>
    <w:rsid w:val="00E80102"/>
    <w:rsid w:val="00E8115B"/>
    <w:rsid w:val="00E8180C"/>
    <w:rsid w:val="00E82D56"/>
    <w:rsid w:val="00E82E18"/>
    <w:rsid w:val="00E853CB"/>
    <w:rsid w:val="00E8614D"/>
    <w:rsid w:val="00E87FFA"/>
    <w:rsid w:val="00E91707"/>
    <w:rsid w:val="00E93A5E"/>
    <w:rsid w:val="00E93EBE"/>
    <w:rsid w:val="00EA1044"/>
    <w:rsid w:val="00EA1ECC"/>
    <w:rsid w:val="00EA2018"/>
    <w:rsid w:val="00EA5CDC"/>
    <w:rsid w:val="00EA794F"/>
    <w:rsid w:val="00EB0B52"/>
    <w:rsid w:val="00EB1176"/>
    <w:rsid w:val="00EB18D3"/>
    <w:rsid w:val="00EB1BC4"/>
    <w:rsid w:val="00EB1FD5"/>
    <w:rsid w:val="00EB495B"/>
    <w:rsid w:val="00EB52FF"/>
    <w:rsid w:val="00EB5F3C"/>
    <w:rsid w:val="00EB79BE"/>
    <w:rsid w:val="00EC0254"/>
    <w:rsid w:val="00EC0B01"/>
    <w:rsid w:val="00EC0B9E"/>
    <w:rsid w:val="00EC0D03"/>
    <w:rsid w:val="00EC3516"/>
    <w:rsid w:val="00EC35B3"/>
    <w:rsid w:val="00EC57B3"/>
    <w:rsid w:val="00EC774D"/>
    <w:rsid w:val="00ED0F74"/>
    <w:rsid w:val="00ED1D3C"/>
    <w:rsid w:val="00ED25A4"/>
    <w:rsid w:val="00ED28F7"/>
    <w:rsid w:val="00ED4B74"/>
    <w:rsid w:val="00EE0869"/>
    <w:rsid w:val="00EE0D9E"/>
    <w:rsid w:val="00EE1FA5"/>
    <w:rsid w:val="00EE21A6"/>
    <w:rsid w:val="00EE5201"/>
    <w:rsid w:val="00EE5B41"/>
    <w:rsid w:val="00EE669F"/>
    <w:rsid w:val="00EE753C"/>
    <w:rsid w:val="00EF04F0"/>
    <w:rsid w:val="00EF17AE"/>
    <w:rsid w:val="00EF221E"/>
    <w:rsid w:val="00EF2C23"/>
    <w:rsid w:val="00EF3202"/>
    <w:rsid w:val="00EF4451"/>
    <w:rsid w:val="00EF5D09"/>
    <w:rsid w:val="00EF7115"/>
    <w:rsid w:val="00EF715B"/>
    <w:rsid w:val="00EF77F4"/>
    <w:rsid w:val="00EF7A38"/>
    <w:rsid w:val="00EF7C4B"/>
    <w:rsid w:val="00EF7E4A"/>
    <w:rsid w:val="00F001CF"/>
    <w:rsid w:val="00F00446"/>
    <w:rsid w:val="00F00DD1"/>
    <w:rsid w:val="00F010FB"/>
    <w:rsid w:val="00F01D94"/>
    <w:rsid w:val="00F032D1"/>
    <w:rsid w:val="00F05A5C"/>
    <w:rsid w:val="00F06169"/>
    <w:rsid w:val="00F07B18"/>
    <w:rsid w:val="00F07C9B"/>
    <w:rsid w:val="00F10E23"/>
    <w:rsid w:val="00F12D3F"/>
    <w:rsid w:val="00F138F0"/>
    <w:rsid w:val="00F158EE"/>
    <w:rsid w:val="00F15EF7"/>
    <w:rsid w:val="00F20B83"/>
    <w:rsid w:val="00F20D02"/>
    <w:rsid w:val="00F20FCC"/>
    <w:rsid w:val="00F23B83"/>
    <w:rsid w:val="00F24044"/>
    <w:rsid w:val="00F24880"/>
    <w:rsid w:val="00F2596A"/>
    <w:rsid w:val="00F25BE5"/>
    <w:rsid w:val="00F26158"/>
    <w:rsid w:val="00F2669E"/>
    <w:rsid w:val="00F267B9"/>
    <w:rsid w:val="00F26C47"/>
    <w:rsid w:val="00F2769B"/>
    <w:rsid w:val="00F2796B"/>
    <w:rsid w:val="00F30228"/>
    <w:rsid w:val="00F318E0"/>
    <w:rsid w:val="00F31C2F"/>
    <w:rsid w:val="00F31E93"/>
    <w:rsid w:val="00F32270"/>
    <w:rsid w:val="00F32C4D"/>
    <w:rsid w:val="00F334EC"/>
    <w:rsid w:val="00F33A0D"/>
    <w:rsid w:val="00F34EB9"/>
    <w:rsid w:val="00F40EBD"/>
    <w:rsid w:val="00F42DBA"/>
    <w:rsid w:val="00F43025"/>
    <w:rsid w:val="00F447C3"/>
    <w:rsid w:val="00F46070"/>
    <w:rsid w:val="00F46935"/>
    <w:rsid w:val="00F47D18"/>
    <w:rsid w:val="00F502F3"/>
    <w:rsid w:val="00F50B44"/>
    <w:rsid w:val="00F52442"/>
    <w:rsid w:val="00F53A38"/>
    <w:rsid w:val="00F53BF2"/>
    <w:rsid w:val="00F54E21"/>
    <w:rsid w:val="00F552C2"/>
    <w:rsid w:val="00F56517"/>
    <w:rsid w:val="00F63A4A"/>
    <w:rsid w:val="00F6589E"/>
    <w:rsid w:val="00F65E13"/>
    <w:rsid w:val="00F672BD"/>
    <w:rsid w:val="00F71E2A"/>
    <w:rsid w:val="00F750CA"/>
    <w:rsid w:val="00F75541"/>
    <w:rsid w:val="00F769EB"/>
    <w:rsid w:val="00F76D4A"/>
    <w:rsid w:val="00F80220"/>
    <w:rsid w:val="00F802AC"/>
    <w:rsid w:val="00F816FF"/>
    <w:rsid w:val="00F81A77"/>
    <w:rsid w:val="00F81E5E"/>
    <w:rsid w:val="00F82A8E"/>
    <w:rsid w:val="00F82D8E"/>
    <w:rsid w:val="00F84166"/>
    <w:rsid w:val="00F84475"/>
    <w:rsid w:val="00F845EE"/>
    <w:rsid w:val="00F85148"/>
    <w:rsid w:val="00F8532B"/>
    <w:rsid w:val="00F86669"/>
    <w:rsid w:val="00F870A8"/>
    <w:rsid w:val="00F909D7"/>
    <w:rsid w:val="00F91791"/>
    <w:rsid w:val="00F91884"/>
    <w:rsid w:val="00F93834"/>
    <w:rsid w:val="00F953B3"/>
    <w:rsid w:val="00F96566"/>
    <w:rsid w:val="00F96B3D"/>
    <w:rsid w:val="00F973E9"/>
    <w:rsid w:val="00F97638"/>
    <w:rsid w:val="00FA0698"/>
    <w:rsid w:val="00FA1E06"/>
    <w:rsid w:val="00FA20CE"/>
    <w:rsid w:val="00FA24BF"/>
    <w:rsid w:val="00FA3558"/>
    <w:rsid w:val="00FA5A92"/>
    <w:rsid w:val="00FA6B25"/>
    <w:rsid w:val="00FA7D97"/>
    <w:rsid w:val="00FA7E76"/>
    <w:rsid w:val="00FB030F"/>
    <w:rsid w:val="00FB0335"/>
    <w:rsid w:val="00FB064F"/>
    <w:rsid w:val="00FB0E56"/>
    <w:rsid w:val="00FB1567"/>
    <w:rsid w:val="00FB25A2"/>
    <w:rsid w:val="00FB2CAE"/>
    <w:rsid w:val="00FB32F1"/>
    <w:rsid w:val="00FB396B"/>
    <w:rsid w:val="00FB399D"/>
    <w:rsid w:val="00FB4460"/>
    <w:rsid w:val="00FB45E9"/>
    <w:rsid w:val="00FB4ACC"/>
    <w:rsid w:val="00FB5415"/>
    <w:rsid w:val="00FB543A"/>
    <w:rsid w:val="00FB7FDE"/>
    <w:rsid w:val="00FC165E"/>
    <w:rsid w:val="00FC1948"/>
    <w:rsid w:val="00FC444C"/>
    <w:rsid w:val="00FC7C7F"/>
    <w:rsid w:val="00FD1A3F"/>
    <w:rsid w:val="00FD1BCE"/>
    <w:rsid w:val="00FD2BA5"/>
    <w:rsid w:val="00FD4E3B"/>
    <w:rsid w:val="00FD64EF"/>
    <w:rsid w:val="00FD6DC5"/>
    <w:rsid w:val="00FD6E4C"/>
    <w:rsid w:val="00FD6F8B"/>
    <w:rsid w:val="00FD764A"/>
    <w:rsid w:val="00FE0476"/>
    <w:rsid w:val="00FE05FE"/>
    <w:rsid w:val="00FE090C"/>
    <w:rsid w:val="00FE2399"/>
    <w:rsid w:val="00FE2FA2"/>
    <w:rsid w:val="00FE3663"/>
    <w:rsid w:val="00FE3AF7"/>
    <w:rsid w:val="00FE3FD8"/>
    <w:rsid w:val="00FE4FEC"/>
    <w:rsid w:val="00FE5201"/>
    <w:rsid w:val="00FE552D"/>
    <w:rsid w:val="00FE7952"/>
    <w:rsid w:val="00FF0E07"/>
    <w:rsid w:val="00FF1756"/>
    <w:rsid w:val="00FF18F0"/>
    <w:rsid w:val="00FF211D"/>
    <w:rsid w:val="00FF3B24"/>
    <w:rsid w:val="00FF57DE"/>
    <w:rsid w:val="00FF5B85"/>
    <w:rsid w:val="00FF6A20"/>
    <w:rsid w:val="00FF6C87"/>
    <w:rsid w:val="00FF7069"/>
    <w:rsid w:val="00FF78AE"/>
    <w:rsid w:val="00FF7EB7"/>
    <w:rsid w:val="0C2F01C8"/>
    <w:rsid w:val="0D8B4C3D"/>
    <w:rsid w:val="49D64BA6"/>
    <w:rsid w:val="74F23F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name="index 1"/>
    <w:lsdException w:qFormat="1" w:uiPriority="0" w:name="index 2"/>
    <w:lsdException w:qFormat="1" w:uiPriority="0" w:name="index 3"/>
    <w:lsdException w:qFormat="1" w:uiPriority="0" w:name="index 4"/>
    <w:lsdException w:qFormat="1" w:uiPriority="0" w:name="index 5"/>
    <w:lsdException w:qFormat="1" w:uiPriority="0" w:name="index 6"/>
    <w:lsdException w:qFormat="1" w:uiPriority="0" w:name="index 7"/>
    <w:lsdException w:qFormat="1" w:uiPriority="0" w:name="index 8"/>
    <w:lsdException w:qFormat="1"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qFormat="1" w:uiPriority="0" w:name="index heading"/>
    <w:lsdException w:qFormat="1" w:uiPriority="0" w:name="caption"/>
    <w:lsdException w:qFormat="1" w:uiPriority="0" w:name="table of figures"/>
    <w:lsdException w:qFormat="1" w:uiPriority="0" w:name="envelope address"/>
    <w:lsdException w:qFormat="1" w:uiPriority="0" w:name="envelope return"/>
    <w:lsdException w:qFormat="1" w:uiPriority="0" w:name="footnote reference"/>
    <w:lsdException w:qFormat="1" w:uiPriority="99" w:name="annotation reference"/>
    <w:lsdException w:uiPriority="99" w:name="line number"/>
    <w:lsdException w:uiPriority="99" w:name="page number"/>
    <w:lsdException w:qFormat="1" w:uiPriority="0" w:name="endnote reference"/>
    <w:lsdException w:qFormat="1" w:uiPriority="0" w:name="endnote text"/>
    <w:lsdException w:qFormat="1" w:uiPriority="0" w:name="table of authorities"/>
    <w:lsdException w:qFormat="1" w:uiPriority="0" w:name="macro"/>
    <w:lsdException w:qFormat="1" w:uiPriority="0" w:name="toa heading"/>
    <w:lsdException w:qFormat="1" w:unhideWhenUsed="0" w:uiPriority="0" w:semiHidden="0" w:name="List"/>
    <w:lsdException w:qFormat="1" w:uiPriority="0" w:name="List Bullet"/>
    <w:lsdException w:qFormat="1" w:uiPriority="0" w:name="List Number"/>
    <w:lsdException w:qFormat="1" w:uiPriority="0" w:name="List 2"/>
    <w:lsdException w:qFormat="1" w:uiPriority="0" w:name="List 3"/>
    <w:lsdException w:qFormat="1" w:uiPriority="0" w:name="List 4"/>
    <w:lsdException w:qFormat="1" w:uiPriority="0" w:name="List 5"/>
    <w:lsdException w:qFormat="1" w:uiPriority="0" w:name="List Bullet 2"/>
    <w:lsdException w:qFormat="1" w:uiPriority="0" w:name="List Bullet 3"/>
    <w:lsdException w:qFormat="1" w:uiPriority="0" w:name="List Bullet 4"/>
    <w:lsdException w:qFormat="1" w:uiPriority="0" w:name="List Bullet 5"/>
    <w:lsdException w:qFormat="1" w:uiPriority="0" w:name="List Number 2"/>
    <w:lsdException w:qFormat="1" w:uiPriority="0" w:name="List Number 3"/>
    <w:lsdException w:qFormat="1" w:uiPriority="0" w:name="List Number 4"/>
    <w:lsdException w:qFormat="1" w:uiPriority="0" w:name="List Number 5"/>
    <w:lsdException w:qFormat="1" w:unhideWhenUsed="0" w:uiPriority="0" w:semiHidden="0" w:name="Title"/>
    <w:lsdException w:qFormat="1" w:uiPriority="0" w:name="Closing"/>
    <w:lsdException w:qFormat="1" w:uiPriority="0" w:name="Signature"/>
    <w:lsdException w:qFormat="1" w:uiPriority="1" w:name="Default Paragraph Font"/>
    <w:lsdException w:qFormat="1" w:uiPriority="99" w:semiHidden="0" w:name="Body Text"/>
    <w:lsdException w:qFormat="1" w:uiPriority="0" w:name="Body Text Indent"/>
    <w:lsdException w:qFormat="1" w:uiPriority="0" w:name="List Continue"/>
    <w:lsdException w:qFormat="1" w:uiPriority="0" w:name="List Continue 2"/>
    <w:lsdException w:qFormat="1" w:uiPriority="0" w:name="List Continue 3"/>
    <w:lsdException w:qFormat="1" w:uiPriority="0" w:name="List Continue 4"/>
    <w:lsdException w:qFormat="1" w:uiPriority="0" w:name="List Continue 5"/>
    <w:lsdException w:qFormat="1" w:uiPriority="0" w:name="Message Header"/>
    <w:lsdException w:qFormat="1" w:unhideWhenUsed="0" w:uiPriority="0" w:semiHidden="0" w:name="Subtitle"/>
    <w:lsdException w:qFormat="1" w:uiPriority="0" w:name="Salutation"/>
    <w:lsdException w:qFormat="1" w:uiPriority="99" w:name="Date"/>
    <w:lsdException w:qFormat="1" w:unhideWhenUsed="0" w:uiPriority="99" w:semiHidden="0" w:name="Body Text First Indent"/>
    <w:lsdException w:qFormat="1" w:uiPriority="0" w:semiHidden="0" w:name="Body Text First Indent 2"/>
    <w:lsdException w:qFormat="1" w:uiPriority="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qFormat="1" w:uiPriority="0" w:name="E-mail Signature"/>
    <w:lsdException w:qFormat="1" w:uiPriority="0" w:semiHidden="0" w:name="Normal (Web)"/>
    <w:lsdException w:uiPriority="99" w:name="HTML Acronym"/>
    <w:lsdException w:qFormat="1" w:uiPriority="0" w:name="HTML Address"/>
    <w:lsdException w:uiPriority="99" w:name="HTML Cite"/>
    <w:lsdException w:qFormat="1" w:uiPriority="0" w:name="HTML Code"/>
    <w:lsdException w:uiPriority="99" w:name="HTML Definition"/>
    <w:lsdException w:qFormat="1" w:uiPriority="0" w:name="HTML Keyboard"/>
    <w:lsdException w:qFormat="1" w:uiPriority="0" w:name="HTML Preformatted"/>
    <w:lsdException w:qFormat="1" w:uiPriority="0" w:name="HTML Sample"/>
    <w:lsdException w:qFormat="1" w:uiPriority="0" w:name="HTML Typewriter"/>
    <w:lsdException w:uiPriority="99" w:name="HTML Variable"/>
    <w:lsdException w:qFormat="1" w:uiPriority="99" w:name="Normal Table"/>
    <w:lsdException w:qFormat="1" w:uiPriority="99"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iPriority="99" w:name="Balloon Text"/>
    <w:lsdException w:qFormat="1" w:unhideWhenUsed="0" w:uiPriority="59" w:semiHidden="0" w:name="Table Grid"/>
    <w:lsdException w:qFormat="1" w:uiPriority="0" w:name="Table Theme"/>
    <w:lsdException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1"/>
      <w:lang w:val="en-US" w:eastAsia="zh-CN" w:bidi="ar-SA"/>
    </w:rPr>
  </w:style>
  <w:style w:type="paragraph" w:styleId="3">
    <w:name w:val="heading 1"/>
    <w:basedOn w:val="1"/>
    <w:next w:val="1"/>
    <w:link w:val="143"/>
    <w:qFormat/>
    <w:uiPriority w:val="9"/>
    <w:pPr>
      <w:keepNext/>
      <w:keepLines/>
      <w:spacing w:line="240" w:lineRule="auto"/>
      <w:ind w:firstLine="0" w:firstLineChars="0"/>
      <w:outlineLvl w:val="0"/>
    </w:pPr>
    <w:rPr>
      <w:rFonts w:eastAsia="黑体" w:cs="Times New Roman"/>
      <w:b/>
      <w:bCs/>
      <w:kern w:val="44"/>
      <w:sz w:val="36"/>
      <w:szCs w:val="44"/>
    </w:rPr>
  </w:style>
  <w:style w:type="paragraph" w:styleId="4">
    <w:name w:val="heading 2"/>
    <w:basedOn w:val="1"/>
    <w:next w:val="1"/>
    <w:link w:val="144"/>
    <w:unhideWhenUsed/>
    <w:qFormat/>
    <w:uiPriority w:val="9"/>
    <w:pPr>
      <w:keepNext/>
      <w:keepLines/>
      <w:spacing w:line="240" w:lineRule="auto"/>
      <w:ind w:firstLine="0" w:firstLineChars="0"/>
      <w:outlineLvl w:val="1"/>
    </w:pPr>
    <w:rPr>
      <w:rFonts w:eastAsia="黑体" w:cs="Times New Roman"/>
      <w:b/>
      <w:bCs/>
      <w:sz w:val="32"/>
      <w:szCs w:val="32"/>
    </w:rPr>
  </w:style>
  <w:style w:type="paragraph" w:styleId="5">
    <w:name w:val="heading 3"/>
    <w:basedOn w:val="1"/>
    <w:next w:val="1"/>
    <w:link w:val="145"/>
    <w:unhideWhenUsed/>
    <w:qFormat/>
    <w:uiPriority w:val="9"/>
    <w:pPr>
      <w:keepNext/>
      <w:keepLines/>
      <w:spacing w:line="240" w:lineRule="auto"/>
      <w:ind w:firstLine="0" w:firstLineChars="0"/>
      <w:outlineLvl w:val="2"/>
    </w:pPr>
    <w:rPr>
      <w:rFonts w:eastAsia="黑体" w:cs="Times New Roman"/>
      <w:b/>
      <w:bCs/>
      <w:sz w:val="28"/>
      <w:szCs w:val="32"/>
    </w:rPr>
  </w:style>
  <w:style w:type="paragraph" w:styleId="6">
    <w:name w:val="heading 4"/>
    <w:basedOn w:val="1"/>
    <w:next w:val="1"/>
    <w:link w:val="146"/>
    <w:unhideWhenUsed/>
    <w:qFormat/>
    <w:uiPriority w:val="9"/>
    <w:pPr>
      <w:keepNext/>
      <w:keepLines/>
      <w:ind w:firstLine="0" w:firstLineChars="0"/>
      <w:outlineLvl w:val="3"/>
    </w:pPr>
    <w:rPr>
      <w:rFonts w:eastAsia="黑体" w:cstheme="majorBidi"/>
      <w:b/>
      <w:bCs/>
      <w:szCs w:val="28"/>
    </w:rPr>
  </w:style>
  <w:style w:type="paragraph" w:styleId="7">
    <w:name w:val="heading 5"/>
    <w:basedOn w:val="1"/>
    <w:next w:val="1"/>
    <w:link w:val="204"/>
    <w:semiHidden/>
    <w:unhideWhenUsed/>
    <w:qFormat/>
    <w:uiPriority w:val="0"/>
    <w:pPr>
      <w:keepNext/>
      <w:autoSpaceDE w:val="0"/>
      <w:autoSpaceDN w:val="0"/>
      <w:adjustRightInd w:val="0"/>
      <w:ind w:firstLine="0" w:firstLineChars="0"/>
      <w:outlineLvl w:val="4"/>
    </w:pPr>
    <w:rPr>
      <w:rFonts w:ascii="宋体" w:hAnsi="宋体" w:cs="宋体"/>
      <w:b/>
      <w:sz w:val="28"/>
      <w:szCs w:val="20"/>
      <w:lang w:val="zh-CN"/>
    </w:rPr>
  </w:style>
  <w:style w:type="paragraph" w:styleId="8">
    <w:name w:val="heading 6"/>
    <w:basedOn w:val="1"/>
    <w:next w:val="1"/>
    <w:link w:val="205"/>
    <w:semiHidden/>
    <w:unhideWhenUsed/>
    <w:qFormat/>
    <w:uiPriority w:val="0"/>
    <w:pPr>
      <w:keepNext/>
      <w:keepLines/>
      <w:tabs>
        <w:tab w:val="left" w:pos="0"/>
      </w:tabs>
      <w:adjustRightInd w:val="0"/>
      <w:spacing w:before="240" w:after="64" w:line="320" w:lineRule="atLeast"/>
      <w:ind w:firstLine="0" w:firstLineChars="0"/>
      <w:outlineLvl w:val="5"/>
    </w:pPr>
    <w:rPr>
      <w:rFonts w:ascii="Arial" w:hAnsi="Arial" w:eastAsia="黑体" w:cs="Times New Roman"/>
      <w:b/>
      <w:kern w:val="0"/>
      <w:szCs w:val="20"/>
    </w:rPr>
  </w:style>
  <w:style w:type="paragraph" w:styleId="9">
    <w:name w:val="heading 7"/>
    <w:basedOn w:val="1"/>
    <w:next w:val="1"/>
    <w:link w:val="206"/>
    <w:semiHidden/>
    <w:unhideWhenUsed/>
    <w:qFormat/>
    <w:uiPriority w:val="0"/>
    <w:pPr>
      <w:keepNext/>
      <w:keepLines/>
      <w:tabs>
        <w:tab w:val="left" w:pos="0"/>
      </w:tabs>
      <w:adjustRightInd w:val="0"/>
      <w:spacing w:after="64" w:line="320" w:lineRule="atLeast"/>
      <w:ind w:left="3401" w:hanging="425" w:firstLineChars="0"/>
      <w:outlineLvl w:val="6"/>
    </w:pPr>
    <w:rPr>
      <w:rFonts w:cs="Times New Roman"/>
      <w:b/>
      <w:kern w:val="0"/>
      <w:szCs w:val="20"/>
    </w:rPr>
  </w:style>
  <w:style w:type="paragraph" w:styleId="10">
    <w:name w:val="heading 8"/>
    <w:basedOn w:val="1"/>
    <w:next w:val="1"/>
    <w:link w:val="207"/>
    <w:semiHidden/>
    <w:unhideWhenUsed/>
    <w:qFormat/>
    <w:uiPriority w:val="0"/>
    <w:pPr>
      <w:keepNext/>
      <w:keepLines/>
      <w:tabs>
        <w:tab w:val="left" w:pos="0"/>
      </w:tabs>
      <w:adjustRightInd w:val="0"/>
      <w:spacing w:after="64" w:line="320" w:lineRule="atLeast"/>
      <w:ind w:left="3826" w:hanging="425" w:firstLineChars="0"/>
      <w:outlineLvl w:val="7"/>
    </w:pPr>
    <w:rPr>
      <w:rFonts w:ascii="Arial" w:hAnsi="Arial" w:eastAsia="黑体" w:cs="Times New Roman"/>
      <w:kern w:val="0"/>
      <w:szCs w:val="20"/>
    </w:rPr>
  </w:style>
  <w:style w:type="paragraph" w:styleId="11">
    <w:name w:val="heading 9"/>
    <w:basedOn w:val="1"/>
    <w:next w:val="1"/>
    <w:link w:val="208"/>
    <w:semiHidden/>
    <w:unhideWhenUsed/>
    <w:qFormat/>
    <w:uiPriority w:val="0"/>
    <w:pPr>
      <w:keepNext/>
      <w:keepLines/>
      <w:tabs>
        <w:tab w:val="left" w:pos="0"/>
      </w:tabs>
      <w:adjustRightInd w:val="0"/>
      <w:spacing w:after="64" w:line="320" w:lineRule="atLeast"/>
      <w:ind w:left="4251" w:hanging="425" w:firstLineChars="0"/>
      <w:outlineLvl w:val="8"/>
    </w:pPr>
    <w:rPr>
      <w:rFonts w:ascii="Arial" w:hAnsi="Arial" w:eastAsia="黑体" w:cs="Times New Roman"/>
      <w:kern w:val="0"/>
      <w:sz w:val="21"/>
      <w:szCs w:val="20"/>
    </w:rPr>
  </w:style>
  <w:style w:type="character" w:default="1" w:styleId="13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20"/>
    <w:semiHidden/>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link w:val="221"/>
    <w:semiHidden/>
    <w:unhideWhenUsed/>
    <w:qFormat/>
    <w:uiPriority w:val="0"/>
    <w:pPr>
      <w:spacing w:line="240" w:lineRule="auto"/>
      <w:ind w:left="100" w:leftChars="400" w:hanging="200" w:hangingChars="200"/>
    </w:pPr>
    <w:rPr>
      <w:rFonts w:ascii="Calibri" w:hAnsi="Calibri" w:cs="Calibri" w:eastAsiaTheme="minorEastAsia"/>
      <w:sz w:val="21"/>
    </w:rPr>
  </w:style>
  <w:style w:type="paragraph" w:styleId="13">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14">
    <w:name w:val="List Number 2"/>
    <w:basedOn w:val="1"/>
    <w:semiHidden/>
    <w:unhideWhenUsed/>
    <w:qFormat/>
    <w:uiPriority w:val="0"/>
    <w:pPr>
      <w:spacing w:line="280" w:lineRule="exact"/>
      <w:ind w:left="540" w:hanging="540" w:firstLineChars="0"/>
      <w:jc w:val="center"/>
    </w:pPr>
    <w:rPr>
      <w:rFonts w:cs="Times New Roman"/>
      <w:sz w:val="21"/>
      <w:szCs w:val="24"/>
    </w:rPr>
  </w:style>
  <w:style w:type="paragraph" w:styleId="15">
    <w:name w:val="table of authorities"/>
    <w:basedOn w:val="1"/>
    <w:next w:val="1"/>
    <w:semiHidden/>
    <w:unhideWhenUsed/>
    <w:qFormat/>
    <w:uiPriority w:val="0"/>
    <w:pPr>
      <w:spacing w:line="240" w:lineRule="auto"/>
      <w:ind w:left="420" w:leftChars="200" w:firstLine="0" w:firstLineChars="0"/>
    </w:pPr>
    <w:rPr>
      <w:rFonts w:cs="Times New Roman"/>
      <w:sz w:val="21"/>
      <w:szCs w:val="20"/>
    </w:rPr>
  </w:style>
  <w:style w:type="paragraph" w:styleId="16">
    <w:name w:val="Note Heading"/>
    <w:basedOn w:val="1"/>
    <w:next w:val="1"/>
    <w:link w:val="236"/>
    <w:semiHidden/>
    <w:unhideWhenUsed/>
    <w:qFormat/>
    <w:uiPriority w:val="0"/>
    <w:pPr>
      <w:spacing w:line="240" w:lineRule="auto"/>
      <w:ind w:firstLine="0" w:firstLineChars="0"/>
      <w:jc w:val="center"/>
    </w:pPr>
    <w:rPr>
      <w:rFonts w:cs="Times New Roman"/>
      <w:sz w:val="21"/>
      <w:szCs w:val="24"/>
    </w:rPr>
  </w:style>
  <w:style w:type="paragraph" w:styleId="17">
    <w:name w:val="List Bullet 4"/>
    <w:basedOn w:val="1"/>
    <w:semiHidden/>
    <w:unhideWhenUsed/>
    <w:qFormat/>
    <w:uiPriority w:val="0"/>
    <w:pPr>
      <w:tabs>
        <w:tab w:val="left" w:pos="1037"/>
      </w:tabs>
      <w:spacing w:line="280" w:lineRule="exact"/>
      <w:ind w:left="1037" w:hanging="360" w:firstLineChars="0"/>
      <w:jc w:val="center"/>
    </w:pPr>
    <w:rPr>
      <w:rFonts w:cs="Times New Roman"/>
      <w:sz w:val="21"/>
      <w:szCs w:val="24"/>
    </w:rPr>
  </w:style>
  <w:style w:type="paragraph" w:styleId="18">
    <w:name w:val="index 8"/>
    <w:basedOn w:val="1"/>
    <w:next w:val="1"/>
    <w:semiHidden/>
    <w:unhideWhenUsed/>
    <w:qFormat/>
    <w:uiPriority w:val="0"/>
    <w:pPr>
      <w:spacing w:line="240" w:lineRule="auto"/>
      <w:ind w:left="1680" w:hanging="210" w:firstLineChars="0"/>
      <w:jc w:val="left"/>
    </w:pPr>
    <w:rPr>
      <w:rFonts w:cs="Times New Roman"/>
      <w:sz w:val="20"/>
      <w:szCs w:val="20"/>
    </w:rPr>
  </w:style>
  <w:style w:type="paragraph" w:styleId="19">
    <w:name w:val="E-mail Signature"/>
    <w:basedOn w:val="1"/>
    <w:link w:val="243"/>
    <w:semiHidden/>
    <w:unhideWhenUsed/>
    <w:qFormat/>
    <w:uiPriority w:val="0"/>
    <w:pPr>
      <w:spacing w:line="240" w:lineRule="auto"/>
      <w:ind w:firstLine="0" w:firstLineChars="0"/>
    </w:pPr>
    <w:rPr>
      <w:rFonts w:ascii="Calibri" w:hAnsi="Calibri" w:cs="Times New Roman"/>
      <w:sz w:val="21"/>
    </w:rPr>
  </w:style>
  <w:style w:type="paragraph" w:styleId="20">
    <w:name w:val="List Number"/>
    <w:basedOn w:val="1"/>
    <w:semiHidden/>
    <w:unhideWhenUsed/>
    <w:qFormat/>
    <w:uiPriority w:val="0"/>
    <w:pPr>
      <w:tabs>
        <w:tab w:val="left" w:pos="1120"/>
      </w:tabs>
      <w:spacing w:line="280" w:lineRule="exact"/>
      <w:ind w:firstLine="400" w:firstLineChars="0"/>
      <w:jc w:val="center"/>
    </w:pPr>
    <w:rPr>
      <w:rFonts w:cs="Times New Roman"/>
      <w:sz w:val="21"/>
      <w:szCs w:val="24"/>
    </w:rPr>
  </w:style>
  <w:style w:type="paragraph" w:styleId="21">
    <w:name w:val="Normal Indent"/>
    <w:basedOn w:val="1"/>
    <w:link w:val="163"/>
    <w:qFormat/>
    <w:uiPriority w:val="0"/>
    <w:pPr>
      <w:spacing w:line="240" w:lineRule="auto"/>
      <w:ind w:firstLine="420"/>
    </w:pPr>
    <w:rPr>
      <w:rFonts w:cs="Times New Roman"/>
      <w:sz w:val="21"/>
      <w:szCs w:val="24"/>
    </w:rPr>
  </w:style>
  <w:style w:type="paragraph" w:styleId="22">
    <w:name w:val="caption"/>
    <w:basedOn w:val="1"/>
    <w:next w:val="1"/>
    <w:link w:val="216"/>
    <w:semiHidden/>
    <w:unhideWhenUsed/>
    <w:qFormat/>
    <w:uiPriority w:val="0"/>
    <w:pPr>
      <w:spacing w:line="240" w:lineRule="auto"/>
      <w:ind w:firstLine="0" w:firstLineChars="0"/>
      <w:jc w:val="center"/>
    </w:pPr>
    <w:rPr>
      <w:rFonts w:ascii="宋体" w:hAnsi="Arial" w:cs="Arial"/>
      <w:sz w:val="21"/>
    </w:rPr>
  </w:style>
  <w:style w:type="paragraph" w:styleId="23">
    <w:name w:val="index 5"/>
    <w:basedOn w:val="1"/>
    <w:next w:val="1"/>
    <w:semiHidden/>
    <w:unhideWhenUsed/>
    <w:qFormat/>
    <w:uiPriority w:val="0"/>
    <w:pPr>
      <w:spacing w:line="240" w:lineRule="auto"/>
      <w:ind w:left="1050" w:hanging="210" w:firstLineChars="0"/>
      <w:jc w:val="left"/>
    </w:pPr>
    <w:rPr>
      <w:rFonts w:cs="Times New Roman"/>
      <w:sz w:val="20"/>
      <w:szCs w:val="20"/>
    </w:rPr>
  </w:style>
  <w:style w:type="paragraph" w:styleId="24">
    <w:name w:val="List Bullet"/>
    <w:basedOn w:val="1"/>
    <w:semiHidden/>
    <w:unhideWhenUsed/>
    <w:qFormat/>
    <w:uiPriority w:val="0"/>
    <w:pPr>
      <w:spacing w:line="280" w:lineRule="exact"/>
      <w:ind w:firstLine="0" w:firstLineChars="0"/>
      <w:jc w:val="center"/>
    </w:pPr>
    <w:rPr>
      <w:rFonts w:cs="Times New Roman"/>
      <w:sz w:val="21"/>
      <w:szCs w:val="24"/>
    </w:rPr>
  </w:style>
  <w:style w:type="paragraph" w:styleId="25">
    <w:name w:val="envelope address"/>
    <w:basedOn w:val="1"/>
    <w:semiHidden/>
    <w:unhideWhenUsed/>
    <w:qFormat/>
    <w:uiPriority w:val="0"/>
    <w:pPr>
      <w:framePr w:w="7920" w:h="1980" w:hSpace="180" w:wrap="around" w:vAnchor="margin" w:hAnchor="page" w:xAlign="center" w:yAlign="bottom"/>
      <w:snapToGrid w:val="0"/>
      <w:spacing w:line="240" w:lineRule="auto"/>
      <w:ind w:left="100" w:leftChars="1400" w:firstLine="0" w:firstLineChars="0"/>
    </w:pPr>
    <w:rPr>
      <w:rFonts w:ascii="Arial" w:hAnsi="Arial" w:cs="Arial"/>
      <w:szCs w:val="24"/>
    </w:rPr>
  </w:style>
  <w:style w:type="paragraph" w:styleId="26">
    <w:name w:val="Document Map"/>
    <w:basedOn w:val="1"/>
    <w:link w:val="158"/>
    <w:semiHidden/>
    <w:unhideWhenUsed/>
    <w:qFormat/>
    <w:uiPriority w:val="99"/>
    <w:rPr>
      <w:rFonts w:ascii="宋体"/>
      <w:sz w:val="18"/>
      <w:szCs w:val="18"/>
    </w:rPr>
  </w:style>
  <w:style w:type="paragraph" w:styleId="27">
    <w:name w:val="toa heading"/>
    <w:basedOn w:val="1"/>
    <w:next w:val="1"/>
    <w:semiHidden/>
    <w:unhideWhenUsed/>
    <w:qFormat/>
    <w:uiPriority w:val="0"/>
    <w:pPr>
      <w:spacing w:before="120" w:line="240" w:lineRule="auto"/>
      <w:ind w:firstLine="0" w:firstLineChars="0"/>
    </w:pPr>
    <w:rPr>
      <w:rFonts w:ascii="Arial" w:hAnsi="Arial" w:cs="Arial"/>
      <w:szCs w:val="24"/>
    </w:rPr>
  </w:style>
  <w:style w:type="paragraph" w:styleId="28">
    <w:name w:val="annotation text"/>
    <w:basedOn w:val="1"/>
    <w:link w:val="175"/>
    <w:unhideWhenUsed/>
    <w:qFormat/>
    <w:uiPriority w:val="99"/>
    <w:pPr>
      <w:jc w:val="left"/>
    </w:pPr>
  </w:style>
  <w:style w:type="paragraph" w:styleId="29">
    <w:name w:val="index 6"/>
    <w:basedOn w:val="1"/>
    <w:next w:val="1"/>
    <w:semiHidden/>
    <w:unhideWhenUsed/>
    <w:qFormat/>
    <w:uiPriority w:val="0"/>
    <w:pPr>
      <w:spacing w:line="240" w:lineRule="auto"/>
      <w:ind w:left="1260" w:hanging="210" w:firstLineChars="0"/>
      <w:jc w:val="left"/>
    </w:pPr>
    <w:rPr>
      <w:rFonts w:cs="Times New Roman"/>
      <w:sz w:val="20"/>
      <w:szCs w:val="20"/>
    </w:rPr>
  </w:style>
  <w:style w:type="paragraph" w:styleId="30">
    <w:name w:val="Salutation"/>
    <w:basedOn w:val="1"/>
    <w:next w:val="1"/>
    <w:link w:val="231"/>
    <w:semiHidden/>
    <w:unhideWhenUsed/>
    <w:qFormat/>
    <w:uiPriority w:val="0"/>
    <w:pPr>
      <w:spacing w:line="240" w:lineRule="auto"/>
      <w:ind w:firstLine="0" w:firstLineChars="0"/>
    </w:pPr>
    <w:rPr>
      <w:rFonts w:ascii="Calibri" w:hAnsi="Calibri" w:cs="Times New Roman"/>
      <w:sz w:val="21"/>
    </w:rPr>
  </w:style>
  <w:style w:type="paragraph" w:styleId="31">
    <w:name w:val="Body Text 3"/>
    <w:basedOn w:val="1"/>
    <w:link w:val="240"/>
    <w:semiHidden/>
    <w:unhideWhenUsed/>
    <w:qFormat/>
    <w:uiPriority w:val="0"/>
    <w:pPr>
      <w:autoSpaceDE w:val="0"/>
      <w:autoSpaceDN w:val="0"/>
      <w:adjustRightInd w:val="0"/>
      <w:spacing w:line="240" w:lineRule="auto"/>
      <w:ind w:firstLine="0" w:firstLineChars="0"/>
      <w:jc w:val="left"/>
    </w:pPr>
    <w:rPr>
      <w:rFonts w:ascii="宋体" w:hAnsi="宋体" w:cs="Times New Roman"/>
      <w:color w:val="000000"/>
      <w:kern w:val="0"/>
      <w:sz w:val="21"/>
      <w:szCs w:val="20"/>
    </w:rPr>
  </w:style>
  <w:style w:type="paragraph" w:styleId="32">
    <w:name w:val="Closing"/>
    <w:basedOn w:val="1"/>
    <w:link w:val="224"/>
    <w:semiHidden/>
    <w:unhideWhenUsed/>
    <w:qFormat/>
    <w:uiPriority w:val="0"/>
    <w:pPr>
      <w:spacing w:line="240" w:lineRule="auto"/>
      <w:ind w:left="100" w:leftChars="2100" w:firstLine="0" w:firstLineChars="0"/>
    </w:pPr>
    <w:rPr>
      <w:rFonts w:ascii="Calibri" w:hAnsi="Calibri" w:cs="Times New Roman"/>
      <w:sz w:val="21"/>
    </w:rPr>
  </w:style>
  <w:style w:type="paragraph" w:styleId="33">
    <w:name w:val="List Bullet 3"/>
    <w:basedOn w:val="1"/>
    <w:semiHidden/>
    <w:unhideWhenUsed/>
    <w:qFormat/>
    <w:uiPriority w:val="0"/>
    <w:pPr>
      <w:spacing w:line="280" w:lineRule="exact"/>
      <w:ind w:firstLine="0" w:firstLineChars="0"/>
      <w:jc w:val="center"/>
    </w:pPr>
    <w:rPr>
      <w:rFonts w:cs="Times New Roman"/>
      <w:sz w:val="21"/>
      <w:szCs w:val="24"/>
    </w:rPr>
  </w:style>
  <w:style w:type="paragraph" w:styleId="34">
    <w:name w:val="Body Text"/>
    <w:basedOn w:val="1"/>
    <w:link w:val="155"/>
    <w:unhideWhenUsed/>
    <w:qFormat/>
    <w:uiPriority w:val="99"/>
    <w:pPr>
      <w:spacing w:after="120"/>
    </w:pPr>
  </w:style>
  <w:style w:type="paragraph" w:styleId="35">
    <w:name w:val="Body Text Indent"/>
    <w:basedOn w:val="1"/>
    <w:link w:val="203"/>
    <w:semiHidden/>
    <w:unhideWhenUsed/>
    <w:qFormat/>
    <w:uiPriority w:val="0"/>
    <w:pPr>
      <w:spacing w:after="120"/>
      <w:ind w:left="420" w:leftChars="200"/>
    </w:pPr>
  </w:style>
  <w:style w:type="paragraph" w:styleId="36">
    <w:name w:val="List Number 3"/>
    <w:basedOn w:val="1"/>
    <w:semiHidden/>
    <w:unhideWhenUsed/>
    <w:qFormat/>
    <w:uiPriority w:val="0"/>
    <w:pPr>
      <w:tabs>
        <w:tab w:val="left" w:pos="425"/>
      </w:tabs>
      <w:spacing w:line="280" w:lineRule="exact"/>
      <w:ind w:left="425" w:hanging="425" w:firstLineChars="0"/>
      <w:jc w:val="center"/>
    </w:pPr>
    <w:rPr>
      <w:rFonts w:cs="Times New Roman"/>
      <w:sz w:val="21"/>
      <w:szCs w:val="24"/>
    </w:rPr>
  </w:style>
  <w:style w:type="paragraph" w:styleId="37">
    <w:name w:val="List 2"/>
    <w:basedOn w:val="1"/>
    <w:semiHidden/>
    <w:unhideWhenUsed/>
    <w:qFormat/>
    <w:uiPriority w:val="0"/>
    <w:pPr>
      <w:spacing w:line="240" w:lineRule="auto"/>
      <w:ind w:left="100" w:leftChars="200" w:hanging="200" w:hangingChars="200"/>
    </w:pPr>
    <w:rPr>
      <w:rFonts w:ascii="Calibri" w:hAnsi="Calibri" w:cs="Times New Roman"/>
      <w:sz w:val="21"/>
    </w:rPr>
  </w:style>
  <w:style w:type="paragraph" w:styleId="38">
    <w:name w:val="List Continue"/>
    <w:basedOn w:val="1"/>
    <w:semiHidden/>
    <w:unhideWhenUsed/>
    <w:qFormat/>
    <w:uiPriority w:val="0"/>
    <w:pPr>
      <w:spacing w:line="240" w:lineRule="auto"/>
      <w:ind w:left="420" w:leftChars="200" w:firstLine="0" w:firstLineChars="0"/>
    </w:pPr>
    <w:rPr>
      <w:rFonts w:ascii="Calibri" w:hAnsi="Calibri" w:cs="Times New Roman"/>
      <w:sz w:val="21"/>
    </w:rPr>
  </w:style>
  <w:style w:type="paragraph" w:styleId="39">
    <w:name w:val="Block Text"/>
    <w:basedOn w:val="1"/>
    <w:semiHidden/>
    <w:unhideWhenUsed/>
    <w:qFormat/>
    <w:uiPriority w:val="0"/>
    <w:pPr>
      <w:autoSpaceDE w:val="0"/>
      <w:autoSpaceDN w:val="0"/>
      <w:adjustRightInd w:val="0"/>
      <w:snapToGrid w:val="0"/>
      <w:spacing w:line="240" w:lineRule="auto"/>
      <w:ind w:left="-63" w:leftChars="-30" w:right="-63" w:rightChars="-30" w:firstLine="0" w:firstLineChars="0"/>
      <w:jc w:val="center"/>
    </w:pPr>
    <w:rPr>
      <w:rFonts w:ascii="宋体" w:hAnsi="宋体" w:cs="Times New Roman"/>
      <w:spacing w:val="-6"/>
      <w:kern w:val="0"/>
      <w:sz w:val="21"/>
      <w:szCs w:val="15"/>
      <w:u w:val="single"/>
    </w:rPr>
  </w:style>
  <w:style w:type="paragraph" w:styleId="40">
    <w:name w:val="List Bullet 2"/>
    <w:basedOn w:val="1"/>
    <w:semiHidden/>
    <w:unhideWhenUsed/>
    <w:qFormat/>
    <w:uiPriority w:val="0"/>
    <w:pPr>
      <w:tabs>
        <w:tab w:val="left" w:pos="1039"/>
      </w:tabs>
      <w:spacing w:line="280" w:lineRule="exact"/>
      <w:ind w:left="1039" w:hanging="360" w:firstLineChars="0"/>
      <w:jc w:val="center"/>
    </w:pPr>
    <w:rPr>
      <w:rFonts w:cs="Times New Roman"/>
      <w:sz w:val="21"/>
      <w:szCs w:val="24"/>
    </w:rPr>
  </w:style>
  <w:style w:type="paragraph" w:styleId="41">
    <w:name w:val="HTML Address"/>
    <w:basedOn w:val="1"/>
    <w:link w:val="209"/>
    <w:semiHidden/>
    <w:unhideWhenUsed/>
    <w:qFormat/>
    <w:uiPriority w:val="0"/>
    <w:pPr>
      <w:spacing w:line="240" w:lineRule="auto"/>
      <w:ind w:firstLine="0" w:firstLineChars="0"/>
    </w:pPr>
    <w:rPr>
      <w:rFonts w:ascii="Calibri" w:hAnsi="Calibri" w:cs="Times New Roman"/>
      <w:i/>
      <w:iCs/>
      <w:sz w:val="21"/>
    </w:rPr>
  </w:style>
  <w:style w:type="paragraph" w:styleId="42">
    <w:name w:val="index 4"/>
    <w:basedOn w:val="1"/>
    <w:next w:val="1"/>
    <w:semiHidden/>
    <w:unhideWhenUsed/>
    <w:qFormat/>
    <w:uiPriority w:val="0"/>
    <w:pPr>
      <w:spacing w:line="240" w:lineRule="auto"/>
      <w:ind w:left="840" w:hanging="210" w:firstLineChars="0"/>
      <w:jc w:val="left"/>
    </w:pPr>
    <w:rPr>
      <w:rFonts w:cs="Times New Roman"/>
      <w:sz w:val="20"/>
      <w:szCs w:val="20"/>
    </w:rPr>
  </w:style>
  <w:style w:type="paragraph" w:styleId="43">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44">
    <w:name w:val="toc 3"/>
    <w:basedOn w:val="1"/>
    <w:next w:val="1"/>
    <w:unhideWhenUsed/>
    <w:qFormat/>
    <w:uiPriority w:val="39"/>
    <w:pPr>
      <w:ind w:left="840" w:leftChars="400"/>
    </w:pPr>
  </w:style>
  <w:style w:type="paragraph" w:styleId="45">
    <w:name w:val="Plain Text"/>
    <w:basedOn w:val="1"/>
    <w:link w:val="170"/>
    <w:qFormat/>
    <w:uiPriority w:val="0"/>
    <w:pPr>
      <w:spacing w:line="240" w:lineRule="auto"/>
      <w:ind w:firstLine="0" w:firstLineChars="0"/>
    </w:pPr>
    <w:rPr>
      <w:rFonts w:ascii="宋体" w:hAnsi="Courier New" w:eastAsiaTheme="minorEastAsia"/>
      <w:sz w:val="21"/>
    </w:rPr>
  </w:style>
  <w:style w:type="paragraph" w:styleId="46">
    <w:name w:val="List Bullet 5"/>
    <w:basedOn w:val="1"/>
    <w:semiHidden/>
    <w:unhideWhenUsed/>
    <w:qFormat/>
    <w:uiPriority w:val="0"/>
    <w:pPr>
      <w:tabs>
        <w:tab w:val="left" w:pos="870"/>
      </w:tabs>
      <w:spacing w:line="280" w:lineRule="exact"/>
      <w:ind w:left="870" w:hanging="360" w:firstLineChars="0"/>
      <w:jc w:val="center"/>
    </w:pPr>
    <w:rPr>
      <w:rFonts w:cs="Times New Roman"/>
      <w:sz w:val="21"/>
      <w:szCs w:val="24"/>
    </w:rPr>
  </w:style>
  <w:style w:type="paragraph" w:styleId="47">
    <w:name w:val="List Number 4"/>
    <w:basedOn w:val="1"/>
    <w:semiHidden/>
    <w:unhideWhenUsed/>
    <w:qFormat/>
    <w:uiPriority w:val="0"/>
    <w:pPr>
      <w:tabs>
        <w:tab w:val="left" w:pos="840"/>
      </w:tabs>
      <w:spacing w:line="280" w:lineRule="exact"/>
      <w:ind w:left="840" w:hanging="360" w:firstLineChars="0"/>
      <w:jc w:val="center"/>
    </w:pPr>
    <w:rPr>
      <w:rFonts w:cs="Times New Roman"/>
      <w:sz w:val="21"/>
      <w:szCs w:val="24"/>
    </w:rPr>
  </w:style>
  <w:style w:type="paragraph" w:styleId="48">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49">
    <w:name w:val="index 3"/>
    <w:basedOn w:val="1"/>
    <w:next w:val="1"/>
    <w:semiHidden/>
    <w:unhideWhenUsed/>
    <w:qFormat/>
    <w:uiPriority w:val="0"/>
    <w:pPr>
      <w:spacing w:line="240" w:lineRule="auto"/>
      <w:ind w:left="630" w:hanging="210" w:firstLineChars="0"/>
      <w:jc w:val="left"/>
    </w:pPr>
    <w:rPr>
      <w:rFonts w:cs="Times New Roman"/>
      <w:sz w:val="20"/>
      <w:szCs w:val="20"/>
    </w:rPr>
  </w:style>
  <w:style w:type="paragraph" w:styleId="50">
    <w:name w:val="Date"/>
    <w:basedOn w:val="1"/>
    <w:next w:val="1"/>
    <w:link w:val="192"/>
    <w:semiHidden/>
    <w:unhideWhenUsed/>
    <w:qFormat/>
    <w:uiPriority w:val="99"/>
    <w:pPr>
      <w:ind w:left="100" w:leftChars="2500"/>
    </w:pPr>
  </w:style>
  <w:style w:type="paragraph" w:styleId="51">
    <w:name w:val="Body Text Indent 2"/>
    <w:basedOn w:val="1"/>
    <w:link w:val="198"/>
    <w:semiHidden/>
    <w:unhideWhenUsed/>
    <w:qFormat/>
    <w:uiPriority w:val="0"/>
    <w:pPr>
      <w:spacing w:after="120" w:line="480" w:lineRule="auto"/>
      <w:ind w:left="420" w:leftChars="200"/>
    </w:pPr>
  </w:style>
  <w:style w:type="paragraph" w:styleId="52">
    <w:name w:val="endnote text"/>
    <w:basedOn w:val="1"/>
    <w:link w:val="219"/>
    <w:semiHidden/>
    <w:unhideWhenUsed/>
    <w:qFormat/>
    <w:uiPriority w:val="0"/>
    <w:pPr>
      <w:snapToGrid w:val="0"/>
      <w:spacing w:line="240" w:lineRule="auto"/>
      <w:ind w:firstLine="0" w:firstLineChars="0"/>
      <w:jc w:val="left"/>
    </w:pPr>
    <w:rPr>
      <w:rFonts w:cs="Times New Roman"/>
      <w:sz w:val="21"/>
      <w:szCs w:val="20"/>
    </w:rPr>
  </w:style>
  <w:style w:type="paragraph" w:styleId="53">
    <w:name w:val="List Continue 5"/>
    <w:basedOn w:val="1"/>
    <w:semiHidden/>
    <w:unhideWhenUsed/>
    <w:qFormat/>
    <w:uiPriority w:val="0"/>
    <w:pPr>
      <w:spacing w:line="240" w:lineRule="auto"/>
      <w:ind w:left="2100" w:leftChars="1000" w:firstLine="0" w:firstLineChars="0"/>
    </w:pPr>
    <w:rPr>
      <w:rFonts w:ascii="Calibri" w:hAnsi="Calibri" w:cs="Times New Roman"/>
      <w:sz w:val="21"/>
    </w:rPr>
  </w:style>
  <w:style w:type="paragraph" w:styleId="54">
    <w:name w:val="Balloon Text"/>
    <w:basedOn w:val="1"/>
    <w:link w:val="152"/>
    <w:semiHidden/>
    <w:unhideWhenUsed/>
    <w:qFormat/>
    <w:uiPriority w:val="99"/>
    <w:rPr>
      <w:sz w:val="18"/>
      <w:szCs w:val="18"/>
    </w:rPr>
  </w:style>
  <w:style w:type="paragraph" w:styleId="55">
    <w:name w:val="footer"/>
    <w:basedOn w:val="1"/>
    <w:link w:val="154"/>
    <w:unhideWhenUsed/>
    <w:qFormat/>
    <w:uiPriority w:val="99"/>
    <w:pPr>
      <w:tabs>
        <w:tab w:val="center" w:pos="4153"/>
        <w:tab w:val="right" w:pos="8306"/>
      </w:tabs>
      <w:snapToGrid w:val="0"/>
      <w:spacing w:line="240" w:lineRule="auto"/>
      <w:jc w:val="left"/>
    </w:pPr>
    <w:rPr>
      <w:sz w:val="18"/>
      <w:szCs w:val="18"/>
    </w:rPr>
  </w:style>
  <w:style w:type="paragraph" w:styleId="56">
    <w:name w:val="envelope return"/>
    <w:basedOn w:val="1"/>
    <w:semiHidden/>
    <w:unhideWhenUsed/>
    <w:qFormat/>
    <w:uiPriority w:val="0"/>
    <w:pPr>
      <w:snapToGrid w:val="0"/>
      <w:spacing w:line="240" w:lineRule="auto"/>
      <w:ind w:firstLine="0" w:firstLineChars="0"/>
    </w:pPr>
    <w:rPr>
      <w:rFonts w:ascii="Arial" w:hAnsi="Arial" w:cs="Arial"/>
      <w:sz w:val="21"/>
    </w:rPr>
  </w:style>
  <w:style w:type="paragraph" w:styleId="57">
    <w:name w:val="header"/>
    <w:basedOn w:val="1"/>
    <w:link w:val="15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8">
    <w:name w:val="Signature"/>
    <w:basedOn w:val="1"/>
    <w:link w:val="226"/>
    <w:semiHidden/>
    <w:unhideWhenUsed/>
    <w:qFormat/>
    <w:uiPriority w:val="0"/>
    <w:pPr>
      <w:spacing w:line="240" w:lineRule="auto"/>
      <w:ind w:left="100" w:leftChars="2100" w:firstLine="0" w:firstLineChars="0"/>
    </w:pPr>
    <w:rPr>
      <w:rFonts w:ascii="Calibri" w:hAnsi="Calibri" w:cs="Times New Roman"/>
      <w:sz w:val="21"/>
    </w:rPr>
  </w:style>
  <w:style w:type="paragraph" w:styleId="59">
    <w:name w:val="toc 1"/>
    <w:basedOn w:val="1"/>
    <w:next w:val="1"/>
    <w:unhideWhenUsed/>
    <w:qFormat/>
    <w:uiPriority w:val="39"/>
  </w:style>
  <w:style w:type="paragraph" w:styleId="60">
    <w:name w:val="List Continue 4"/>
    <w:basedOn w:val="1"/>
    <w:semiHidden/>
    <w:unhideWhenUsed/>
    <w:qFormat/>
    <w:uiPriority w:val="0"/>
    <w:pPr>
      <w:spacing w:line="240" w:lineRule="auto"/>
      <w:ind w:left="1680" w:leftChars="800" w:firstLine="0" w:firstLineChars="0"/>
    </w:pPr>
    <w:rPr>
      <w:rFonts w:ascii="Calibri" w:hAnsi="Calibri" w:cs="Times New Roman"/>
      <w:sz w:val="21"/>
    </w:rPr>
  </w:style>
  <w:style w:type="paragraph" w:styleId="61">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62">
    <w:name w:val="index heading"/>
    <w:basedOn w:val="1"/>
    <w:next w:val="63"/>
    <w:semiHidden/>
    <w:unhideWhenUsed/>
    <w:qFormat/>
    <w:uiPriority w:val="0"/>
    <w:pPr>
      <w:spacing w:before="120" w:after="120" w:line="240" w:lineRule="auto"/>
      <w:ind w:firstLine="0" w:firstLineChars="0"/>
      <w:jc w:val="left"/>
    </w:pPr>
    <w:rPr>
      <w:rFonts w:cs="Times New Roman"/>
      <w:b/>
      <w:bCs/>
      <w:i/>
      <w:iCs/>
      <w:sz w:val="20"/>
      <w:szCs w:val="20"/>
    </w:rPr>
  </w:style>
  <w:style w:type="paragraph" w:styleId="63">
    <w:name w:val="index 1"/>
    <w:basedOn w:val="1"/>
    <w:next w:val="1"/>
    <w:semiHidden/>
    <w:unhideWhenUsed/>
    <w:qFormat/>
    <w:uiPriority w:val="0"/>
    <w:pPr>
      <w:spacing w:line="240" w:lineRule="auto"/>
      <w:ind w:firstLine="0" w:firstLineChars="0"/>
    </w:pPr>
    <w:rPr>
      <w:rFonts w:cs="Times New Roman"/>
      <w:sz w:val="21"/>
      <w:szCs w:val="20"/>
    </w:rPr>
  </w:style>
  <w:style w:type="paragraph" w:styleId="64">
    <w:name w:val="Subtitle"/>
    <w:basedOn w:val="1"/>
    <w:link w:val="229"/>
    <w:qFormat/>
    <w:uiPriority w:val="0"/>
    <w:pPr>
      <w:spacing w:before="240" w:line="312" w:lineRule="auto"/>
      <w:ind w:firstLine="0" w:firstLineChars="0"/>
      <w:jc w:val="center"/>
      <w:outlineLvl w:val="1"/>
    </w:pPr>
    <w:rPr>
      <w:rFonts w:ascii="Arial" w:hAnsi="Arial" w:cs="Arial"/>
      <w:b/>
      <w:bCs/>
      <w:kern w:val="28"/>
      <w:sz w:val="32"/>
      <w:szCs w:val="32"/>
    </w:rPr>
  </w:style>
  <w:style w:type="paragraph" w:styleId="65">
    <w:name w:val="List Number 5"/>
    <w:basedOn w:val="1"/>
    <w:semiHidden/>
    <w:unhideWhenUsed/>
    <w:qFormat/>
    <w:uiPriority w:val="0"/>
    <w:pPr>
      <w:tabs>
        <w:tab w:val="left" w:pos="425"/>
      </w:tabs>
      <w:spacing w:line="280" w:lineRule="exact"/>
      <w:ind w:left="425" w:hanging="425" w:firstLineChars="0"/>
      <w:jc w:val="center"/>
    </w:pPr>
    <w:rPr>
      <w:rFonts w:cs="Times New Roman"/>
      <w:sz w:val="21"/>
      <w:szCs w:val="24"/>
    </w:rPr>
  </w:style>
  <w:style w:type="paragraph" w:styleId="66">
    <w:name w:val="List"/>
    <w:basedOn w:val="1"/>
    <w:link w:val="162"/>
    <w:qFormat/>
    <w:uiPriority w:val="0"/>
    <w:pPr>
      <w:spacing w:line="360" w:lineRule="exact"/>
      <w:ind w:firstLine="38" w:firstLineChars="18"/>
      <w:jc w:val="left"/>
    </w:pPr>
    <w:rPr>
      <w:rFonts w:ascii="宋体" w:cs="Times New Roman"/>
      <w:sz w:val="21"/>
    </w:rPr>
  </w:style>
  <w:style w:type="paragraph" w:styleId="67">
    <w:name w:val="footnote text"/>
    <w:basedOn w:val="1"/>
    <w:link w:val="215"/>
    <w:semiHidden/>
    <w:unhideWhenUsed/>
    <w:qFormat/>
    <w:uiPriority w:val="0"/>
    <w:pPr>
      <w:snapToGrid w:val="0"/>
      <w:spacing w:line="240" w:lineRule="auto"/>
      <w:ind w:firstLine="0" w:firstLineChars="0"/>
      <w:jc w:val="left"/>
    </w:pPr>
    <w:rPr>
      <w:rFonts w:cs="Times New Roman"/>
      <w:sz w:val="18"/>
      <w:szCs w:val="20"/>
    </w:rPr>
  </w:style>
  <w:style w:type="paragraph" w:styleId="68">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69">
    <w:name w:val="List 5"/>
    <w:basedOn w:val="1"/>
    <w:semiHidden/>
    <w:unhideWhenUsed/>
    <w:qFormat/>
    <w:uiPriority w:val="0"/>
    <w:pPr>
      <w:spacing w:line="240" w:lineRule="auto"/>
      <w:ind w:left="100" w:leftChars="800" w:hanging="200" w:hangingChars="200"/>
    </w:pPr>
    <w:rPr>
      <w:rFonts w:ascii="Calibri" w:hAnsi="Calibri" w:cs="Times New Roman"/>
      <w:sz w:val="21"/>
    </w:rPr>
  </w:style>
  <w:style w:type="paragraph" w:styleId="70">
    <w:name w:val="Body Text Indent 3"/>
    <w:basedOn w:val="1"/>
    <w:link w:val="242"/>
    <w:semiHidden/>
    <w:unhideWhenUsed/>
    <w:qFormat/>
    <w:uiPriority w:val="0"/>
    <w:pPr>
      <w:spacing w:after="120" w:line="240" w:lineRule="auto"/>
      <w:ind w:left="420" w:firstLine="0" w:firstLineChars="0"/>
    </w:pPr>
    <w:rPr>
      <w:rFonts w:cs="Times New Roman"/>
      <w:sz w:val="16"/>
      <w:szCs w:val="20"/>
    </w:rPr>
  </w:style>
  <w:style w:type="paragraph" w:styleId="71">
    <w:name w:val="index 7"/>
    <w:basedOn w:val="1"/>
    <w:next w:val="1"/>
    <w:semiHidden/>
    <w:unhideWhenUsed/>
    <w:qFormat/>
    <w:uiPriority w:val="0"/>
    <w:pPr>
      <w:spacing w:line="240" w:lineRule="auto"/>
      <w:ind w:left="1470" w:hanging="210" w:firstLineChars="0"/>
      <w:jc w:val="left"/>
    </w:pPr>
    <w:rPr>
      <w:rFonts w:cs="Times New Roman"/>
      <w:sz w:val="20"/>
      <w:szCs w:val="20"/>
    </w:rPr>
  </w:style>
  <w:style w:type="paragraph" w:styleId="72">
    <w:name w:val="index 9"/>
    <w:basedOn w:val="1"/>
    <w:next w:val="1"/>
    <w:semiHidden/>
    <w:unhideWhenUsed/>
    <w:qFormat/>
    <w:uiPriority w:val="0"/>
    <w:pPr>
      <w:spacing w:line="240" w:lineRule="auto"/>
      <w:ind w:left="1890" w:hanging="210" w:firstLineChars="0"/>
      <w:jc w:val="left"/>
    </w:pPr>
    <w:rPr>
      <w:rFonts w:cs="Times New Roman"/>
      <w:sz w:val="20"/>
      <w:szCs w:val="20"/>
    </w:rPr>
  </w:style>
  <w:style w:type="paragraph" w:styleId="73">
    <w:name w:val="table of figures"/>
    <w:basedOn w:val="1"/>
    <w:next w:val="1"/>
    <w:link w:val="217"/>
    <w:semiHidden/>
    <w:unhideWhenUsed/>
    <w:qFormat/>
    <w:uiPriority w:val="0"/>
    <w:pPr>
      <w:ind w:left="200" w:leftChars="200" w:hanging="200" w:hangingChars="200"/>
    </w:pPr>
    <w:rPr>
      <w:rFonts w:ascii="宋体" w:hAnsi="宋体"/>
      <w:szCs w:val="24"/>
    </w:rPr>
  </w:style>
  <w:style w:type="paragraph" w:styleId="74">
    <w:name w:val="toc 2"/>
    <w:basedOn w:val="1"/>
    <w:next w:val="1"/>
    <w:link w:val="174"/>
    <w:unhideWhenUsed/>
    <w:qFormat/>
    <w:uiPriority w:val="39"/>
    <w:pPr>
      <w:ind w:left="420" w:leftChars="200"/>
    </w:pPr>
  </w:style>
  <w:style w:type="paragraph" w:styleId="75">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paragraph" w:styleId="76">
    <w:name w:val="Body Text 2"/>
    <w:basedOn w:val="1"/>
    <w:link w:val="238"/>
    <w:semiHidden/>
    <w:unhideWhenUsed/>
    <w:qFormat/>
    <w:uiPriority w:val="0"/>
    <w:pPr>
      <w:autoSpaceDE w:val="0"/>
      <w:autoSpaceDN w:val="0"/>
      <w:adjustRightInd w:val="0"/>
      <w:spacing w:line="500" w:lineRule="exact"/>
      <w:ind w:firstLine="0" w:firstLineChars="0"/>
    </w:pPr>
    <w:rPr>
      <w:rFonts w:ascii="宋体" w:cs="Times New Roman"/>
      <w:color w:val="0000FF"/>
      <w:szCs w:val="20"/>
      <w:lang w:val="zh-CN"/>
    </w:rPr>
  </w:style>
  <w:style w:type="paragraph" w:styleId="77">
    <w:name w:val="List 4"/>
    <w:basedOn w:val="1"/>
    <w:semiHidden/>
    <w:unhideWhenUsed/>
    <w:qFormat/>
    <w:uiPriority w:val="0"/>
    <w:pPr>
      <w:spacing w:line="240" w:lineRule="auto"/>
      <w:ind w:left="100" w:leftChars="600" w:hanging="200" w:hangingChars="200"/>
    </w:pPr>
    <w:rPr>
      <w:rFonts w:ascii="Calibri" w:hAnsi="Calibri" w:cs="Times New Roman"/>
      <w:sz w:val="21"/>
    </w:rPr>
  </w:style>
  <w:style w:type="paragraph" w:styleId="78">
    <w:name w:val="List Continue 2"/>
    <w:basedOn w:val="1"/>
    <w:semiHidden/>
    <w:unhideWhenUsed/>
    <w:qFormat/>
    <w:uiPriority w:val="0"/>
    <w:pPr>
      <w:spacing w:line="240" w:lineRule="auto"/>
      <w:ind w:left="840" w:leftChars="400" w:firstLine="0" w:firstLineChars="0"/>
    </w:pPr>
    <w:rPr>
      <w:rFonts w:ascii="Calibri" w:hAnsi="Calibri" w:cs="Times New Roman"/>
      <w:sz w:val="21"/>
    </w:rPr>
  </w:style>
  <w:style w:type="paragraph" w:styleId="79">
    <w:name w:val="Message Header"/>
    <w:basedOn w:val="1"/>
    <w:link w:val="227"/>
    <w:semiHidden/>
    <w:unhideWhenUsed/>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zCs w:val="24"/>
    </w:rPr>
  </w:style>
  <w:style w:type="paragraph" w:styleId="80">
    <w:name w:val="HTML Preformatted"/>
    <w:basedOn w:val="1"/>
    <w:link w:val="213"/>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Courier New" w:hAnsi="Courier New" w:cs="Courier New"/>
      <w:sz w:val="20"/>
      <w:szCs w:val="20"/>
    </w:rPr>
  </w:style>
  <w:style w:type="paragraph" w:styleId="81">
    <w:name w:val="Normal (Web)"/>
    <w:basedOn w:val="1"/>
    <w:link w:val="172"/>
    <w:unhideWhenUsed/>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82">
    <w:name w:val="List Continue 3"/>
    <w:basedOn w:val="1"/>
    <w:semiHidden/>
    <w:unhideWhenUsed/>
    <w:qFormat/>
    <w:uiPriority w:val="0"/>
    <w:pPr>
      <w:spacing w:line="240" w:lineRule="auto"/>
      <w:ind w:left="1260" w:leftChars="600" w:firstLine="0" w:firstLineChars="0"/>
    </w:pPr>
    <w:rPr>
      <w:rFonts w:ascii="Calibri" w:hAnsi="Calibri" w:cs="Times New Roman"/>
      <w:sz w:val="21"/>
    </w:rPr>
  </w:style>
  <w:style w:type="paragraph" w:styleId="83">
    <w:name w:val="index 2"/>
    <w:basedOn w:val="1"/>
    <w:next w:val="1"/>
    <w:semiHidden/>
    <w:unhideWhenUsed/>
    <w:qFormat/>
    <w:uiPriority w:val="0"/>
    <w:pPr>
      <w:spacing w:line="240" w:lineRule="auto"/>
      <w:ind w:left="420" w:hanging="210" w:firstLineChars="0"/>
      <w:jc w:val="left"/>
    </w:pPr>
    <w:rPr>
      <w:rFonts w:cs="Times New Roman"/>
      <w:sz w:val="20"/>
      <w:szCs w:val="20"/>
    </w:rPr>
  </w:style>
  <w:style w:type="paragraph" w:styleId="84">
    <w:name w:val="Title"/>
    <w:basedOn w:val="1"/>
    <w:link w:val="223"/>
    <w:qFormat/>
    <w:uiPriority w:val="0"/>
    <w:pPr>
      <w:spacing w:before="240" w:after="60" w:line="240" w:lineRule="auto"/>
      <w:ind w:left="540" w:hanging="540" w:firstLineChars="0"/>
      <w:jc w:val="center"/>
      <w:outlineLvl w:val="0"/>
    </w:pPr>
    <w:rPr>
      <w:rFonts w:ascii="Arial" w:hAnsi="Arial" w:cs="Times New Roman"/>
      <w:b/>
      <w:sz w:val="32"/>
      <w:szCs w:val="20"/>
    </w:rPr>
  </w:style>
  <w:style w:type="paragraph" w:styleId="85">
    <w:name w:val="annotation subject"/>
    <w:basedOn w:val="28"/>
    <w:next w:val="28"/>
    <w:link w:val="176"/>
    <w:semiHidden/>
    <w:unhideWhenUsed/>
    <w:qFormat/>
    <w:uiPriority w:val="99"/>
    <w:rPr>
      <w:b/>
      <w:bCs/>
    </w:rPr>
  </w:style>
  <w:style w:type="paragraph" w:styleId="86">
    <w:name w:val="Body Text First Indent"/>
    <w:basedOn w:val="34"/>
    <w:link w:val="156"/>
    <w:qFormat/>
    <w:uiPriority w:val="99"/>
    <w:pPr>
      <w:spacing w:line="240" w:lineRule="auto"/>
      <w:ind w:firstLine="420" w:firstLineChars="100"/>
    </w:pPr>
    <w:rPr>
      <w:rFonts w:cs="Times New Roman"/>
      <w:sz w:val="21"/>
      <w:szCs w:val="24"/>
    </w:rPr>
  </w:style>
  <w:style w:type="paragraph" w:styleId="87">
    <w:name w:val="Body Text First Indent 2"/>
    <w:basedOn w:val="35"/>
    <w:link w:val="234"/>
    <w:unhideWhenUsed/>
    <w:qFormat/>
    <w:uiPriority w:val="0"/>
    <w:pPr>
      <w:spacing w:line="240" w:lineRule="auto"/>
      <w:ind w:left="200" w:firstLine="420"/>
    </w:pPr>
    <w:rPr>
      <w:rFonts w:ascii="宋体" w:cs="Times New Roman"/>
      <w:color w:val="0000FF"/>
      <w:szCs w:val="20"/>
      <w:lang w:val="zh-CN"/>
    </w:rPr>
  </w:style>
  <w:style w:type="table" w:styleId="89">
    <w:name w:val="Table Grid"/>
    <w:basedOn w:val="8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90">
    <w:name w:val="Table Theme"/>
    <w:basedOn w:val="88"/>
    <w:semiHidden/>
    <w:unhideWhenUsed/>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semiHidden/>
    <w:unhideWhenUsed/>
    <w:qFormat/>
    <w:uiPriority w:val="0"/>
    <w:pPr>
      <w:widowControl w:val="0"/>
      <w:jc w:val="both"/>
    </w:pPr>
    <w:rPr>
      <w:rFonts w:ascii="Calibri" w:hAnsi="Calibri" w:eastAsia="宋体" w:cs="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semiHidden/>
    <w:unhideWhenUsed/>
    <w:qFormat/>
    <w:uiPriority w:val="0"/>
    <w:pPr>
      <w:widowControl w:val="0"/>
      <w:jc w:val="both"/>
    </w:pPr>
    <w:rPr>
      <w:rFonts w:ascii="Calibri" w:hAnsi="Calibri" w:eastAsia="宋体" w:cs="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semiHidden/>
    <w:unhideWhenUsed/>
    <w:qFormat/>
    <w:uiPriority w:val="0"/>
    <w:pPr>
      <w:widowControl w:val="0"/>
      <w:jc w:val="both"/>
    </w:pPr>
    <w:rPr>
      <w:rFonts w:ascii="Calibri" w:hAnsi="Calibri" w:eastAsia="宋体" w:cs="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semiHidden/>
    <w:unhideWhenUsed/>
    <w:qFormat/>
    <w:uiPriority w:val="0"/>
    <w:pPr>
      <w:widowControl w:val="0"/>
      <w:jc w:val="both"/>
    </w:pPr>
    <w:rPr>
      <w:rFonts w:ascii="Calibri" w:hAnsi="Calibri"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semiHidden/>
    <w:unhideWhenUsed/>
    <w:qFormat/>
    <w:uiPriority w:val="0"/>
    <w:pPr>
      <w:widowControl w:val="0"/>
      <w:jc w:val="both"/>
    </w:pPr>
    <w:rPr>
      <w:rFonts w:ascii="Calibri" w:hAnsi="Calibri" w:eastAsia="宋体" w:cs="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semiHidden/>
    <w:unhideWhenUsed/>
    <w:qFormat/>
    <w:uiPriority w:val="0"/>
    <w:pPr>
      <w:widowControl w:val="0"/>
      <w:jc w:val="both"/>
    </w:pPr>
    <w:rPr>
      <w:rFonts w:ascii="Calibri" w:hAnsi="Calibri" w:eastAsia="宋体" w:cs="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semiHidden/>
    <w:unhideWhenUsed/>
    <w:qFormat/>
    <w:uiPriority w:val="0"/>
    <w:pPr>
      <w:widowControl w:val="0"/>
      <w:jc w:val="both"/>
    </w:pPr>
    <w:rPr>
      <w:rFonts w:ascii="Calibri" w:hAnsi="Calibri" w:eastAsia="宋体" w:cs="Times New Roman"/>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semiHidden/>
    <w:unhideWhenUsed/>
    <w:qFormat/>
    <w:uiPriority w:val="0"/>
    <w:pPr>
      <w:widowControl w:val="0"/>
      <w:jc w:val="both"/>
    </w:pPr>
    <w:rPr>
      <w:rFonts w:ascii="Calibri" w:hAnsi="Calibri" w:eastAsia="宋体" w:cs="Times New Roman"/>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semiHidden/>
    <w:unhideWhenUsed/>
    <w:qFormat/>
    <w:uiPriority w:val="0"/>
    <w:pPr>
      <w:widowControl w:val="0"/>
      <w:jc w:val="both"/>
    </w:pPr>
    <w:rPr>
      <w:rFonts w:ascii="Calibri" w:hAnsi="Calibri" w:eastAsia="宋体" w:cs="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semiHidden/>
    <w:unhideWhenUsed/>
    <w:qFormat/>
    <w:uiPriority w:val="0"/>
    <w:pPr>
      <w:widowControl w:val="0"/>
      <w:jc w:val="both"/>
    </w:pPr>
    <w:rPr>
      <w:rFonts w:ascii="Calibri" w:hAnsi="Calibri" w:eastAsia="宋体" w:cs="Times New Roman"/>
    </w:r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semiHidden/>
    <w:unhideWhenUsed/>
    <w:qFormat/>
    <w:uiPriority w:val="0"/>
    <w:pPr>
      <w:widowControl w:val="0"/>
      <w:jc w:val="both"/>
    </w:pPr>
    <w:rPr>
      <w:rFonts w:ascii="Calibri" w:hAnsi="Calibri" w:eastAsia="宋体" w:cs="Times New Roman"/>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semiHidden/>
    <w:unhideWhenUsed/>
    <w:qFormat/>
    <w:uiPriority w:val="0"/>
    <w:pPr>
      <w:widowControl w:val="0"/>
      <w:jc w:val="both"/>
    </w:pPr>
    <w:rPr>
      <w:rFonts w:ascii="Calibri" w:hAnsi="Calibri" w:eastAsia="宋体" w:cs="Times New Roman"/>
    </w:r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semiHidden/>
    <w:unhideWhenUsed/>
    <w:qFormat/>
    <w:uiPriority w:val="0"/>
    <w:pPr>
      <w:widowControl w:val="0"/>
      <w:jc w:val="both"/>
    </w:pPr>
    <w:rPr>
      <w:rFonts w:ascii="Calibri" w:hAnsi="Calibri" w:eastAsia="宋体" w:cs="Times New Roman"/>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1"/>
    <w:basedOn w:val="88"/>
    <w:semiHidden/>
    <w:unhideWhenUsed/>
    <w:qFormat/>
    <w:uiPriority w:val="0"/>
    <w:pPr>
      <w:widowControl w:val="0"/>
      <w:jc w:val="both"/>
    </w:pPr>
    <w:rPr>
      <w:rFonts w:ascii="Calibri" w:hAnsi="Calibri" w:eastAsia="宋体" w:cs="Times New Roman"/>
    </w:r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5">
    <w:name w:val="Table 3D effects 2"/>
    <w:basedOn w:val="88"/>
    <w:semiHidden/>
    <w:unhideWhenUsed/>
    <w:qFormat/>
    <w:uiPriority w:val="0"/>
    <w:pPr>
      <w:widowControl w:val="0"/>
      <w:jc w:val="both"/>
    </w:pPr>
    <w:rPr>
      <w:rFonts w:ascii="Calibri" w:hAnsi="Calibri" w:eastAsia="宋体" w:cs="Times New Roman"/>
    </w:r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3"/>
    <w:basedOn w:val="88"/>
    <w:semiHidden/>
    <w:unhideWhenUsed/>
    <w:qFormat/>
    <w:uiPriority w:val="0"/>
    <w:pPr>
      <w:widowControl w:val="0"/>
      <w:jc w:val="both"/>
    </w:pPr>
    <w:rPr>
      <w:rFonts w:ascii="Calibri" w:hAnsi="Calibri" w:eastAsia="宋体" w:cs="Times New Roman"/>
    </w:r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1"/>
    <w:basedOn w:val="88"/>
    <w:semiHidden/>
    <w:unhideWhenUsed/>
    <w:qFormat/>
    <w:uiPriority w:val="0"/>
    <w:pPr>
      <w:widowControl w:val="0"/>
      <w:jc w:val="both"/>
    </w:pPr>
    <w:rPr>
      <w:rFonts w:ascii="Calibri" w:hAnsi="Calibri" w:eastAsia="宋体" w:cs="Times New Roman"/>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2"/>
    <w:basedOn w:val="88"/>
    <w:semiHidden/>
    <w:unhideWhenUsed/>
    <w:qFormat/>
    <w:uiPriority w:val="0"/>
    <w:pPr>
      <w:widowControl w:val="0"/>
      <w:jc w:val="both"/>
    </w:pPr>
    <w:rPr>
      <w:rFonts w:ascii="Calibri" w:hAnsi="Calibri" w:eastAsia="宋体" w:cs="Times New Roman"/>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88"/>
    <w:semiHidden/>
    <w:unhideWhenUsed/>
    <w:qFormat/>
    <w:uiPriority w:val="0"/>
    <w:pPr>
      <w:widowControl w:val="0"/>
      <w:jc w:val="both"/>
    </w:pPr>
    <w:rPr>
      <w:rFonts w:ascii="Calibri" w:hAnsi="Calibri" w:eastAsia="宋体"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88"/>
    <w:semiHidden/>
    <w:unhideWhenUsed/>
    <w:qFormat/>
    <w:uiPriority w:val="0"/>
    <w:pPr>
      <w:widowControl w:val="0"/>
      <w:jc w:val="both"/>
    </w:pPr>
    <w:rPr>
      <w:rFonts w:ascii="Calibri" w:hAnsi="Calibri"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1">
    <w:name w:val="Table List 5"/>
    <w:basedOn w:val="88"/>
    <w:semiHidden/>
    <w:unhideWhenUsed/>
    <w:qFormat/>
    <w:uiPriority w:val="0"/>
    <w:pPr>
      <w:widowControl w:val="0"/>
      <w:jc w:val="both"/>
    </w:pPr>
    <w:rPr>
      <w:rFonts w:ascii="Calibri" w:hAnsi="Calibri"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List 6"/>
    <w:basedOn w:val="88"/>
    <w:semiHidden/>
    <w:unhideWhenUsed/>
    <w:qFormat/>
    <w:uiPriority w:val="0"/>
    <w:pPr>
      <w:widowControl w:val="0"/>
      <w:jc w:val="both"/>
    </w:pPr>
    <w:rPr>
      <w:rFonts w:ascii="Calibri" w:hAnsi="Calibri" w:eastAsia="宋体" w:cs="Times New Roman"/>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semiHidden/>
    <w:unhideWhenUsed/>
    <w:qFormat/>
    <w:uiPriority w:val="0"/>
    <w:pPr>
      <w:widowControl w:val="0"/>
      <w:jc w:val="both"/>
    </w:pPr>
    <w:rPr>
      <w:rFonts w:ascii="Calibri" w:hAnsi="Calibri" w:eastAsia="宋体" w:cs="Times New Roman"/>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semiHidden/>
    <w:unhideWhenUsed/>
    <w:qFormat/>
    <w:uiPriority w:val="0"/>
    <w:pPr>
      <w:widowControl w:val="0"/>
      <w:jc w:val="both"/>
    </w:pPr>
    <w:rPr>
      <w:rFonts w:ascii="Calibri" w:hAnsi="Calibri" w:eastAsia="宋体" w:cs="Times New Roman"/>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semiHidden/>
    <w:unhideWhenUsed/>
    <w:qFormat/>
    <w:uiPriority w:val="0"/>
    <w:pPr>
      <w:widowControl w:val="0"/>
      <w:jc w:val="both"/>
    </w:pPr>
    <w:rPr>
      <w:rFonts w:ascii="Calibri" w:hAnsi="Calibri" w:eastAsia="宋体" w:cs="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semiHidden/>
    <w:unhideWhenUsed/>
    <w:qFormat/>
    <w:uiPriority w:val="0"/>
    <w:pPr>
      <w:widowControl w:val="0"/>
      <w:jc w:val="both"/>
    </w:pPr>
    <w:rPr>
      <w:rFonts w:ascii="Calibri" w:hAnsi="Calibri" w:eastAsia="宋体" w:cs="Times New Roman"/>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2"/>
    <w:basedOn w:val="88"/>
    <w:semiHidden/>
    <w:unhideWhenUsed/>
    <w:qFormat/>
    <w:uiPriority w:val="0"/>
    <w:pPr>
      <w:widowControl w:val="0"/>
      <w:jc w:val="both"/>
    </w:pPr>
    <w:rPr>
      <w:rFonts w:ascii="Calibri" w:hAnsi="Calibri" w:eastAsia="宋体" w:cs="Times New Roman"/>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3"/>
    <w:basedOn w:val="88"/>
    <w:semiHidden/>
    <w:unhideWhenUsed/>
    <w:qFormat/>
    <w:uiPriority w:val="0"/>
    <w:pPr>
      <w:widowControl w:val="0"/>
      <w:jc w:val="both"/>
    </w:pPr>
    <w:rPr>
      <w:rFonts w:ascii="Calibri" w:hAnsi="Calibri" w:eastAsia="宋体" w:cs="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9">
    <w:name w:val="Table Columns 4"/>
    <w:basedOn w:val="88"/>
    <w:semiHidden/>
    <w:unhideWhenUsed/>
    <w:qFormat/>
    <w:uiPriority w:val="0"/>
    <w:pPr>
      <w:widowControl w:val="0"/>
      <w:jc w:val="both"/>
    </w:pPr>
    <w:rPr>
      <w:rFonts w:ascii="Calibri" w:hAnsi="Calibri" w:eastAsia="宋体" w:cs="Times New Roman"/>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0"/>
    <w:pPr>
      <w:widowControl w:val="0"/>
      <w:jc w:val="both"/>
    </w:pPr>
    <w:rPr>
      <w:rFonts w:ascii="Calibri" w:hAnsi="Calibri" w:eastAsia="宋体" w:cs="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0"/>
    <w:pPr>
      <w:widowControl w:val="0"/>
      <w:jc w:val="both"/>
    </w:pPr>
    <w:rPr>
      <w:rFonts w:ascii="Calibri" w:hAnsi="Calibri"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semiHidden/>
    <w:unhideWhenUsed/>
    <w:qFormat/>
    <w:uiPriority w:val="0"/>
    <w:pPr>
      <w:widowControl w:val="0"/>
      <w:jc w:val="both"/>
    </w:pPr>
    <w:rPr>
      <w:rFonts w:ascii="Calibri" w:hAnsi="Calibri" w:eastAsia="宋体" w:cs="Times New Roman"/>
    </w:r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3">
    <w:name w:val="Table Grid 3"/>
    <w:basedOn w:val="88"/>
    <w:semiHidden/>
    <w:unhideWhenUsed/>
    <w:qFormat/>
    <w:uiPriority w:val="0"/>
    <w:pPr>
      <w:widowControl w:val="0"/>
      <w:jc w:val="both"/>
    </w:pPr>
    <w:rPr>
      <w:rFonts w:ascii="Calibri" w:hAnsi="Calibri" w:eastAsia="宋体" w:cs="Times New Roman"/>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semiHidden/>
    <w:unhideWhenUsed/>
    <w:qFormat/>
    <w:uiPriority w:val="0"/>
    <w:pPr>
      <w:widowControl w:val="0"/>
      <w:jc w:val="both"/>
    </w:pPr>
    <w:rPr>
      <w:rFonts w:ascii="Calibri" w:hAnsi="Calibri" w:eastAsia="宋体" w:cs="Times New Roman"/>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Grid 5"/>
    <w:basedOn w:val="88"/>
    <w:semiHidden/>
    <w:unhideWhenUsed/>
    <w:qFormat/>
    <w:uiPriority w:val="0"/>
    <w:pPr>
      <w:widowControl w:val="0"/>
      <w:jc w:val="both"/>
    </w:pPr>
    <w:rPr>
      <w:rFonts w:ascii="Calibri" w:hAnsi="Calibri"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semiHidden/>
    <w:unhideWhenUsed/>
    <w:qFormat/>
    <w:uiPriority w:val="0"/>
    <w:pPr>
      <w:widowControl w:val="0"/>
      <w:jc w:val="both"/>
    </w:pPr>
    <w:rPr>
      <w:rFonts w:ascii="Calibri" w:hAnsi="Calibri"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semiHidden/>
    <w:unhideWhenUsed/>
    <w:qFormat/>
    <w:uiPriority w:val="0"/>
    <w:pPr>
      <w:widowControl w:val="0"/>
      <w:jc w:val="both"/>
    </w:pPr>
    <w:rPr>
      <w:rFonts w:ascii="Calibri" w:hAnsi="Calibri"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semiHidden/>
    <w:unhideWhenUsed/>
    <w:qFormat/>
    <w:uiPriority w:val="0"/>
    <w:pPr>
      <w:widowControl w:val="0"/>
      <w:jc w:val="both"/>
    </w:pPr>
    <w:rPr>
      <w:rFonts w:ascii="Calibri" w:hAnsi="Calibri"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Web 1"/>
    <w:basedOn w:val="88"/>
    <w:semiHidden/>
    <w:unhideWhenUsed/>
    <w:qFormat/>
    <w:uiPriority w:val="0"/>
    <w:pPr>
      <w:widowControl w:val="0"/>
      <w:jc w:val="both"/>
    </w:pPr>
    <w:rPr>
      <w:rFonts w:ascii="Calibri" w:hAnsi="Calibri" w:eastAsia="宋体"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2"/>
    <w:basedOn w:val="88"/>
    <w:semiHidden/>
    <w:unhideWhenUsed/>
    <w:qFormat/>
    <w:uiPriority w:val="0"/>
    <w:pPr>
      <w:widowControl w:val="0"/>
      <w:jc w:val="both"/>
    </w:pPr>
    <w:rPr>
      <w:rFonts w:ascii="Calibri" w:hAnsi="Calibri" w:eastAsia="宋体" w:cs="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3"/>
    <w:basedOn w:val="88"/>
    <w:semiHidden/>
    <w:unhideWhenUsed/>
    <w:qFormat/>
    <w:uiPriority w:val="0"/>
    <w:pPr>
      <w:widowControl w:val="0"/>
      <w:jc w:val="both"/>
    </w:pPr>
    <w:rPr>
      <w:rFonts w:ascii="Calibri" w:hAnsi="Calibri" w:eastAsia="宋体" w:cs="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Professional"/>
    <w:basedOn w:val="88"/>
    <w:semiHidden/>
    <w:unhideWhenUsed/>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4">
    <w:name w:val="endnote reference"/>
    <w:semiHidden/>
    <w:unhideWhenUsed/>
    <w:qFormat/>
    <w:uiPriority w:val="0"/>
    <w:rPr>
      <w:vertAlign w:val="superscript"/>
    </w:rPr>
  </w:style>
  <w:style w:type="character" w:styleId="135">
    <w:name w:val="FollowedHyperlink"/>
    <w:basedOn w:val="133"/>
    <w:semiHidden/>
    <w:unhideWhenUsed/>
    <w:qFormat/>
    <w:uiPriority w:val="99"/>
    <w:rPr>
      <w:color w:val="800080"/>
      <w:u w:val="single"/>
    </w:rPr>
  </w:style>
  <w:style w:type="character" w:styleId="136">
    <w:name w:val="HTML Typewriter"/>
    <w:basedOn w:val="133"/>
    <w:semiHidden/>
    <w:unhideWhenUsed/>
    <w:qFormat/>
    <w:uiPriority w:val="0"/>
    <w:rPr>
      <w:rFonts w:hint="default" w:ascii="Courier New" w:hAnsi="Courier New" w:eastAsia="Times New Roman" w:cs="Courier New"/>
      <w:sz w:val="24"/>
      <w:szCs w:val="24"/>
    </w:rPr>
  </w:style>
  <w:style w:type="character" w:styleId="137">
    <w:name w:val="Hyperlink"/>
    <w:qFormat/>
    <w:uiPriority w:val="99"/>
    <w:rPr>
      <w:color w:val="000033"/>
      <w:u w:val="none"/>
    </w:rPr>
  </w:style>
  <w:style w:type="character" w:styleId="138">
    <w:name w:val="HTML Code"/>
    <w:basedOn w:val="133"/>
    <w:semiHidden/>
    <w:unhideWhenUsed/>
    <w:qFormat/>
    <w:uiPriority w:val="0"/>
    <w:rPr>
      <w:rFonts w:hint="default" w:ascii="Courier New" w:hAnsi="Courier New" w:eastAsia="Times New Roman" w:cs="Courier New"/>
      <w:sz w:val="24"/>
      <w:szCs w:val="24"/>
    </w:rPr>
  </w:style>
  <w:style w:type="character" w:styleId="139">
    <w:name w:val="annotation reference"/>
    <w:basedOn w:val="133"/>
    <w:semiHidden/>
    <w:unhideWhenUsed/>
    <w:qFormat/>
    <w:uiPriority w:val="99"/>
    <w:rPr>
      <w:sz w:val="21"/>
      <w:szCs w:val="21"/>
    </w:rPr>
  </w:style>
  <w:style w:type="character" w:styleId="140">
    <w:name w:val="footnote reference"/>
    <w:basedOn w:val="133"/>
    <w:semiHidden/>
    <w:unhideWhenUsed/>
    <w:qFormat/>
    <w:uiPriority w:val="0"/>
    <w:rPr>
      <w:vertAlign w:val="superscript"/>
    </w:rPr>
  </w:style>
  <w:style w:type="character" w:styleId="141">
    <w:name w:val="HTML Keyboard"/>
    <w:basedOn w:val="133"/>
    <w:semiHidden/>
    <w:unhideWhenUsed/>
    <w:qFormat/>
    <w:uiPriority w:val="0"/>
    <w:rPr>
      <w:rFonts w:hint="default" w:ascii="Courier New" w:hAnsi="Courier New" w:eastAsia="Times New Roman" w:cs="Courier New"/>
      <w:sz w:val="24"/>
      <w:szCs w:val="24"/>
    </w:rPr>
  </w:style>
  <w:style w:type="character" w:styleId="142">
    <w:name w:val="HTML Sample"/>
    <w:basedOn w:val="133"/>
    <w:semiHidden/>
    <w:unhideWhenUsed/>
    <w:qFormat/>
    <w:uiPriority w:val="0"/>
    <w:rPr>
      <w:rFonts w:hint="default" w:ascii="Courier New" w:hAnsi="Courier New" w:eastAsia="Times New Roman" w:cs="Courier New"/>
    </w:rPr>
  </w:style>
  <w:style w:type="character" w:customStyle="1" w:styleId="143">
    <w:name w:val="标题 1 Char"/>
    <w:basedOn w:val="133"/>
    <w:link w:val="3"/>
    <w:qFormat/>
    <w:uiPriority w:val="9"/>
    <w:rPr>
      <w:rFonts w:ascii="Times New Roman" w:hAnsi="Times New Roman" w:eastAsia="黑体" w:cs="Times New Roman"/>
      <w:b/>
      <w:bCs/>
      <w:kern w:val="44"/>
      <w:sz w:val="36"/>
      <w:szCs w:val="44"/>
    </w:rPr>
  </w:style>
  <w:style w:type="character" w:customStyle="1" w:styleId="144">
    <w:name w:val="标题 2 Char"/>
    <w:basedOn w:val="133"/>
    <w:link w:val="4"/>
    <w:qFormat/>
    <w:uiPriority w:val="9"/>
    <w:rPr>
      <w:rFonts w:ascii="Times New Roman" w:hAnsi="Times New Roman" w:eastAsia="黑体" w:cs="Times New Roman"/>
      <w:b/>
      <w:bCs/>
      <w:sz w:val="32"/>
      <w:szCs w:val="32"/>
    </w:rPr>
  </w:style>
  <w:style w:type="character" w:customStyle="1" w:styleId="145">
    <w:name w:val="标题 3 Char"/>
    <w:basedOn w:val="133"/>
    <w:link w:val="5"/>
    <w:qFormat/>
    <w:uiPriority w:val="9"/>
    <w:rPr>
      <w:rFonts w:ascii="Times New Roman" w:hAnsi="Times New Roman" w:eastAsia="黑体" w:cs="Times New Roman"/>
      <w:b/>
      <w:bCs/>
      <w:kern w:val="2"/>
      <w:sz w:val="28"/>
      <w:szCs w:val="32"/>
    </w:rPr>
  </w:style>
  <w:style w:type="character" w:customStyle="1" w:styleId="146">
    <w:name w:val="标题 4 Char"/>
    <w:basedOn w:val="133"/>
    <w:link w:val="6"/>
    <w:qFormat/>
    <w:uiPriority w:val="9"/>
    <w:rPr>
      <w:rFonts w:ascii="Times New Roman" w:hAnsi="Times New Roman" w:eastAsia="黑体" w:cstheme="majorBidi"/>
      <w:b/>
      <w:bCs/>
      <w:sz w:val="24"/>
      <w:szCs w:val="28"/>
    </w:rPr>
  </w:style>
  <w:style w:type="character" w:customStyle="1" w:styleId="147">
    <w:name w:val="标题 5 Char2"/>
    <w:basedOn w:val="133"/>
    <w:link w:val="7"/>
    <w:semiHidden/>
    <w:qFormat/>
    <w:locked/>
    <w:uiPriority w:val="0"/>
    <w:rPr>
      <w:rFonts w:ascii="宋体" w:hAnsi="宋体" w:eastAsia="宋体" w:cs="宋体"/>
      <w:b/>
      <w:sz w:val="28"/>
      <w:szCs w:val="20"/>
      <w:lang w:val="zh-CN"/>
    </w:rPr>
  </w:style>
  <w:style w:type="character" w:customStyle="1" w:styleId="148">
    <w:name w:val="标题 6 Char1"/>
    <w:basedOn w:val="133"/>
    <w:link w:val="8"/>
    <w:semiHidden/>
    <w:qFormat/>
    <w:locked/>
    <w:uiPriority w:val="0"/>
    <w:rPr>
      <w:rFonts w:ascii="Arial" w:hAnsi="Arial" w:eastAsia="黑体" w:cs="Times New Roman"/>
      <w:b/>
      <w:kern w:val="0"/>
      <w:sz w:val="24"/>
      <w:szCs w:val="20"/>
    </w:rPr>
  </w:style>
  <w:style w:type="character" w:customStyle="1" w:styleId="149">
    <w:name w:val="标题 7 Char2"/>
    <w:basedOn w:val="133"/>
    <w:link w:val="9"/>
    <w:semiHidden/>
    <w:qFormat/>
    <w:locked/>
    <w:uiPriority w:val="0"/>
    <w:rPr>
      <w:rFonts w:ascii="Times New Roman" w:hAnsi="Times New Roman" w:eastAsia="宋体" w:cs="Times New Roman"/>
      <w:b/>
      <w:kern w:val="0"/>
      <w:sz w:val="24"/>
      <w:szCs w:val="20"/>
    </w:rPr>
  </w:style>
  <w:style w:type="character" w:customStyle="1" w:styleId="150">
    <w:name w:val="标题 8 Char2"/>
    <w:basedOn w:val="133"/>
    <w:link w:val="10"/>
    <w:semiHidden/>
    <w:qFormat/>
    <w:locked/>
    <w:uiPriority w:val="0"/>
    <w:rPr>
      <w:rFonts w:ascii="Arial" w:hAnsi="Arial" w:eastAsia="黑体" w:cs="Times New Roman"/>
      <w:kern w:val="0"/>
      <w:sz w:val="24"/>
      <w:szCs w:val="20"/>
    </w:rPr>
  </w:style>
  <w:style w:type="character" w:customStyle="1" w:styleId="151">
    <w:name w:val="标题 9 Char1"/>
    <w:basedOn w:val="133"/>
    <w:link w:val="11"/>
    <w:semiHidden/>
    <w:qFormat/>
    <w:locked/>
    <w:uiPriority w:val="0"/>
    <w:rPr>
      <w:rFonts w:ascii="Arial" w:hAnsi="Arial" w:eastAsia="黑体" w:cs="Times New Roman"/>
      <w:kern w:val="0"/>
      <w:szCs w:val="20"/>
    </w:rPr>
  </w:style>
  <w:style w:type="character" w:customStyle="1" w:styleId="152">
    <w:name w:val="批注框文本 Char"/>
    <w:basedOn w:val="133"/>
    <w:link w:val="54"/>
    <w:semiHidden/>
    <w:qFormat/>
    <w:uiPriority w:val="99"/>
    <w:rPr>
      <w:sz w:val="18"/>
      <w:szCs w:val="18"/>
    </w:rPr>
  </w:style>
  <w:style w:type="character" w:customStyle="1" w:styleId="153">
    <w:name w:val="页眉 Char"/>
    <w:basedOn w:val="133"/>
    <w:link w:val="57"/>
    <w:semiHidden/>
    <w:qFormat/>
    <w:uiPriority w:val="99"/>
    <w:rPr>
      <w:rFonts w:ascii="Times New Roman" w:hAnsi="Times New Roman" w:eastAsia="宋体"/>
      <w:sz w:val="18"/>
      <w:szCs w:val="18"/>
    </w:rPr>
  </w:style>
  <w:style w:type="character" w:customStyle="1" w:styleId="154">
    <w:name w:val="页脚 Char"/>
    <w:basedOn w:val="133"/>
    <w:link w:val="55"/>
    <w:qFormat/>
    <w:uiPriority w:val="99"/>
    <w:rPr>
      <w:rFonts w:ascii="Times New Roman" w:hAnsi="Times New Roman" w:eastAsia="宋体"/>
      <w:sz w:val="18"/>
      <w:szCs w:val="18"/>
    </w:rPr>
  </w:style>
  <w:style w:type="character" w:customStyle="1" w:styleId="155">
    <w:name w:val="正文文本 Char"/>
    <w:basedOn w:val="133"/>
    <w:link w:val="34"/>
    <w:qFormat/>
    <w:uiPriority w:val="99"/>
    <w:rPr>
      <w:rFonts w:ascii="Times New Roman" w:hAnsi="Times New Roman" w:eastAsia="宋体"/>
      <w:sz w:val="24"/>
    </w:rPr>
  </w:style>
  <w:style w:type="character" w:customStyle="1" w:styleId="156">
    <w:name w:val="正文首行缩进 Char"/>
    <w:basedOn w:val="155"/>
    <w:link w:val="86"/>
    <w:qFormat/>
    <w:uiPriority w:val="99"/>
    <w:rPr>
      <w:rFonts w:cs="Times New Roman"/>
      <w:szCs w:val="24"/>
    </w:rPr>
  </w:style>
  <w:style w:type="paragraph" w:customStyle="1" w:styleId="15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58">
    <w:name w:val="文档结构图 Char"/>
    <w:basedOn w:val="133"/>
    <w:link w:val="26"/>
    <w:semiHidden/>
    <w:qFormat/>
    <w:uiPriority w:val="99"/>
    <w:rPr>
      <w:rFonts w:ascii="宋体" w:hAnsi="Times New Roman" w:eastAsia="宋体"/>
      <w:sz w:val="18"/>
      <w:szCs w:val="18"/>
    </w:rPr>
  </w:style>
  <w:style w:type="paragraph" w:styleId="159">
    <w:name w:val="List Paragraph"/>
    <w:basedOn w:val="1"/>
    <w:qFormat/>
    <w:uiPriority w:val="0"/>
    <w:pPr>
      <w:ind w:firstLine="420"/>
    </w:pPr>
  </w:style>
  <w:style w:type="character" w:customStyle="1" w:styleId="160">
    <w:name w:val="xxxxx正文 Char"/>
    <w:link w:val="161"/>
    <w:qFormat/>
    <w:uiPriority w:val="0"/>
    <w:rPr>
      <w:rFonts w:ascii="Times New Roman" w:hAnsi="Times New Roman"/>
      <w:sz w:val="24"/>
      <w:szCs w:val="24"/>
      <w:lang w:val="zh-CN"/>
    </w:rPr>
  </w:style>
  <w:style w:type="paragraph" w:customStyle="1" w:styleId="161">
    <w:name w:val="xxxxx正文"/>
    <w:basedOn w:val="1"/>
    <w:link w:val="160"/>
    <w:qFormat/>
    <w:uiPriority w:val="0"/>
    <w:pPr>
      <w:topLinePunct/>
      <w:spacing w:line="440" w:lineRule="exact"/>
    </w:pPr>
    <w:rPr>
      <w:rFonts w:eastAsiaTheme="minorEastAsia"/>
      <w:szCs w:val="24"/>
      <w:lang w:val="zh-CN"/>
    </w:rPr>
  </w:style>
  <w:style w:type="character" w:customStyle="1" w:styleId="162">
    <w:name w:val="列表 Char2"/>
    <w:basedOn w:val="133"/>
    <w:link w:val="66"/>
    <w:qFormat/>
    <w:locked/>
    <w:uiPriority w:val="0"/>
    <w:rPr>
      <w:rFonts w:ascii="宋体" w:hAnsi="Times New Roman" w:eastAsia="宋体" w:cs="Times New Roman"/>
      <w:szCs w:val="21"/>
    </w:rPr>
  </w:style>
  <w:style w:type="character" w:customStyle="1" w:styleId="163">
    <w:name w:val="正文缩进 Char"/>
    <w:basedOn w:val="133"/>
    <w:link w:val="21"/>
    <w:qFormat/>
    <w:locked/>
    <w:uiPriority w:val="0"/>
    <w:rPr>
      <w:rFonts w:ascii="Times New Roman" w:hAnsi="Times New Roman" w:eastAsia="宋体" w:cs="Times New Roman"/>
      <w:szCs w:val="24"/>
    </w:rPr>
  </w:style>
  <w:style w:type="paragraph" w:customStyle="1" w:styleId="164">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Cs w:val="24"/>
    </w:rPr>
  </w:style>
  <w:style w:type="paragraph" w:customStyle="1" w:styleId="165">
    <w:name w:val="新正文"/>
    <w:basedOn w:val="1"/>
    <w:link w:val="166"/>
    <w:qFormat/>
    <w:uiPriority w:val="0"/>
    <w:pPr>
      <w:topLinePunct/>
    </w:pPr>
    <w:rPr>
      <w:rFonts w:cs="Times New Roman"/>
      <w:szCs w:val="24"/>
      <w:lang w:val="zh-CN"/>
    </w:rPr>
  </w:style>
  <w:style w:type="character" w:customStyle="1" w:styleId="166">
    <w:name w:val="新正文 Char"/>
    <w:link w:val="165"/>
    <w:qFormat/>
    <w:uiPriority w:val="0"/>
    <w:rPr>
      <w:rFonts w:ascii="Times New Roman" w:hAnsi="Times New Roman" w:eastAsia="宋体" w:cs="Times New Roman"/>
      <w:sz w:val="24"/>
      <w:szCs w:val="24"/>
      <w:lang w:val="zh-CN"/>
    </w:rPr>
  </w:style>
  <w:style w:type="paragraph" w:customStyle="1" w:styleId="167">
    <w:name w:val="表文字xxxxxxxx"/>
    <w:basedOn w:val="1"/>
    <w:link w:val="168"/>
    <w:qFormat/>
    <w:uiPriority w:val="0"/>
    <w:pPr>
      <w:topLinePunct/>
      <w:adjustRightInd w:val="0"/>
      <w:spacing w:line="300" w:lineRule="exact"/>
      <w:ind w:firstLine="0" w:firstLineChars="0"/>
      <w:jc w:val="center"/>
      <w:textAlignment w:val="baseline"/>
    </w:pPr>
    <w:rPr>
      <w:rFonts w:cs="Times New Roman"/>
      <w:sz w:val="21"/>
    </w:rPr>
  </w:style>
  <w:style w:type="character" w:customStyle="1" w:styleId="168">
    <w:name w:val="表文字xxxxxxxx Char"/>
    <w:link w:val="167"/>
    <w:qFormat/>
    <w:uiPriority w:val="0"/>
    <w:rPr>
      <w:rFonts w:ascii="Times New Roman" w:hAnsi="Times New Roman" w:eastAsia="宋体" w:cs="Times New Roman"/>
      <w:szCs w:val="21"/>
    </w:rPr>
  </w:style>
  <w:style w:type="character" w:customStyle="1" w:styleId="169">
    <w:name w:val="纯文本 Char"/>
    <w:basedOn w:val="133"/>
    <w:link w:val="45"/>
    <w:qFormat/>
    <w:uiPriority w:val="0"/>
    <w:rPr>
      <w:rFonts w:ascii="宋体" w:hAnsi="Courier New"/>
    </w:rPr>
  </w:style>
  <w:style w:type="character" w:customStyle="1" w:styleId="170">
    <w:name w:val="纯文本 Char1"/>
    <w:basedOn w:val="133"/>
    <w:link w:val="45"/>
    <w:qFormat/>
    <w:uiPriority w:val="0"/>
    <w:rPr>
      <w:rFonts w:ascii="宋体" w:hAnsi="Courier New" w:eastAsia="宋体" w:cs="Courier New"/>
      <w:szCs w:val="21"/>
    </w:rPr>
  </w:style>
  <w:style w:type="paragraph" w:customStyle="1" w:styleId="171">
    <w:name w:val="Char1"/>
    <w:basedOn w:val="1"/>
    <w:qFormat/>
    <w:uiPriority w:val="0"/>
    <w:rPr>
      <w:rFonts w:cs="Times New Roman"/>
      <w:szCs w:val="24"/>
    </w:rPr>
  </w:style>
  <w:style w:type="character" w:customStyle="1" w:styleId="172">
    <w:name w:val="普通(网站) Char1"/>
    <w:basedOn w:val="133"/>
    <w:link w:val="81"/>
    <w:qFormat/>
    <w:locked/>
    <w:uiPriority w:val="0"/>
    <w:rPr>
      <w:rFonts w:ascii="宋体" w:hAnsi="宋体" w:eastAsia="宋体" w:cs="宋体"/>
      <w:kern w:val="0"/>
      <w:sz w:val="24"/>
      <w:szCs w:val="24"/>
    </w:rPr>
  </w:style>
  <w:style w:type="paragraph" w:customStyle="1" w:styleId="173">
    <w:name w:val="TOC 标题1"/>
    <w:basedOn w:val="3"/>
    <w:next w:val="1"/>
    <w:semiHidden/>
    <w:unhideWhenUsed/>
    <w:qFormat/>
    <w:uiPriority w:val="39"/>
    <w:pPr>
      <w:widowControl/>
      <w:spacing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174">
    <w:name w:val="目录 2 Char"/>
    <w:link w:val="74"/>
    <w:qFormat/>
    <w:locked/>
    <w:uiPriority w:val="0"/>
    <w:rPr>
      <w:rFonts w:ascii="Times New Roman" w:hAnsi="Times New Roman" w:eastAsia="宋体"/>
      <w:sz w:val="24"/>
    </w:rPr>
  </w:style>
  <w:style w:type="character" w:customStyle="1" w:styleId="175">
    <w:name w:val="批注文字 Char"/>
    <w:basedOn w:val="133"/>
    <w:link w:val="28"/>
    <w:qFormat/>
    <w:uiPriority w:val="99"/>
    <w:rPr>
      <w:rFonts w:ascii="Times New Roman" w:hAnsi="Times New Roman" w:eastAsia="宋体"/>
      <w:sz w:val="24"/>
    </w:rPr>
  </w:style>
  <w:style w:type="character" w:customStyle="1" w:styleId="176">
    <w:name w:val="批注主题 Char"/>
    <w:basedOn w:val="175"/>
    <w:link w:val="85"/>
    <w:semiHidden/>
    <w:qFormat/>
    <w:uiPriority w:val="99"/>
    <w:rPr>
      <w:b/>
      <w:bCs/>
    </w:rPr>
  </w:style>
  <w:style w:type="character" w:customStyle="1" w:styleId="177">
    <w:name w:val="正文样式1 Char"/>
    <w:link w:val="178"/>
    <w:qFormat/>
    <w:locked/>
    <w:uiPriority w:val="0"/>
    <w:rPr>
      <w:rFonts w:ascii="宋体" w:hAnsi="Courier New" w:eastAsia="宋体"/>
      <w:sz w:val="24"/>
    </w:rPr>
  </w:style>
  <w:style w:type="paragraph" w:customStyle="1" w:styleId="178">
    <w:name w:val="正文样式1"/>
    <w:basedOn w:val="1"/>
    <w:next w:val="1"/>
    <w:link w:val="177"/>
    <w:qFormat/>
    <w:uiPriority w:val="0"/>
    <w:pPr>
      <w:widowControl/>
      <w:ind w:firstLine="560"/>
      <w:jc w:val="left"/>
    </w:pPr>
    <w:rPr>
      <w:rFonts w:ascii="宋体" w:hAnsi="Courier New"/>
    </w:rPr>
  </w:style>
  <w:style w:type="character" w:customStyle="1" w:styleId="179">
    <w:name w:val="正文样式100 Char"/>
    <w:basedOn w:val="133"/>
    <w:link w:val="180"/>
    <w:qFormat/>
    <w:locked/>
    <w:uiPriority w:val="0"/>
    <w:rPr>
      <w:rFonts w:ascii="宋体" w:hAnsi="宋体" w:eastAsia="宋体"/>
      <w:sz w:val="24"/>
    </w:rPr>
  </w:style>
  <w:style w:type="paragraph" w:customStyle="1" w:styleId="180">
    <w:name w:val="正文样式100"/>
    <w:basedOn w:val="1"/>
    <w:link w:val="179"/>
    <w:qFormat/>
    <w:uiPriority w:val="0"/>
    <w:pPr>
      <w:adjustRightInd w:val="0"/>
      <w:spacing w:line="440" w:lineRule="exact"/>
      <w:ind w:firstLine="540" w:firstLineChars="0"/>
    </w:pPr>
    <w:rPr>
      <w:rFonts w:ascii="宋体" w:hAnsi="宋体"/>
    </w:rPr>
  </w:style>
  <w:style w:type="table" w:customStyle="1" w:styleId="181">
    <w:name w:val="qq"/>
    <w:basedOn w:val="88"/>
    <w:qFormat/>
    <w:uiPriority w:val="0"/>
    <w:pPr>
      <w:spacing w:line="240" w:lineRule="exact"/>
      <w:jc w:val="center"/>
    </w:pPr>
    <w:rPr>
      <w:rFonts w:ascii="Times New Roman" w:hAnsi="Times New Roman" w:eastAsia="宋体" w:cs="Times New Roman"/>
    </w:rPr>
    <w:tblPr>
      <w:tblBorders>
        <w:top w:val="single" w:color="000000" w:sz="12" w:space="0"/>
        <w:bottom w:val="single" w:color="000000" w:sz="12" w:space="0"/>
        <w:insideH w:val="dotted" w:color="auto" w:sz="4" w:space="0"/>
        <w:insideV w:val="dotted" w:color="auto" w:sz="4" w:space="0"/>
      </w:tblBorders>
      <w:tblCellMar>
        <w:top w:w="0" w:type="dxa"/>
        <w:left w:w="0" w:type="dxa"/>
        <w:bottom w:w="0" w:type="dxa"/>
        <w:right w:w="0" w:type="dxa"/>
      </w:tblCellMar>
    </w:tblPr>
    <w:tcPr>
      <w:vAlign w:val="center"/>
    </w:tcPr>
    <w:tblStylePr w:type="firstRow">
      <w:tcPr>
        <w:tcBorders>
          <w:top w:val="single" w:color="000000" w:sz="12" w:space="0"/>
          <w:left w:val="nil"/>
          <w:bottom w:val="single" w:color="000000" w:sz="12" w:space="0"/>
          <w:right w:val="nil"/>
          <w:insideH w:val="nil"/>
          <w:insideV w:val="dotted" w:sz="4" w:space="0"/>
          <w:tl2br w:val="nil"/>
          <w:tr2bl w:val="nil"/>
        </w:tcBorders>
      </w:tcPr>
    </w:tblStylePr>
  </w:style>
  <w:style w:type="character" w:customStyle="1" w:styleId="182">
    <w:name w:val="正文样式 Char"/>
    <w:link w:val="183"/>
    <w:qFormat/>
    <w:locked/>
    <w:uiPriority w:val="0"/>
    <w:rPr>
      <w:rFonts w:ascii="宋体" w:hAnsi="宋体" w:eastAsia="宋体"/>
      <w:sz w:val="24"/>
    </w:rPr>
  </w:style>
  <w:style w:type="paragraph" w:customStyle="1" w:styleId="183">
    <w:name w:val="正文样式"/>
    <w:basedOn w:val="1"/>
    <w:link w:val="182"/>
    <w:qFormat/>
    <w:uiPriority w:val="0"/>
    <w:pPr>
      <w:ind w:firstLine="480"/>
    </w:pPr>
    <w:rPr>
      <w:rFonts w:ascii="宋体" w:hAnsi="宋体"/>
    </w:rPr>
  </w:style>
  <w:style w:type="paragraph" w:customStyle="1" w:styleId="184">
    <w:name w:val="表格20"/>
    <w:basedOn w:val="1"/>
    <w:semiHidden/>
    <w:qFormat/>
    <w:uiPriority w:val="0"/>
    <w:pPr>
      <w:widowControl/>
      <w:spacing w:line="400" w:lineRule="exact"/>
      <w:ind w:firstLine="0" w:firstLineChars="0"/>
      <w:jc w:val="center"/>
    </w:pPr>
    <w:rPr>
      <w:rFonts w:ascii="宋体" w:cs="Times New Roman"/>
      <w:color w:val="000000"/>
      <w:sz w:val="21"/>
    </w:rPr>
  </w:style>
  <w:style w:type="character" w:customStyle="1" w:styleId="185">
    <w:name w:val="fu正文 Char"/>
    <w:basedOn w:val="133"/>
    <w:link w:val="186"/>
    <w:qFormat/>
    <w:locked/>
    <w:uiPriority w:val="0"/>
    <w:rPr>
      <w:rFonts w:ascii="宋体" w:hAnsi="宋体" w:eastAsia="宋体"/>
      <w:color w:val="000000"/>
      <w:sz w:val="24"/>
      <w:szCs w:val="24"/>
    </w:rPr>
  </w:style>
  <w:style w:type="paragraph" w:customStyle="1" w:styleId="186">
    <w:name w:val="fu正文"/>
    <w:basedOn w:val="1"/>
    <w:link w:val="185"/>
    <w:qFormat/>
    <w:uiPriority w:val="0"/>
    <w:rPr>
      <w:rFonts w:ascii="宋体" w:hAnsi="宋体"/>
      <w:color w:val="000000"/>
      <w:szCs w:val="24"/>
    </w:rPr>
  </w:style>
  <w:style w:type="paragraph" w:customStyle="1" w:styleId="187">
    <w:name w:val="表格18"/>
    <w:basedOn w:val="1"/>
    <w:qFormat/>
    <w:uiPriority w:val="0"/>
    <w:pPr>
      <w:widowControl/>
      <w:spacing w:line="360" w:lineRule="exact"/>
      <w:ind w:firstLine="0" w:firstLineChars="0"/>
      <w:jc w:val="center"/>
    </w:pPr>
    <w:rPr>
      <w:rFonts w:ascii="宋体" w:cs="Times New Roman"/>
      <w:color w:val="000000"/>
      <w:sz w:val="21"/>
    </w:rPr>
  </w:style>
  <w:style w:type="paragraph" w:customStyle="1" w:styleId="188">
    <w:name w:val="表－居中列"/>
    <w:basedOn w:val="1"/>
    <w:semiHidden/>
    <w:qFormat/>
    <w:uiPriority w:val="0"/>
    <w:pPr>
      <w:suppressLineNumbers/>
      <w:suppressAutoHyphens/>
      <w:snapToGrid w:val="0"/>
      <w:spacing w:before="60" w:after="60" w:line="240" w:lineRule="auto"/>
      <w:ind w:firstLine="0" w:firstLineChars="0"/>
      <w:jc w:val="center"/>
    </w:pPr>
    <w:rPr>
      <w:rFonts w:cs="Arial"/>
      <w:kern w:val="0"/>
      <w:sz w:val="21"/>
      <w:lang w:eastAsia="ja-JP"/>
    </w:rPr>
  </w:style>
  <w:style w:type="paragraph" w:customStyle="1" w:styleId="189">
    <w:name w:val="Char Char Char1 Char Char Char Char"/>
    <w:basedOn w:val="1"/>
    <w:next w:val="1"/>
    <w:qFormat/>
    <w:uiPriority w:val="0"/>
    <w:rPr>
      <w:rFonts w:ascii="宋体" w:hAnsi="宋体" w:eastAsia="汉鼎简书宋" w:cs="宋体"/>
      <w:szCs w:val="24"/>
    </w:rPr>
  </w:style>
  <w:style w:type="table" w:customStyle="1" w:styleId="190">
    <w:name w:val="11"/>
    <w:basedOn w:val="88"/>
    <w:qFormat/>
    <w:uiPriority w:val="0"/>
    <w:pPr>
      <w:jc w:val="both"/>
    </w:pPr>
    <w:rPr>
      <w:rFonts w:ascii="Times New Roman" w:hAnsi="Times New Roman" w:eastAsia="宋体" w:cs="Times New Roman"/>
    </w:rPr>
    <w:tblPr>
      <w:tblBorders>
        <w:top w:val="single" w:color="auto" w:sz="12" w:space="0"/>
        <w:bottom w:val="single" w:color="auto" w:sz="12" w:space="0"/>
        <w:insideH w:val="dotted" w:color="auto" w:sz="8" w:space="0"/>
        <w:insideV w:val="dotted" w:color="auto" w:sz="8" w:space="0"/>
      </w:tblBorders>
      <w:tblCellMar>
        <w:top w:w="0" w:type="dxa"/>
        <w:left w:w="108" w:type="dxa"/>
        <w:bottom w:w="0" w:type="dxa"/>
        <w:right w:w="108" w:type="dxa"/>
      </w:tblCellMar>
    </w:tblPr>
    <w:tcPr>
      <w:vAlign w:val="center"/>
    </w:tcPr>
  </w:style>
  <w:style w:type="paragraph" w:customStyle="1" w:styleId="191">
    <w:name w:val="Table Paragraph"/>
    <w:basedOn w:val="1"/>
    <w:qFormat/>
    <w:uiPriority w:val="1"/>
    <w:pPr>
      <w:autoSpaceDE w:val="0"/>
      <w:autoSpaceDN w:val="0"/>
      <w:adjustRightInd w:val="0"/>
      <w:spacing w:line="240" w:lineRule="auto"/>
      <w:ind w:firstLine="0" w:firstLineChars="0"/>
      <w:jc w:val="left"/>
    </w:pPr>
    <w:rPr>
      <w:rFonts w:cs="Times New Roman"/>
      <w:kern w:val="0"/>
      <w:szCs w:val="24"/>
    </w:rPr>
  </w:style>
  <w:style w:type="character" w:customStyle="1" w:styleId="192">
    <w:name w:val="日期 Char"/>
    <w:basedOn w:val="133"/>
    <w:link w:val="50"/>
    <w:semiHidden/>
    <w:qFormat/>
    <w:uiPriority w:val="99"/>
    <w:rPr>
      <w:rFonts w:ascii="Times New Roman" w:hAnsi="Times New Roman" w:eastAsia="宋体"/>
      <w:sz w:val="24"/>
    </w:rPr>
  </w:style>
  <w:style w:type="paragraph" w:customStyle="1" w:styleId="193">
    <w:name w:val="Char Char Char1 Char Char Char Char1"/>
    <w:basedOn w:val="1"/>
    <w:next w:val="1"/>
    <w:qFormat/>
    <w:uiPriority w:val="0"/>
    <w:rPr>
      <w:rFonts w:ascii="宋体" w:hAnsi="宋体" w:eastAsia="汉鼎简书宋" w:cs="宋体"/>
      <w:szCs w:val="24"/>
    </w:rPr>
  </w:style>
  <w:style w:type="character" w:customStyle="1" w:styleId="194">
    <w:name w:val="批注文字 字符"/>
    <w:qFormat/>
    <w:uiPriority w:val="0"/>
    <w:rPr>
      <w:rFonts w:eastAsia="宋体"/>
      <w:kern w:val="2"/>
      <w:sz w:val="21"/>
      <w:lang w:val="en-US" w:eastAsia="zh-CN" w:bidi="ar-SA"/>
    </w:rPr>
  </w:style>
  <w:style w:type="paragraph" w:customStyle="1" w:styleId="195">
    <w:name w:val="BG1"/>
    <w:basedOn w:val="1"/>
    <w:qFormat/>
    <w:uiPriority w:val="0"/>
    <w:pPr>
      <w:spacing w:line="240" w:lineRule="exact"/>
      <w:ind w:firstLine="0" w:firstLineChars="0"/>
      <w:jc w:val="center"/>
    </w:pPr>
    <w:rPr>
      <w:rFonts w:cs="Times New Roman"/>
      <w:sz w:val="21"/>
    </w:rPr>
  </w:style>
  <w:style w:type="paragraph" w:customStyle="1" w:styleId="196">
    <w:name w:val="奇页页眉样式"/>
    <w:basedOn w:val="1"/>
    <w:qFormat/>
    <w:uiPriority w:val="0"/>
    <w:pPr>
      <w:spacing w:line="240" w:lineRule="atLeast"/>
      <w:ind w:firstLine="0" w:firstLineChars="0"/>
      <w:jc w:val="center"/>
    </w:pPr>
    <w:rPr>
      <w:rFonts w:hAnsi="宋体" w:cs="Times New Roman"/>
      <w:sz w:val="21"/>
    </w:rPr>
  </w:style>
  <w:style w:type="character" w:customStyle="1" w:styleId="197">
    <w:name w:val="页眉 Char1"/>
    <w:basedOn w:val="133"/>
    <w:qFormat/>
    <w:locked/>
    <w:uiPriority w:val="0"/>
    <w:rPr>
      <w:rFonts w:ascii="Times New Roman" w:hAnsi="Times New Roman" w:eastAsia="宋体" w:cs="Times New Roman"/>
      <w:sz w:val="18"/>
      <w:szCs w:val="20"/>
    </w:rPr>
  </w:style>
  <w:style w:type="character" w:customStyle="1" w:styleId="198">
    <w:name w:val="正文文本缩进 2 Char"/>
    <w:basedOn w:val="133"/>
    <w:link w:val="51"/>
    <w:semiHidden/>
    <w:qFormat/>
    <w:uiPriority w:val="0"/>
    <w:rPr>
      <w:rFonts w:ascii="Times New Roman" w:hAnsi="Times New Roman" w:eastAsia="宋体"/>
      <w:sz w:val="24"/>
    </w:rPr>
  </w:style>
  <w:style w:type="character" w:customStyle="1" w:styleId="199">
    <w:name w:val="条标题1.1.1 Char1"/>
    <w:basedOn w:val="133"/>
    <w:qFormat/>
    <w:uiPriority w:val="0"/>
    <w:rPr>
      <w:rFonts w:hint="eastAsia" w:ascii="黑体" w:hAnsi="黑体" w:eastAsia="黑体"/>
      <w:b/>
      <w:bCs/>
      <w:kern w:val="2"/>
      <w:sz w:val="24"/>
      <w:szCs w:val="24"/>
      <w:lang w:val="en-US" w:eastAsia="zh-CN" w:bidi="ar-SA"/>
    </w:rPr>
  </w:style>
  <w:style w:type="paragraph" w:customStyle="1" w:styleId="200">
    <w:name w:val="表中"/>
    <w:qFormat/>
    <w:uiPriority w:val="0"/>
    <w:pPr>
      <w:widowControl w:val="0"/>
      <w:tabs>
        <w:tab w:val="left" w:pos="3600"/>
      </w:tabs>
      <w:jc w:val="center"/>
    </w:pPr>
    <w:rPr>
      <w:rFonts w:ascii="宋体" w:hAnsi="宋体" w:eastAsia="宋体" w:cs="Times New Roman"/>
      <w:kern w:val="2"/>
      <w:sz w:val="21"/>
      <w:lang w:val="en-US" w:eastAsia="zh-CN" w:bidi="ar-SA"/>
    </w:rPr>
  </w:style>
  <w:style w:type="character" w:customStyle="1" w:styleId="201">
    <w:name w:val="付正文1 Char"/>
    <w:link w:val="202"/>
    <w:semiHidden/>
    <w:qFormat/>
    <w:locked/>
    <w:uiPriority w:val="0"/>
    <w:rPr>
      <w:rFonts w:ascii="宋体" w:hAnsi="宋体" w:eastAsia="宋体" w:cs="Arial"/>
      <w:color w:val="000000"/>
      <w:sz w:val="24"/>
      <w:szCs w:val="24"/>
    </w:rPr>
  </w:style>
  <w:style w:type="paragraph" w:customStyle="1" w:styleId="202">
    <w:name w:val="付正文1"/>
    <w:basedOn w:val="186"/>
    <w:next w:val="186"/>
    <w:link w:val="201"/>
    <w:semiHidden/>
    <w:qFormat/>
    <w:uiPriority w:val="0"/>
    <w:rPr>
      <w:rFonts w:cs="Arial"/>
    </w:rPr>
  </w:style>
  <w:style w:type="character" w:customStyle="1" w:styleId="203">
    <w:name w:val="正文文本缩进 Char"/>
    <w:basedOn w:val="133"/>
    <w:link w:val="35"/>
    <w:semiHidden/>
    <w:qFormat/>
    <w:uiPriority w:val="0"/>
    <w:rPr>
      <w:rFonts w:ascii="Times New Roman" w:hAnsi="Times New Roman" w:eastAsia="宋体"/>
      <w:sz w:val="24"/>
    </w:rPr>
  </w:style>
  <w:style w:type="character" w:customStyle="1" w:styleId="204">
    <w:name w:val="标题 5 Char"/>
    <w:basedOn w:val="133"/>
    <w:link w:val="7"/>
    <w:semiHidden/>
    <w:qFormat/>
    <w:uiPriority w:val="0"/>
    <w:rPr>
      <w:rFonts w:ascii="Times New Roman" w:hAnsi="Times New Roman" w:eastAsia="宋体"/>
      <w:b/>
      <w:bCs/>
      <w:sz w:val="28"/>
      <w:szCs w:val="28"/>
    </w:rPr>
  </w:style>
  <w:style w:type="character" w:customStyle="1" w:styleId="205">
    <w:name w:val="标题 6 Char"/>
    <w:basedOn w:val="133"/>
    <w:link w:val="8"/>
    <w:semiHidden/>
    <w:qFormat/>
    <w:uiPriority w:val="0"/>
    <w:rPr>
      <w:rFonts w:asciiTheme="majorHAnsi" w:hAnsiTheme="majorHAnsi" w:eastAsiaTheme="majorEastAsia" w:cstheme="majorBidi"/>
      <w:b/>
      <w:bCs/>
      <w:sz w:val="24"/>
      <w:szCs w:val="24"/>
    </w:rPr>
  </w:style>
  <w:style w:type="character" w:customStyle="1" w:styleId="206">
    <w:name w:val="标题 7 Char"/>
    <w:basedOn w:val="133"/>
    <w:link w:val="9"/>
    <w:semiHidden/>
    <w:qFormat/>
    <w:uiPriority w:val="0"/>
    <w:rPr>
      <w:rFonts w:ascii="Times New Roman" w:hAnsi="Times New Roman" w:eastAsia="宋体"/>
      <w:b/>
      <w:bCs/>
      <w:sz w:val="24"/>
      <w:szCs w:val="24"/>
    </w:rPr>
  </w:style>
  <w:style w:type="character" w:customStyle="1" w:styleId="207">
    <w:name w:val="标题 8 Char"/>
    <w:basedOn w:val="133"/>
    <w:link w:val="10"/>
    <w:semiHidden/>
    <w:qFormat/>
    <w:uiPriority w:val="0"/>
    <w:rPr>
      <w:rFonts w:asciiTheme="majorHAnsi" w:hAnsiTheme="majorHAnsi" w:eastAsiaTheme="majorEastAsia" w:cstheme="majorBidi"/>
      <w:sz w:val="24"/>
      <w:szCs w:val="24"/>
    </w:rPr>
  </w:style>
  <w:style w:type="character" w:customStyle="1" w:styleId="208">
    <w:name w:val="标题 9 Char"/>
    <w:basedOn w:val="133"/>
    <w:link w:val="11"/>
    <w:semiHidden/>
    <w:qFormat/>
    <w:uiPriority w:val="0"/>
    <w:rPr>
      <w:rFonts w:asciiTheme="majorHAnsi" w:hAnsiTheme="majorHAnsi" w:eastAsiaTheme="majorEastAsia" w:cstheme="majorBidi"/>
      <w:szCs w:val="21"/>
    </w:rPr>
  </w:style>
  <w:style w:type="character" w:customStyle="1" w:styleId="209">
    <w:name w:val="HTML 地址 Char"/>
    <w:basedOn w:val="133"/>
    <w:link w:val="41"/>
    <w:semiHidden/>
    <w:qFormat/>
    <w:uiPriority w:val="0"/>
    <w:rPr>
      <w:rFonts w:ascii="Calibri" w:hAnsi="Calibri" w:eastAsia="宋体" w:cs="Times New Roman"/>
      <w:i/>
      <w:iCs/>
    </w:rPr>
  </w:style>
  <w:style w:type="character" w:customStyle="1" w:styleId="210">
    <w:name w:val="标题 3 Char1"/>
    <w:basedOn w:val="133"/>
    <w:semiHidden/>
    <w:qFormat/>
    <w:uiPriority w:val="0"/>
    <w:rPr>
      <w:rFonts w:hint="default" w:ascii="Calibri" w:hAnsi="Calibri" w:eastAsia="宋体" w:cs="Times New Roman"/>
      <w:b/>
      <w:bCs/>
      <w:sz w:val="32"/>
      <w:szCs w:val="32"/>
    </w:rPr>
  </w:style>
  <w:style w:type="character" w:customStyle="1" w:styleId="211">
    <w:name w:val="标题 4 Char2"/>
    <w:qFormat/>
    <w:uiPriority w:val="0"/>
    <w:rPr>
      <w:rFonts w:hint="eastAsia" w:ascii="宋体" w:hAnsi="Arial" w:eastAsia="宋体"/>
      <w:b/>
      <w:kern w:val="2"/>
      <w:sz w:val="24"/>
      <w:lang w:val="en-US" w:eastAsia="zh-CN" w:bidi="ar-SA"/>
    </w:rPr>
  </w:style>
  <w:style w:type="character" w:customStyle="1" w:styleId="212">
    <w:name w:val="HTML 预设格式 Char2"/>
    <w:basedOn w:val="133"/>
    <w:link w:val="80"/>
    <w:semiHidden/>
    <w:qFormat/>
    <w:locked/>
    <w:uiPriority w:val="0"/>
    <w:rPr>
      <w:rFonts w:ascii="Courier New" w:hAnsi="Courier New" w:eastAsia="宋体" w:cs="Courier New"/>
      <w:sz w:val="20"/>
      <w:szCs w:val="20"/>
    </w:rPr>
  </w:style>
  <w:style w:type="character" w:customStyle="1" w:styleId="213">
    <w:name w:val="HTML 预设格式 Char"/>
    <w:basedOn w:val="133"/>
    <w:link w:val="80"/>
    <w:semiHidden/>
    <w:qFormat/>
    <w:uiPriority w:val="0"/>
    <w:rPr>
      <w:rFonts w:ascii="Courier New" w:hAnsi="Courier New" w:eastAsia="宋体" w:cs="Courier New"/>
      <w:sz w:val="20"/>
      <w:szCs w:val="20"/>
    </w:rPr>
  </w:style>
  <w:style w:type="character" w:customStyle="1" w:styleId="214">
    <w:name w:val="脚注文本 Char3"/>
    <w:basedOn w:val="133"/>
    <w:link w:val="67"/>
    <w:semiHidden/>
    <w:qFormat/>
    <w:locked/>
    <w:uiPriority w:val="0"/>
    <w:rPr>
      <w:rFonts w:ascii="Times New Roman" w:hAnsi="Times New Roman" w:eastAsia="宋体" w:cs="Times New Roman"/>
      <w:sz w:val="18"/>
      <w:szCs w:val="20"/>
    </w:rPr>
  </w:style>
  <w:style w:type="character" w:customStyle="1" w:styleId="215">
    <w:name w:val="脚注文本 Char"/>
    <w:basedOn w:val="133"/>
    <w:link w:val="67"/>
    <w:semiHidden/>
    <w:qFormat/>
    <w:uiPriority w:val="0"/>
    <w:rPr>
      <w:rFonts w:ascii="Times New Roman" w:hAnsi="Times New Roman" w:eastAsia="宋体"/>
      <w:sz w:val="18"/>
      <w:szCs w:val="18"/>
    </w:rPr>
  </w:style>
  <w:style w:type="character" w:customStyle="1" w:styleId="216">
    <w:name w:val="题注 Char"/>
    <w:link w:val="22"/>
    <w:semiHidden/>
    <w:qFormat/>
    <w:locked/>
    <w:uiPriority w:val="0"/>
    <w:rPr>
      <w:rFonts w:ascii="宋体" w:hAnsi="Arial" w:eastAsia="宋体" w:cs="Arial"/>
    </w:rPr>
  </w:style>
  <w:style w:type="character" w:customStyle="1" w:styleId="217">
    <w:name w:val="图表目录 Char"/>
    <w:link w:val="73"/>
    <w:semiHidden/>
    <w:qFormat/>
    <w:locked/>
    <w:uiPriority w:val="0"/>
    <w:rPr>
      <w:rFonts w:ascii="宋体" w:hAnsi="宋体" w:eastAsia="宋体"/>
      <w:sz w:val="24"/>
      <w:szCs w:val="24"/>
    </w:rPr>
  </w:style>
  <w:style w:type="character" w:customStyle="1" w:styleId="218">
    <w:name w:val="尾注文本 Char3"/>
    <w:basedOn w:val="133"/>
    <w:link w:val="52"/>
    <w:semiHidden/>
    <w:qFormat/>
    <w:locked/>
    <w:uiPriority w:val="0"/>
    <w:rPr>
      <w:rFonts w:ascii="Times New Roman" w:hAnsi="Times New Roman" w:eastAsia="宋体" w:cs="Times New Roman"/>
      <w:szCs w:val="20"/>
    </w:rPr>
  </w:style>
  <w:style w:type="character" w:customStyle="1" w:styleId="219">
    <w:name w:val="尾注文本 Char"/>
    <w:basedOn w:val="133"/>
    <w:link w:val="52"/>
    <w:semiHidden/>
    <w:qFormat/>
    <w:uiPriority w:val="0"/>
    <w:rPr>
      <w:rFonts w:ascii="Times New Roman" w:hAnsi="Times New Roman" w:eastAsia="宋体"/>
      <w:sz w:val="24"/>
    </w:rPr>
  </w:style>
  <w:style w:type="character" w:customStyle="1" w:styleId="220">
    <w:name w:val="宏文本 Char"/>
    <w:basedOn w:val="133"/>
    <w:link w:val="2"/>
    <w:semiHidden/>
    <w:qFormat/>
    <w:uiPriority w:val="0"/>
    <w:rPr>
      <w:rFonts w:ascii="Courier New" w:hAnsi="Courier New" w:eastAsia="宋体" w:cs="Courier New"/>
      <w:sz w:val="24"/>
      <w:szCs w:val="24"/>
    </w:rPr>
  </w:style>
  <w:style w:type="character" w:customStyle="1" w:styleId="221">
    <w:name w:val="列表 3 Char"/>
    <w:link w:val="12"/>
    <w:semiHidden/>
    <w:qFormat/>
    <w:locked/>
    <w:uiPriority w:val="0"/>
    <w:rPr>
      <w:rFonts w:ascii="Calibri" w:hAnsi="Calibri" w:cs="Calibri"/>
    </w:rPr>
  </w:style>
  <w:style w:type="character" w:customStyle="1" w:styleId="222">
    <w:name w:val="标题 Char4"/>
    <w:basedOn w:val="133"/>
    <w:link w:val="84"/>
    <w:qFormat/>
    <w:locked/>
    <w:uiPriority w:val="0"/>
    <w:rPr>
      <w:rFonts w:ascii="Arial" w:hAnsi="Arial" w:eastAsia="宋体" w:cs="Times New Roman"/>
      <w:b/>
      <w:sz w:val="32"/>
      <w:szCs w:val="20"/>
    </w:rPr>
  </w:style>
  <w:style w:type="character" w:customStyle="1" w:styleId="223">
    <w:name w:val="标题 Char"/>
    <w:basedOn w:val="133"/>
    <w:link w:val="84"/>
    <w:qFormat/>
    <w:uiPriority w:val="0"/>
    <w:rPr>
      <w:rFonts w:eastAsia="宋体" w:asciiTheme="majorHAnsi" w:hAnsiTheme="majorHAnsi" w:cstheme="majorBidi"/>
      <w:b/>
      <w:bCs/>
      <w:sz w:val="32"/>
      <w:szCs w:val="32"/>
    </w:rPr>
  </w:style>
  <w:style w:type="character" w:customStyle="1" w:styleId="224">
    <w:name w:val="结束语 Char"/>
    <w:basedOn w:val="133"/>
    <w:link w:val="32"/>
    <w:semiHidden/>
    <w:qFormat/>
    <w:uiPriority w:val="0"/>
    <w:rPr>
      <w:rFonts w:ascii="Calibri" w:hAnsi="Calibri" w:eastAsia="宋体" w:cs="Times New Roman"/>
    </w:rPr>
  </w:style>
  <w:style w:type="character" w:customStyle="1" w:styleId="225">
    <w:name w:val="签名 Char1"/>
    <w:basedOn w:val="133"/>
    <w:link w:val="58"/>
    <w:semiHidden/>
    <w:qFormat/>
    <w:locked/>
    <w:uiPriority w:val="0"/>
    <w:rPr>
      <w:rFonts w:ascii="Calibri" w:hAnsi="Calibri" w:eastAsia="宋体" w:cs="Times New Roman"/>
    </w:rPr>
  </w:style>
  <w:style w:type="character" w:customStyle="1" w:styleId="226">
    <w:name w:val="签名 Char"/>
    <w:basedOn w:val="133"/>
    <w:link w:val="58"/>
    <w:semiHidden/>
    <w:qFormat/>
    <w:uiPriority w:val="0"/>
    <w:rPr>
      <w:rFonts w:ascii="Times New Roman" w:hAnsi="Times New Roman" w:eastAsia="宋体"/>
      <w:sz w:val="24"/>
    </w:rPr>
  </w:style>
  <w:style w:type="character" w:customStyle="1" w:styleId="227">
    <w:name w:val="信息标题 Char"/>
    <w:basedOn w:val="133"/>
    <w:link w:val="79"/>
    <w:semiHidden/>
    <w:qFormat/>
    <w:uiPriority w:val="0"/>
    <w:rPr>
      <w:rFonts w:ascii="Arial" w:hAnsi="Arial" w:eastAsia="宋体" w:cs="Arial"/>
      <w:sz w:val="24"/>
      <w:szCs w:val="24"/>
      <w:shd w:val="pct20" w:color="auto" w:fill="auto"/>
    </w:rPr>
  </w:style>
  <w:style w:type="character" w:customStyle="1" w:styleId="228">
    <w:name w:val="副标题 Char4"/>
    <w:basedOn w:val="133"/>
    <w:link w:val="64"/>
    <w:qFormat/>
    <w:locked/>
    <w:uiPriority w:val="0"/>
    <w:rPr>
      <w:rFonts w:ascii="Arial" w:hAnsi="Arial" w:eastAsia="宋体" w:cs="Arial"/>
      <w:b/>
      <w:bCs/>
      <w:kern w:val="28"/>
      <w:sz w:val="32"/>
      <w:szCs w:val="32"/>
    </w:rPr>
  </w:style>
  <w:style w:type="character" w:customStyle="1" w:styleId="229">
    <w:name w:val="副标题 Char"/>
    <w:basedOn w:val="133"/>
    <w:link w:val="64"/>
    <w:qFormat/>
    <w:uiPriority w:val="0"/>
    <w:rPr>
      <w:rFonts w:eastAsia="宋体" w:asciiTheme="majorHAnsi" w:hAnsiTheme="majorHAnsi" w:cstheme="majorBidi"/>
      <w:b/>
      <w:bCs/>
      <w:kern w:val="28"/>
      <w:sz w:val="32"/>
      <w:szCs w:val="32"/>
    </w:rPr>
  </w:style>
  <w:style w:type="character" w:customStyle="1" w:styleId="230">
    <w:name w:val="称呼 Char1"/>
    <w:basedOn w:val="133"/>
    <w:link w:val="30"/>
    <w:semiHidden/>
    <w:qFormat/>
    <w:locked/>
    <w:uiPriority w:val="0"/>
    <w:rPr>
      <w:rFonts w:ascii="Calibri" w:hAnsi="Calibri" w:eastAsia="宋体" w:cs="Times New Roman"/>
    </w:rPr>
  </w:style>
  <w:style w:type="character" w:customStyle="1" w:styleId="231">
    <w:name w:val="称呼 Char"/>
    <w:basedOn w:val="133"/>
    <w:link w:val="30"/>
    <w:semiHidden/>
    <w:qFormat/>
    <w:uiPriority w:val="0"/>
    <w:rPr>
      <w:rFonts w:ascii="Times New Roman" w:hAnsi="Times New Roman" w:eastAsia="宋体"/>
      <w:sz w:val="24"/>
    </w:rPr>
  </w:style>
  <w:style w:type="character" w:customStyle="1" w:styleId="232">
    <w:name w:val="正文首行缩进 2 Char3"/>
    <w:basedOn w:val="233"/>
    <w:link w:val="87"/>
    <w:semiHidden/>
    <w:qFormat/>
    <w:locked/>
    <w:uiPriority w:val="0"/>
  </w:style>
  <w:style w:type="character" w:customStyle="1" w:styleId="233">
    <w:name w:val="正文文本缩进 Char4"/>
    <w:basedOn w:val="133"/>
    <w:semiHidden/>
    <w:qFormat/>
    <w:locked/>
    <w:uiPriority w:val="0"/>
    <w:rPr>
      <w:rFonts w:ascii="宋体" w:hAnsi="Times New Roman" w:eastAsia="宋体" w:cs="Times New Roman"/>
      <w:color w:val="0000FF"/>
      <w:sz w:val="24"/>
      <w:szCs w:val="20"/>
      <w:lang w:val="zh-CN"/>
    </w:rPr>
  </w:style>
  <w:style w:type="character" w:customStyle="1" w:styleId="234">
    <w:name w:val="正文首行缩进 2 Char"/>
    <w:basedOn w:val="203"/>
    <w:link w:val="87"/>
    <w:qFormat/>
    <w:uiPriority w:val="0"/>
  </w:style>
  <w:style w:type="character" w:customStyle="1" w:styleId="235">
    <w:name w:val="注释标题 Char2"/>
    <w:basedOn w:val="133"/>
    <w:link w:val="16"/>
    <w:semiHidden/>
    <w:qFormat/>
    <w:locked/>
    <w:uiPriority w:val="0"/>
    <w:rPr>
      <w:rFonts w:ascii="Times New Roman" w:hAnsi="Times New Roman" w:eastAsia="宋体" w:cs="Times New Roman"/>
      <w:szCs w:val="24"/>
    </w:rPr>
  </w:style>
  <w:style w:type="character" w:customStyle="1" w:styleId="236">
    <w:name w:val="注释标题 Char"/>
    <w:basedOn w:val="133"/>
    <w:link w:val="16"/>
    <w:semiHidden/>
    <w:qFormat/>
    <w:uiPriority w:val="0"/>
    <w:rPr>
      <w:rFonts w:ascii="Times New Roman" w:hAnsi="Times New Roman" w:eastAsia="宋体"/>
      <w:sz w:val="24"/>
    </w:rPr>
  </w:style>
  <w:style w:type="character" w:customStyle="1" w:styleId="237">
    <w:name w:val="正文文本 2 Char3"/>
    <w:basedOn w:val="133"/>
    <w:link w:val="76"/>
    <w:semiHidden/>
    <w:qFormat/>
    <w:locked/>
    <w:uiPriority w:val="0"/>
    <w:rPr>
      <w:rFonts w:ascii="宋体" w:hAnsi="Times New Roman" w:eastAsia="宋体" w:cs="Times New Roman"/>
      <w:color w:val="0000FF"/>
      <w:sz w:val="24"/>
      <w:szCs w:val="20"/>
      <w:lang w:val="zh-CN"/>
    </w:rPr>
  </w:style>
  <w:style w:type="character" w:customStyle="1" w:styleId="238">
    <w:name w:val="正文文本 2 Char"/>
    <w:basedOn w:val="133"/>
    <w:link w:val="76"/>
    <w:semiHidden/>
    <w:qFormat/>
    <w:uiPriority w:val="0"/>
    <w:rPr>
      <w:rFonts w:ascii="Times New Roman" w:hAnsi="Times New Roman" w:eastAsia="宋体"/>
      <w:sz w:val="24"/>
    </w:rPr>
  </w:style>
  <w:style w:type="character" w:customStyle="1" w:styleId="239">
    <w:name w:val="正文文本 3 Char3"/>
    <w:basedOn w:val="133"/>
    <w:link w:val="31"/>
    <w:semiHidden/>
    <w:qFormat/>
    <w:locked/>
    <w:uiPriority w:val="0"/>
    <w:rPr>
      <w:rFonts w:ascii="宋体" w:hAnsi="宋体" w:eastAsia="宋体" w:cs="Times New Roman"/>
      <w:color w:val="000000"/>
      <w:kern w:val="0"/>
      <w:szCs w:val="20"/>
    </w:rPr>
  </w:style>
  <w:style w:type="character" w:customStyle="1" w:styleId="240">
    <w:name w:val="正文文本 3 Char"/>
    <w:basedOn w:val="133"/>
    <w:link w:val="31"/>
    <w:semiHidden/>
    <w:qFormat/>
    <w:uiPriority w:val="0"/>
    <w:rPr>
      <w:rFonts w:ascii="Times New Roman" w:hAnsi="Times New Roman" w:eastAsia="宋体"/>
      <w:sz w:val="16"/>
      <w:szCs w:val="16"/>
    </w:rPr>
  </w:style>
  <w:style w:type="character" w:customStyle="1" w:styleId="241">
    <w:name w:val="正文文本缩进 3 Char3"/>
    <w:basedOn w:val="133"/>
    <w:link w:val="70"/>
    <w:semiHidden/>
    <w:qFormat/>
    <w:locked/>
    <w:uiPriority w:val="0"/>
    <w:rPr>
      <w:rFonts w:ascii="Times New Roman" w:hAnsi="Times New Roman" w:eastAsia="宋体" w:cs="Times New Roman"/>
      <w:sz w:val="16"/>
      <w:szCs w:val="20"/>
    </w:rPr>
  </w:style>
  <w:style w:type="character" w:customStyle="1" w:styleId="242">
    <w:name w:val="正文文本缩进 3 Char"/>
    <w:basedOn w:val="133"/>
    <w:link w:val="70"/>
    <w:semiHidden/>
    <w:qFormat/>
    <w:uiPriority w:val="0"/>
    <w:rPr>
      <w:rFonts w:ascii="Times New Roman" w:hAnsi="Times New Roman" w:eastAsia="宋体"/>
      <w:sz w:val="16"/>
      <w:szCs w:val="16"/>
    </w:rPr>
  </w:style>
  <w:style w:type="character" w:customStyle="1" w:styleId="243">
    <w:name w:val="电子邮件签名 Char"/>
    <w:basedOn w:val="133"/>
    <w:link w:val="19"/>
    <w:semiHidden/>
    <w:qFormat/>
    <w:uiPriority w:val="0"/>
    <w:rPr>
      <w:rFonts w:ascii="Calibri" w:hAnsi="Calibri" w:eastAsia="宋体" w:cs="Times New Roman"/>
    </w:rPr>
  </w:style>
  <w:style w:type="paragraph" w:styleId="244">
    <w:name w:val="No Spacing"/>
    <w:qFormat/>
    <w:uiPriority w:val="1"/>
    <w:pPr>
      <w:widowControl w:val="0"/>
      <w:jc w:val="both"/>
    </w:pPr>
    <w:rPr>
      <w:rFonts w:ascii="Calibri" w:hAnsi="Calibri" w:eastAsia="宋体" w:cs="Times New Roman"/>
      <w:kern w:val="2"/>
      <w:sz w:val="21"/>
      <w:szCs w:val="21"/>
      <w:lang w:val="en-US" w:eastAsia="zh-CN" w:bidi="ar-SA"/>
    </w:rPr>
  </w:style>
  <w:style w:type="paragraph" w:customStyle="1" w:styleId="245">
    <w:name w:val="修订1"/>
    <w:semiHidden/>
    <w:qFormat/>
    <w:uiPriority w:val="0"/>
    <w:rPr>
      <w:rFonts w:ascii="Times New Roman" w:hAnsi="Times New Roman" w:eastAsia="宋体" w:cs="Times New Roman"/>
      <w:kern w:val="2"/>
      <w:sz w:val="24"/>
      <w:lang w:val="en-US" w:eastAsia="zh-CN" w:bidi="ar-SA"/>
    </w:rPr>
  </w:style>
  <w:style w:type="paragraph" w:customStyle="1" w:styleId="246">
    <w:name w:val="font7"/>
    <w:basedOn w:val="1"/>
    <w:semiHidden/>
    <w:qFormat/>
    <w:uiPriority w:val="0"/>
    <w:pPr>
      <w:widowControl/>
      <w:spacing w:before="100" w:beforeAutospacing="1" w:after="100" w:afterAutospacing="1" w:line="240" w:lineRule="auto"/>
      <w:ind w:firstLine="0" w:firstLineChars="0"/>
      <w:jc w:val="left"/>
    </w:pPr>
    <w:rPr>
      <w:rFonts w:ascii="Arial" w:hAnsi="Arial" w:eastAsia="Arial Unicode MS" w:cs="Arial"/>
      <w:b/>
      <w:bCs/>
      <w:kern w:val="0"/>
      <w:sz w:val="36"/>
      <w:szCs w:val="36"/>
    </w:rPr>
  </w:style>
  <w:style w:type="paragraph" w:customStyle="1" w:styleId="247">
    <w:name w:val="样式 标题 3 + 宋体"/>
    <w:basedOn w:val="5"/>
    <w:qFormat/>
    <w:uiPriority w:val="0"/>
    <w:pPr>
      <w:tabs>
        <w:tab w:val="left" w:pos="1275"/>
      </w:tabs>
      <w:adjustRightInd w:val="0"/>
      <w:spacing w:line="360" w:lineRule="atLeast"/>
      <w:ind w:left="1275" w:hanging="705"/>
    </w:pPr>
    <w:rPr>
      <w:rFonts w:ascii="宋体" w:hAnsi="宋体" w:eastAsia="宋体"/>
      <w:b w:val="0"/>
      <w:bCs w:val="0"/>
      <w:sz w:val="30"/>
    </w:rPr>
  </w:style>
  <w:style w:type="paragraph" w:customStyle="1" w:styleId="248">
    <w:name w:val="point101"/>
    <w:basedOn w:val="1"/>
    <w:qFormat/>
    <w:uiPriority w:val="0"/>
    <w:pPr>
      <w:widowControl/>
      <w:spacing w:before="100" w:beforeAutospacing="1" w:after="100" w:afterAutospacing="1" w:line="390" w:lineRule="atLeast"/>
      <w:ind w:firstLine="480"/>
      <w:jc w:val="left"/>
    </w:pPr>
    <w:rPr>
      <w:rFonts w:ascii="宋体" w:hAnsi="宋体" w:cs="宋体"/>
      <w:kern w:val="0"/>
      <w:sz w:val="18"/>
      <w:szCs w:val="18"/>
    </w:rPr>
  </w:style>
  <w:style w:type="paragraph" w:customStyle="1" w:styleId="249">
    <w:name w:val="正文仿宋小四"/>
    <w:basedOn w:val="1"/>
    <w:semiHidden/>
    <w:qFormat/>
    <w:uiPriority w:val="0"/>
    <w:pPr>
      <w:adjustRightInd w:val="0"/>
      <w:snapToGrid w:val="0"/>
      <w:ind w:firstLine="480"/>
    </w:pPr>
    <w:rPr>
      <w:rFonts w:eastAsia="仿宋_GB2312" w:cs="Times New Roman"/>
      <w:szCs w:val="24"/>
    </w:rPr>
  </w:style>
  <w:style w:type="paragraph" w:customStyle="1" w:styleId="250">
    <w:name w:val="第二章表头"/>
    <w:basedOn w:val="1"/>
    <w:semiHidden/>
    <w:qFormat/>
    <w:uiPriority w:val="0"/>
    <w:pPr>
      <w:ind w:firstLine="0" w:firstLineChars="0"/>
      <w:jc w:val="center"/>
    </w:pPr>
    <w:rPr>
      <w:rFonts w:cs="Times New Roman"/>
      <w:b/>
      <w:color w:val="0000FF"/>
      <w:szCs w:val="24"/>
    </w:rPr>
  </w:style>
  <w:style w:type="paragraph" w:customStyle="1" w:styleId="251">
    <w:name w:val="第四章表头"/>
    <w:basedOn w:val="1"/>
    <w:semiHidden/>
    <w:qFormat/>
    <w:uiPriority w:val="0"/>
    <w:pPr>
      <w:ind w:firstLine="0" w:firstLineChars="0"/>
      <w:jc w:val="center"/>
    </w:pPr>
    <w:rPr>
      <w:rFonts w:cs="Times New Roman"/>
      <w:b/>
      <w:color w:val="0000FF"/>
      <w:szCs w:val="24"/>
    </w:rPr>
  </w:style>
  <w:style w:type="paragraph" w:customStyle="1" w:styleId="252">
    <w:name w:val="一级条标题"/>
    <w:basedOn w:val="1"/>
    <w:next w:val="1"/>
    <w:qFormat/>
    <w:uiPriority w:val="0"/>
    <w:pPr>
      <w:widowControl/>
      <w:tabs>
        <w:tab w:val="left" w:pos="1740"/>
      </w:tabs>
      <w:spacing w:line="240" w:lineRule="auto"/>
      <w:ind w:left="1740" w:hanging="420" w:firstLineChars="0"/>
      <w:outlineLvl w:val="2"/>
    </w:pPr>
    <w:rPr>
      <w:rFonts w:ascii="黑体" w:eastAsia="黑体" w:cs="Times New Roman"/>
      <w:kern w:val="0"/>
      <w:sz w:val="21"/>
      <w:szCs w:val="20"/>
    </w:rPr>
  </w:style>
  <w:style w:type="paragraph" w:customStyle="1" w:styleId="253">
    <w:name w:val="表格文字中"/>
    <w:basedOn w:val="1"/>
    <w:qFormat/>
    <w:uiPriority w:val="0"/>
    <w:pPr>
      <w:keepNext/>
      <w:tabs>
        <w:tab w:val="left" w:pos="628"/>
        <w:tab w:val="left" w:pos="980"/>
        <w:tab w:val="left" w:pos="1727"/>
        <w:tab w:val="left" w:pos="1884"/>
      </w:tabs>
      <w:autoSpaceDE w:val="0"/>
      <w:autoSpaceDN w:val="0"/>
      <w:adjustRightInd w:val="0"/>
      <w:snapToGrid w:val="0"/>
      <w:spacing w:line="240" w:lineRule="auto"/>
      <w:ind w:firstLine="560" w:firstLineChars="0"/>
      <w:outlineLvl w:val="0"/>
    </w:pPr>
    <w:rPr>
      <w:rFonts w:ascii="宋体" w:hAnsi="宋体" w:cs="Times New Roman"/>
      <w:color w:val="000000"/>
      <w:kern w:val="0"/>
      <w:szCs w:val="24"/>
      <w:lang w:val="zh-CN"/>
    </w:rPr>
  </w:style>
  <w:style w:type="character" w:customStyle="1" w:styleId="254">
    <w:name w:val="新标题1 Char"/>
    <w:basedOn w:val="133"/>
    <w:link w:val="255"/>
    <w:semiHidden/>
    <w:qFormat/>
    <w:locked/>
    <w:uiPriority w:val="0"/>
    <w:rPr>
      <w:rFonts w:ascii="黑体" w:hAnsi="Cambria" w:eastAsia="黑体"/>
      <w:bCs/>
      <w:kern w:val="44"/>
      <w:sz w:val="30"/>
      <w:szCs w:val="44"/>
    </w:rPr>
  </w:style>
  <w:style w:type="paragraph" w:customStyle="1" w:styleId="255">
    <w:name w:val="新标题1"/>
    <w:basedOn w:val="3"/>
    <w:link w:val="254"/>
    <w:semiHidden/>
    <w:qFormat/>
    <w:uiPriority w:val="0"/>
    <w:rPr>
      <w:rFonts w:ascii="黑体" w:hAnsi="Cambria" w:cstheme="minorBidi"/>
      <w:b w:val="0"/>
      <w:sz w:val="30"/>
    </w:rPr>
  </w:style>
  <w:style w:type="paragraph" w:customStyle="1" w:styleId="256">
    <w:name w:val="样式 样式 四号 首行缩进:  1.92 字符 + 宋体"/>
    <w:basedOn w:val="1"/>
    <w:qFormat/>
    <w:uiPriority w:val="0"/>
    <w:pPr>
      <w:widowControl/>
      <w:spacing w:line="440" w:lineRule="exact"/>
      <w:ind w:firstLine="560"/>
    </w:pPr>
    <w:rPr>
      <w:rFonts w:ascii="宋体" w:hAnsi="宋体" w:cs="Times New Roman"/>
      <w:sz w:val="28"/>
      <w:szCs w:val="20"/>
    </w:rPr>
  </w:style>
  <w:style w:type="paragraph" w:customStyle="1" w:styleId="257">
    <w:name w:val="font"/>
    <w:basedOn w:val="1"/>
    <w:qFormat/>
    <w:uiPriority w:val="0"/>
    <w:pPr>
      <w:widowControl/>
      <w:spacing w:before="100" w:beforeAutospacing="1" w:after="100" w:afterAutospacing="1" w:line="262" w:lineRule="atLeast"/>
      <w:ind w:firstLine="480"/>
      <w:jc w:val="left"/>
    </w:pPr>
    <w:rPr>
      <w:rFonts w:ascii="ˎ̥" w:hAnsi="ˎ̥" w:cs="Times New Roman"/>
      <w:color w:val="000000"/>
      <w:kern w:val="0"/>
      <w:sz w:val="18"/>
      <w:szCs w:val="20"/>
    </w:rPr>
  </w:style>
  <w:style w:type="paragraph" w:customStyle="1" w:styleId="258">
    <w:name w:val="样式23"/>
    <w:basedOn w:val="1"/>
    <w:semiHidden/>
    <w:qFormat/>
    <w:uiPriority w:val="0"/>
    <w:pPr>
      <w:adjustRightInd w:val="0"/>
      <w:spacing w:before="120" w:after="120" w:line="240" w:lineRule="atLeast"/>
      <w:ind w:firstLine="0" w:firstLineChars="0"/>
      <w:jc w:val="center"/>
    </w:pPr>
    <w:rPr>
      <w:rFonts w:eastAsia="楷体_GB2312" w:cs="Times New Roman"/>
      <w:kern w:val="28"/>
      <w:sz w:val="21"/>
      <w:szCs w:val="20"/>
    </w:rPr>
  </w:style>
  <w:style w:type="paragraph" w:customStyle="1" w:styleId="259">
    <w:name w:val="表中字居中"/>
    <w:basedOn w:val="1"/>
    <w:qFormat/>
    <w:uiPriority w:val="0"/>
    <w:pPr>
      <w:tabs>
        <w:tab w:val="left" w:pos="5940"/>
      </w:tabs>
      <w:ind w:firstLine="480"/>
      <w:jc w:val="center"/>
    </w:pPr>
    <w:rPr>
      <w:rFonts w:ascii="宋体" w:hAnsi="宋体" w:cs="Times New Roman"/>
      <w:szCs w:val="24"/>
    </w:rPr>
  </w:style>
  <w:style w:type="paragraph" w:customStyle="1" w:styleId="260">
    <w:name w:val="Char Char1 Char Char Char Char Char Char Char Char Char Char Char Char Char Char Char Char Char Char Char Char1 Char"/>
    <w:basedOn w:val="1"/>
    <w:qFormat/>
    <w:uiPriority w:val="0"/>
    <w:pPr>
      <w:ind w:firstLine="480"/>
    </w:pPr>
    <w:rPr>
      <w:rFonts w:ascii="宋体" w:hAnsi="宋体" w:cs="宋体"/>
      <w:color w:val="000000"/>
      <w:szCs w:val="24"/>
    </w:rPr>
  </w:style>
  <w:style w:type="paragraph" w:customStyle="1" w:styleId="261">
    <w:name w:val="样式 标题 3标题3H3h33rd level第二层条头小标题小节标题标题 3 Char Char一海港标...1"/>
    <w:basedOn w:val="5"/>
    <w:qFormat/>
    <w:uiPriority w:val="0"/>
    <w:pPr>
      <w:keepLines w:val="0"/>
      <w:adjustRightInd w:val="0"/>
      <w:spacing w:before="120" w:after="120" w:line="360" w:lineRule="exact"/>
      <w:ind w:left="720" w:hanging="720" w:firstLineChars="200"/>
      <w:jc w:val="left"/>
    </w:pPr>
    <w:rPr>
      <w:rFonts w:ascii="FLGPEK+TimesNewRoman,Italic" w:hAnsi="FLGPEK+TimesNewRoman,Italic" w:eastAsia="华文仿宋" w:cs="Garamond"/>
      <w:b w:val="0"/>
      <w:color w:val="000000"/>
      <w:sz w:val="30"/>
    </w:rPr>
  </w:style>
  <w:style w:type="paragraph" w:customStyle="1" w:styleId="262">
    <w:name w:val="5 Char"/>
    <w:basedOn w:val="1"/>
    <w:qFormat/>
    <w:uiPriority w:val="0"/>
    <w:pPr>
      <w:spacing w:line="440" w:lineRule="exact"/>
      <w:ind w:firstLine="480"/>
    </w:pPr>
    <w:rPr>
      <w:rFonts w:ascii="Tahoma" w:hAnsi="Tahoma" w:cs="Times New Roman"/>
      <w:szCs w:val="20"/>
    </w:rPr>
  </w:style>
  <w:style w:type="paragraph" w:customStyle="1" w:styleId="263">
    <w:name w:val="Char1 Char Char Char Char Char Char Char Char Char Char Char Char1"/>
    <w:basedOn w:val="1"/>
    <w:qFormat/>
    <w:uiPriority w:val="0"/>
    <w:pPr>
      <w:spacing w:line="440" w:lineRule="exact"/>
      <w:ind w:firstLine="720"/>
    </w:pPr>
    <w:rPr>
      <w:rFonts w:cs="Times New Roman"/>
      <w:sz w:val="21"/>
      <w:szCs w:val="24"/>
    </w:rPr>
  </w:style>
  <w:style w:type="paragraph" w:customStyle="1" w:styleId="264">
    <w:name w:val="h标题 3"/>
    <w:basedOn w:val="1"/>
    <w:qFormat/>
    <w:uiPriority w:val="0"/>
    <w:pPr>
      <w:keepNext/>
      <w:tabs>
        <w:tab w:val="left" w:pos="1453"/>
        <w:tab w:val="left" w:pos="2473"/>
        <w:tab w:val="left" w:pos="3293"/>
        <w:tab w:val="left" w:pos="4313"/>
      </w:tabs>
      <w:adjustRightInd w:val="0"/>
      <w:snapToGrid w:val="0"/>
      <w:ind w:firstLine="0" w:firstLineChars="0"/>
      <w:jc w:val="left"/>
      <w:outlineLvl w:val="2"/>
    </w:pPr>
    <w:rPr>
      <w:rFonts w:ascii="Arial" w:hAnsi="Arial" w:cs="Times New Roman"/>
      <w:b/>
      <w:szCs w:val="20"/>
    </w:rPr>
  </w:style>
  <w:style w:type="paragraph" w:customStyle="1" w:styleId="265">
    <w:name w:val="BIG BOLD"/>
    <w:basedOn w:val="1"/>
    <w:qFormat/>
    <w:uiPriority w:val="0"/>
    <w:pPr>
      <w:tabs>
        <w:tab w:val="left" w:leader="underscore" w:pos="1134"/>
      </w:tabs>
      <w:spacing w:line="440" w:lineRule="exact"/>
    </w:pPr>
    <w:rPr>
      <w:rFonts w:cs="Times New Roman"/>
      <w:szCs w:val="20"/>
    </w:rPr>
  </w:style>
  <w:style w:type="paragraph" w:customStyle="1" w:styleId="266">
    <w:name w:val="框内容"/>
    <w:basedOn w:val="34"/>
    <w:qFormat/>
    <w:uiPriority w:val="0"/>
    <w:pPr>
      <w:suppressAutoHyphens/>
      <w:spacing w:after="0" w:line="440" w:lineRule="exact"/>
      <w:ind w:firstLine="480"/>
      <w:jc w:val="center"/>
    </w:pPr>
    <w:rPr>
      <w:rFonts w:eastAsia="Times New Roman" w:cs="Times New Roman"/>
      <w:sz w:val="18"/>
      <w:szCs w:val="24"/>
      <w:lang w:eastAsia="ar-SA"/>
    </w:rPr>
  </w:style>
  <w:style w:type="paragraph" w:customStyle="1" w:styleId="267">
    <w:name w:val="页眉中"/>
    <w:basedOn w:val="21"/>
    <w:qFormat/>
    <w:uiPriority w:val="0"/>
    <w:pPr>
      <w:adjustRightInd w:val="0"/>
      <w:snapToGrid w:val="0"/>
      <w:spacing w:line="300" w:lineRule="auto"/>
      <w:ind w:firstLine="0" w:firstLineChars="0"/>
      <w:jc w:val="left"/>
    </w:pPr>
    <w:rPr>
      <w:rFonts w:ascii="黑体" w:eastAsia="黑体" w:hAnsiTheme="minorHAnsi" w:cstheme="minorBidi"/>
      <w:bCs/>
      <w:sz w:val="24"/>
      <w:szCs w:val="22"/>
    </w:rPr>
  </w:style>
  <w:style w:type="paragraph" w:customStyle="1" w:styleId="268">
    <w:name w:val="样式 样式 首行缩进:  2 字符19 + 首行缩进:  2 字符"/>
    <w:basedOn w:val="1"/>
    <w:qFormat/>
    <w:uiPriority w:val="0"/>
    <w:pPr>
      <w:spacing w:line="520" w:lineRule="exact"/>
      <w:ind w:firstLine="480"/>
    </w:pPr>
    <w:rPr>
      <w:rFonts w:cs="宋体"/>
      <w:szCs w:val="20"/>
    </w:rPr>
  </w:style>
  <w:style w:type="paragraph" w:customStyle="1" w:styleId="269">
    <w:name w:val="标题 2 + 段前: 0.3 行 段后: 0.3 行1"/>
    <w:basedOn w:val="4"/>
    <w:next w:val="1"/>
    <w:qFormat/>
    <w:uiPriority w:val="0"/>
    <w:pPr>
      <w:widowControl/>
      <w:tabs>
        <w:tab w:val="left" w:pos="927"/>
        <w:tab w:val="left" w:pos="1134"/>
      </w:tabs>
      <w:adjustRightInd w:val="0"/>
      <w:snapToGrid w:val="0"/>
      <w:spacing w:before="120" w:after="120" w:line="480" w:lineRule="exact"/>
      <w:ind w:left="1" w:firstLine="1"/>
    </w:pPr>
    <w:rPr>
      <w:rFonts w:cs="宋体"/>
      <w:b w:val="0"/>
      <w:kern w:val="0"/>
      <w:sz w:val="30"/>
      <w:szCs w:val="20"/>
    </w:rPr>
  </w:style>
  <w:style w:type="paragraph" w:customStyle="1" w:styleId="270">
    <w:name w:val="插图1"/>
    <w:basedOn w:val="1"/>
    <w:qFormat/>
    <w:uiPriority w:val="0"/>
    <w:pPr>
      <w:adjustRightInd w:val="0"/>
      <w:spacing w:before="120" w:after="120" w:line="240" w:lineRule="auto"/>
      <w:ind w:firstLine="0" w:firstLineChars="0"/>
    </w:pPr>
    <w:rPr>
      <w:rFonts w:cs="Times New Roman"/>
      <w:kern w:val="0"/>
      <w:szCs w:val="20"/>
    </w:rPr>
  </w:style>
  <w:style w:type="paragraph" w:customStyle="1" w:styleId="271">
    <w:name w:val="样式 首行缩进:  2 字符5"/>
    <w:basedOn w:val="1"/>
    <w:qFormat/>
    <w:uiPriority w:val="0"/>
    <w:pPr>
      <w:spacing w:line="520" w:lineRule="exact"/>
      <w:ind w:firstLine="560"/>
    </w:pPr>
    <w:rPr>
      <w:rFonts w:cs="宋体"/>
      <w:szCs w:val="20"/>
    </w:rPr>
  </w:style>
  <w:style w:type="paragraph" w:customStyle="1" w:styleId="272">
    <w:name w:val="样式 正文缩进正文（首行缩进两字）正文（首行缩进两字） Char Char Char Char Char Char Char..."/>
    <w:basedOn w:val="21"/>
    <w:qFormat/>
    <w:uiPriority w:val="0"/>
    <w:pPr>
      <w:spacing w:line="312" w:lineRule="auto"/>
      <w:ind w:firstLine="539" w:firstLineChars="0"/>
    </w:pPr>
    <w:rPr>
      <w:rFonts w:asciiTheme="minorHAnsi" w:hAnsiTheme="minorHAnsi" w:eastAsiaTheme="minorEastAsia" w:cstheme="minorBidi"/>
      <w:sz w:val="28"/>
      <w:szCs w:val="22"/>
    </w:rPr>
  </w:style>
  <w:style w:type="paragraph" w:customStyle="1" w:styleId="273">
    <w:name w:val="样式 正文（首行缩进两字） Char1标题4 + 宋体 小四 首行缩进:  0.85 厘米"/>
    <w:basedOn w:val="1"/>
    <w:qFormat/>
    <w:uiPriority w:val="0"/>
    <w:pPr>
      <w:adjustRightInd w:val="0"/>
      <w:spacing w:line="440" w:lineRule="atLeast"/>
      <w:ind w:firstLine="482" w:firstLineChars="0"/>
    </w:pPr>
    <w:rPr>
      <w:rFonts w:ascii="宋体" w:hAnsi="宋体" w:cs="宋体"/>
      <w:kern w:val="0"/>
      <w:szCs w:val="20"/>
    </w:rPr>
  </w:style>
  <w:style w:type="paragraph" w:customStyle="1" w:styleId="274">
    <w:name w:val="yy标题4"/>
    <w:basedOn w:val="6"/>
    <w:next w:val="183"/>
    <w:semiHidden/>
    <w:qFormat/>
    <w:uiPriority w:val="0"/>
    <w:rPr>
      <w:rFonts w:ascii="宋体" w:hAnsi="宋体" w:eastAsia="宋体" w:cs="Times New Roman"/>
      <w:b w:val="0"/>
    </w:rPr>
  </w:style>
  <w:style w:type="paragraph" w:customStyle="1" w:styleId="275">
    <w:name w:val="文本框"/>
    <w:qFormat/>
    <w:uiPriority w:val="0"/>
    <w:pPr>
      <w:spacing w:line="312" w:lineRule="exact"/>
      <w:jc w:val="center"/>
    </w:pPr>
    <w:rPr>
      <w:rFonts w:ascii="Times New Roman" w:hAnsi="Times New Roman" w:eastAsia="宋体" w:cs="Times New Roman"/>
      <w:sz w:val="24"/>
      <w:lang w:val="en-US" w:eastAsia="zh-CN" w:bidi="ar-SA"/>
    </w:rPr>
  </w:style>
  <w:style w:type="paragraph" w:customStyle="1" w:styleId="276">
    <w:name w:val="font9"/>
    <w:basedOn w:val="1"/>
    <w:semiHidden/>
    <w:qFormat/>
    <w:uiPriority w:val="0"/>
    <w:pPr>
      <w:widowControl/>
      <w:spacing w:before="100" w:beforeAutospacing="1" w:after="100" w:afterAutospacing="1" w:line="240" w:lineRule="auto"/>
      <w:ind w:firstLine="0" w:firstLineChars="0"/>
      <w:jc w:val="left"/>
    </w:pPr>
    <w:rPr>
      <w:rFonts w:hAnsi="宋体" w:eastAsia="Arial Unicode MS" w:cs="Times New Roman"/>
      <w:kern w:val="0"/>
      <w:sz w:val="20"/>
      <w:szCs w:val="20"/>
    </w:rPr>
  </w:style>
  <w:style w:type="paragraph" w:customStyle="1" w:styleId="277">
    <w:name w:val="4级"/>
    <w:basedOn w:val="6"/>
    <w:semiHidden/>
    <w:qFormat/>
    <w:uiPriority w:val="0"/>
    <w:pPr>
      <w:spacing w:before="40" w:after="40"/>
    </w:pPr>
    <w:rPr>
      <w:rFonts w:eastAsia="仿宋_GB2312" w:cs="Times New Roman"/>
    </w:rPr>
  </w:style>
  <w:style w:type="paragraph" w:customStyle="1" w:styleId="278">
    <w:name w:val="安评 标题 2 + 宋体 四号 黑色 段前: 7.8 磅 段后: 0 磅 行距: 单倍行距"/>
    <w:basedOn w:val="4"/>
    <w:qFormat/>
    <w:uiPriority w:val="0"/>
    <w:pPr>
      <w:widowControl/>
      <w:snapToGrid w:val="0"/>
      <w:spacing w:before="156" w:after="120"/>
    </w:pPr>
    <w:rPr>
      <w:rFonts w:ascii="宋体" w:hAnsi="宋体" w:eastAsia="宋体"/>
      <w:color w:val="000000"/>
      <w:kern w:val="28"/>
      <w:sz w:val="28"/>
      <w:szCs w:val="20"/>
    </w:rPr>
  </w:style>
  <w:style w:type="paragraph" w:customStyle="1" w:styleId="279">
    <w:name w:val="样式 宋体 小四 首行缩进:  1.59 厘米 段后: 2.5 磅 行距: 固定值 20 磅"/>
    <w:basedOn w:val="1"/>
    <w:qFormat/>
    <w:uiPriority w:val="0"/>
    <w:pPr>
      <w:spacing w:after="50" w:line="400" w:lineRule="exact"/>
      <w:ind w:firstLine="900"/>
    </w:pPr>
    <w:rPr>
      <w:rFonts w:ascii="FLGPEK+TimesNewRoman,Italic" w:hAnsi="FLGPEK+TimesNewRoman,Italic" w:eastAsia="华文仿宋" w:cs="Garamond"/>
      <w:kern w:val="0"/>
      <w:szCs w:val="24"/>
    </w:rPr>
  </w:style>
  <w:style w:type="paragraph" w:customStyle="1" w:styleId="280">
    <w:name w:val="表格式样新"/>
    <w:basedOn w:val="1"/>
    <w:qFormat/>
    <w:uiPriority w:val="0"/>
    <w:pPr>
      <w:autoSpaceDE w:val="0"/>
      <w:autoSpaceDN w:val="0"/>
      <w:spacing w:line="360" w:lineRule="exact"/>
      <w:ind w:left="-15" w:leftChars="-51" w:hanging="107" w:hangingChars="51"/>
      <w:jc w:val="center"/>
    </w:pPr>
    <w:rPr>
      <w:rFonts w:ascii="华文仿宋" w:hAnsi="Tahoma" w:eastAsia="华文仿宋" w:cs="Garamond"/>
      <w:kern w:val="0"/>
      <w:szCs w:val="24"/>
    </w:rPr>
  </w:style>
  <w:style w:type="paragraph" w:customStyle="1" w:styleId="281">
    <w:name w:val="Char5"/>
    <w:basedOn w:val="1"/>
    <w:semiHidden/>
    <w:qFormat/>
    <w:uiPriority w:val="0"/>
    <w:pPr>
      <w:spacing w:line="240" w:lineRule="auto"/>
      <w:ind w:firstLine="0" w:firstLineChars="0"/>
    </w:pPr>
    <w:rPr>
      <w:rFonts w:cs="Times New Roman"/>
      <w:sz w:val="21"/>
      <w:szCs w:val="20"/>
    </w:rPr>
  </w:style>
  <w:style w:type="paragraph" w:customStyle="1" w:styleId="282">
    <w:name w:val="BT4"/>
    <w:basedOn w:val="6"/>
    <w:semiHidden/>
    <w:qFormat/>
    <w:uiPriority w:val="0"/>
    <w:pPr>
      <w:spacing w:line="374" w:lineRule="auto"/>
    </w:pPr>
    <w:rPr>
      <w:rFonts w:eastAsia="宋体" w:cs="Times New Roman"/>
      <w:szCs w:val="24"/>
    </w:rPr>
  </w:style>
  <w:style w:type="paragraph" w:customStyle="1" w:styleId="283">
    <w:name w:val="xl50"/>
    <w:basedOn w:val="1"/>
    <w:qFormat/>
    <w:uiPriority w:val="0"/>
    <w:pPr>
      <w:widowControl/>
      <w:pBdr>
        <w:left w:val="single" w:color="auto" w:sz="8" w:space="0"/>
        <w:bottom w:val="single" w:color="auto" w:sz="8" w:space="0"/>
        <w:right w:val="single" w:color="auto" w:sz="4" w:space="0"/>
      </w:pBdr>
      <w:spacing w:before="100" w:beforeAutospacing="1" w:after="100" w:afterAutospacing="1"/>
      <w:ind w:firstLine="0" w:firstLineChars="0"/>
      <w:jc w:val="center"/>
    </w:pPr>
    <w:rPr>
      <w:rFonts w:ascii="宋体" w:hAnsi="宋体" w:cs="Times New Roman"/>
      <w:kern w:val="0"/>
      <w:szCs w:val="24"/>
    </w:rPr>
  </w:style>
  <w:style w:type="paragraph" w:customStyle="1" w:styleId="284">
    <w:name w:val="表格01 Char"/>
    <w:basedOn w:val="1"/>
    <w:qFormat/>
    <w:uiPriority w:val="0"/>
    <w:pPr>
      <w:adjustRightInd w:val="0"/>
      <w:snapToGrid w:val="0"/>
      <w:spacing w:before="120" w:line="480" w:lineRule="exact"/>
      <w:ind w:firstLine="0" w:firstLineChars="0"/>
      <w:jc w:val="center"/>
    </w:pPr>
    <w:rPr>
      <w:rFonts w:cs="宋体"/>
      <w:spacing w:val="-2"/>
      <w:kern w:val="0"/>
      <w:sz w:val="28"/>
      <w:szCs w:val="28"/>
    </w:rPr>
  </w:style>
  <w:style w:type="paragraph" w:customStyle="1" w:styleId="285">
    <w:name w:val="样式 表格文字居中 + 行距: 单倍行距"/>
    <w:basedOn w:val="1"/>
    <w:qFormat/>
    <w:uiPriority w:val="0"/>
    <w:pPr>
      <w:keepNext/>
      <w:tabs>
        <w:tab w:val="left" w:pos="628"/>
        <w:tab w:val="left" w:pos="1727"/>
        <w:tab w:val="left" w:pos="1884"/>
      </w:tabs>
      <w:adjustRightInd w:val="0"/>
      <w:snapToGrid w:val="0"/>
      <w:spacing w:beforeLines="10" w:line="240" w:lineRule="auto"/>
      <w:ind w:firstLine="0" w:firstLineChars="0"/>
      <w:jc w:val="center"/>
    </w:pPr>
    <w:rPr>
      <w:rFonts w:ascii="宋体" w:hAnsi="宋体" w:cs="宋体"/>
      <w:color w:val="FF0000"/>
      <w:kern w:val="0"/>
      <w:sz w:val="21"/>
    </w:rPr>
  </w:style>
  <w:style w:type="paragraph" w:customStyle="1" w:styleId="286">
    <w:name w:val="1级样式."/>
    <w:basedOn w:val="1"/>
    <w:qFormat/>
    <w:uiPriority w:val="0"/>
    <w:pPr>
      <w:keepNext/>
      <w:keepLines/>
      <w:widowControl/>
      <w:tabs>
        <w:tab w:val="left" w:pos="840"/>
      </w:tabs>
      <w:spacing w:beforeLines="50"/>
      <w:ind w:left="840" w:hanging="360" w:firstLineChars="0"/>
      <w:jc w:val="left"/>
      <w:outlineLvl w:val="0"/>
    </w:pPr>
    <w:rPr>
      <w:rFonts w:eastAsia="黑体" w:cs="Times New Roman"/>
      <w:color w:val="000000"/>
      <w:kern w:val="44"/>
      <w:sz w:val="36"/>
      <w:szCs w:val="36"/>
    </w:rPr>
  </w:style>
  <w:style w:type="paragraph" w:customStyle="1" w:styleId="287">
    <w:name w:val="表格表体"/>
    <w:basedOn w:val="45"/>
    <w:semiHidden/>
    <w:qFormat/>
    <w:uiPriority w:val="0"/>
    <w:pPr>
      <w:adjustRightInd w:val="0"/>
      <w:spacing w:line="312" w:lineRule="atLeast"/>
      <w:jc w:val="distribute"/>
    </w:pPr>
    <w:rPr>
      <w:rFonts w:ascii="仿宋_GB2312" w:hAnsi="仿宋_GB2312" w:eastAsia="宋体" w:cs="Times New Roman"/>
      <w:b/>
      <w:kern w:val="0"/>
      <w:szCs w:val="20"/>
    </w:rPr>
  </w:style>
  <w:style w:type="paragraph" w:customStyle="1" w:styleId="288">
    <w:name w:val="xl62"/>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pPr>
    <w:rPr>
      <w:rFonts w:ascii="宋体" w:hAnsi="宋体" w:cs="宋体"/>
      <w:kern w:val="0"/>
      <w:szCs w:val="24"/>
    </w:rPr>
  </w:style>
  <w:style w:type="paragraph" w:customStyle="1" w:styleId="289">
    <w:name w:val="样式 正文（首行缩进两字） Char1标题4 + (符号) 宋体 小四 首行缩进:  0.85 厘米"/>
    <w:basedOn w:val="1"/>
    <w:qFormat/>
    <w:uiPriority w:val="0"/>
    <w:pPr>
      <w:adjustRightInd w:val="0"/>
      <w:spacing w:line="440" w:lineRule="atLeast"/>
      <w:ind w:firstLine="482" w:firstLineChars="0"/>
    </w:pPr>
    <w:rPr>
      <w:rFonts w:hAnsi="宋体" w:cs="宋体"/>
      <w:kern w:val="0"/>
      <w:szCs w:val="20"/>
    </w:rPr>
  </w:style>
  <w:style w:type="paragraph" w:customStyle="1" w:styleId="290">
    <w:name w:val="样式 样式 标题 3 + 宋体 小四 加粗 + 首行缩进:  0 厘米"/>
    <w:basedOn w:val="1"/>
    <w:qFormat/>
    <w:uiPriority w:val="0"/>
    <w:pPr>
      <w:keepNext/>
      <w:keepLines/>
      <w:adjustRightInd w:val="0"/>
      <w:snapToGrid w:val="0"/>
      <w:spacing w:before="240" w:after="120" w:line="240" w:lineRule="auto"/>
      <w:ind w:firstLine="567" w:firstLineChars="0"/>
    </w:pPr>
    <w:rPr>
      <w:rFonts w:ascii="宋体" w:hAnsi="宋体" w:cs="Times New Roman"/>
      <w:b/>
      <w:kern w:val="0"/>
      <w:szCs w:val="20"/>
    </w:rPr>
  </w:style>
  <w:style w:type="paragraph" w:customStyle="1" w:styleId="291">
    <w:name w:val="zhengwenzhengwen"/>
    <w:basedOn w:val="1"/>
    <w:semiHidden/>
    <w:qFormat/>
    <w:uiPriority w:val="0"/>
    <w:pPr>
      <w:spacing w:line="460" w:lineRule="exact"/>
    </w:pPr>
    <w:rPr>
      <w:rFonts w:cs="Times New Roman"/>
      <w:szCs w:val="24"/>
    </w:rPr>
  </w:style>
  <w:style w:type="character" w:customStyle="1" w:styleId="292">
    <w:name w:val="表、图名 Char"/>
    <w:basedOn w:val="133"/>
    <w:link w:val="293"/>
    <w:qFormat/>
    <w:locked/>
    <w:uiPriority w:val="0"/>
    <w:rPr>
      <w:rFonts w:ascii="黑体" w:hAnsi="黑体" w:eastAsia="黑体"/>
      <w:color w:val="000000"/>
    </w:rPr>
  </w:style>
  <w:style w:type="paragraph" w:customStyle="1" w:styleId="293">
    <w:name w:val="表、图名"/>
    <w:basedOn w:val="1"/>
    <w:link w:val="292"/>
    <w:qFormat/>
    <w:uiPriority w:val="0"/>
    <w:pPr>
      <w:adjustRightInd w:val="0"/>
      <w:snapToGrid w:val="0"/>
      <w:ind w:firstLine="0" w:firstLineChars="0"/>
      <w:jc w:val="center"/>
    </w:pPr>
    <w:rPr>
      <w:rFonts w:ascii="黑体" w:hAnsi="黑体" w:eastAsia="黑体"/>
      <w:color w:val="000000"/>
      <w:sz w:val="21"/>
    </w:rPr>
  </w:style>
  <w:style w:type="paragraph" w:customStyle="1" w:styleId="294">
    <w:name w:val="质报书正文"/>
    <w:basedOn w:val="1"/>
    <w:semiHidden/>
    <w:qFormat/>
    <w:uiPriority w:val="0"/>
    <w:pPr>
      <w:spacing w:line="240" w:lineRule="auto"/>
      <w:ind w:firstLine="480"/>
    </w:pPr>
    <w:rPr>
      <w:rFonts w:cs="Times New Roman"/>
      <w:kern w:val="0"/>
      <w:szCs w:val="24"/>
    </w:rPr>
  </w:style>
  <w:style w:type="character" w:customStyle="1" w:styleId="295">
    <w:name w:val="标题2样式 Char"/>
    <w:basedOn w:val="133"/>
    <w:link w:val="296"/>
    <w:qFormat/>
    <w:locked/>
    <w:uiPriority w:val="0"/>
    <w:rPr>
      <w:rFonts w:ascii="黑体" w:hAnsi="Arial" w:eastAsia="黑体"/>
      <w:b/>
      <w:bCs/>
      <w:sz w:val="24"/>
      <w:szCs w:val="32"/>
    </w:rPr>
  </w:style>
  <w:style w:type="paragraph" w:customStyle="1" w:styleId="296">
    <w:name w:val="标题2样式"/>
    <w:basedOn w:val="4"/>
    <w:link w:val="295"/>
    <w:qFormat/>
    <w:uiPriority w:val="0"/>
    <w:rPr>
      <w:rFonts w:ascii="黑体" w:hAnsi="Arial" w:cstheme="minorBidi"/>
      <w:sz w:val="24"/>
    </w:rPr>
  </w:style>
  <w:style w:type="paragraph" w:customStyle="1" w:styleId="297">
    <w:name w:val="Plain Text2"/>
    <w:basedOn w:val="1"/>
    <w:qFormat/>
    <w:uiPriority w:val="0"/>
    <w:pPr>
      <w:adjustRightInd w:val="0"/>
      <w:spacing w:line="440" w:lineRule="exact"/>
    </w:pPr>
    <w:rPr>
      <w:rFonts w:ascii="FLGPEK+TimesNewRoman,Italic" w:hAnsi="Vladimir Script" w:cs="Garamond"/>
      <w:kern w:val="0"/>
      <w:szCs w:val="24"/>
    </w:rPr>
  </w:style>
  <w:style w:type="paragraph" w:customStyle="1" w:styleId="298">
    <w:name w:val="样式 标题 4标题 4 Char Char + 两端对齐 左侧:  0 厘米 段前: 0 磅 段后: 0 磅"/>
    <w:basedOn w:val="6"/>
    <w:qFormat/>
    <w:uiPriority w:val="0"/>
    <w:pPr>
      <w:tabs>
        <w:tab w:val="left" w:pos="2160"/>
        <w:tab w:val="left" w:pos="4500"/>
      </w:tabs>
      <w:snapToGrid w:val="0"/>
      <w:spacing w:line="440" w:lineRule="atLeast"/>
      <w:ind w:left="2160" w:hanging="420"/>
    </w:pPr>
    <w:rPr>
      <w:rFonts w:ascii="Arial" w:hAnsi="Arial" w:cs="宋体"/>
      <w:b w:val="0"/>
      <w:bCs w:val="0"/>
      <w:szCs w:val="20"/>
    </w:rPr>
  </w:style>
  <w:style w:type="paragraph" w:customStyle="1" w:styleId="299">
    <w:name w:val="样式 标题 4标4 + (符号) 宋体"/>
    <w:basedOn w:val="6"/>
    <w:qFormat/>
    <w:uiPriority w:val="0"/>
    <w:pPr>
      <w:tabs>
        <w:tab w:val="left" w:pos="360"/>
      </w:tabs>
      <w:spacing w:line="336" w:lineRule="auto"/>
      <w:ind w:left="245" w:hanging="245"/>
      <w:jc w:val="left"/>
    </w:pPr>
    <w:rPr>
      <w:rFonts w:ascii="宋体" w:eastAsia="宋体" w:cs="Times New Roman"/>
      <w:b w:val="0"/>
      <w:bCs w:val="0"/>
      <w:kern w:val="0"/>
      <w:sz w:val="28"/>
    </w:rPr>
  </w:style>
  <w:style w:type="paragraph" w:customStyle="1" w:styleId="300">
    <w:name w:val="列表项目符号1."/>
    <w:basedOn w:val="1"/>
    <w:qFormat/>
    <w:uiPriority w:val="0"/>
    <w:pPr>
      <w:keepNext/>
      <w:adjustRightInd w:val="0"/>
      <w:spacing w:line="312" w:lineRule="atLeast"/>
      <w:ind w:left="425" w:hanging="425" w:firstLineChars="0"/>
    </w:pPr>
    <w:rPr>
      <w:rFonts w:cs="Times New Roman"/>
      <w:kern w:val="0"/>
      <w:sz w:val="21"/>
    </w:rPr>
  </w:style>
  <w:style w:type="paragraph" w:customStyle="1" w:styleId="301">
    <w:name w:val="二级条标题"/>
    <w:basedOn w:val="252"/>
    <w:next w:val="1"/>
    <w:qFormat/>
    <w:uiPriority w:val="0"/>
    <w:pPr>
      <w:tabs>
        <w:tab w:val="left" w:pos="360"/>
        <w:tab w:val="clear" w:pos="1740"/>
      </w:tabs>
      <w:ind w:left="0" w:firstLine="0"/>
      <w:outlineLvl w:val="3"/>
    </w:pPr>
  </w:style>
  <w:style w:type="paragraph" w:customStyle="1" w:styleId="302">
    <w:name w:val="三"/>
    <w:basedOn w:val="1"/>
    <w:qFormat/>
    <w:uiPriority w:val="0"/>
    <w:pPr>
      <w:spacing w:line="240" w:lineRule="auto"/>
      <w:ind w:firstLine="0" w:firstLineChars="0"/>
    </w:pPr>
    <w:rPr>
      <w:rFonts w:ascii="宋体" w:cs="Times New Roman"/>
      <w:szCs w:val="20"/>
    </w:rPr>
  </w:style>
  <w:style w:type="paragraph" w:customStyle="1" w:styleId="303">
    <w:name w:val="表内5中2"/>
    <w:basedOn w:val="1"/>
    <w:semiHidden/>
    <w:qFormat/>
    <w:uiPriority w:val="0"/>
    <w:pPr>
      <w:adjustRightInd w:val="0"/>
      <w:snapToGrid w:val="0"/>
      <w:spacing w:line="240" w:lineRule="auto"/>
      <w:ind w:firstLine="0" w:firstLineChars="0"/>
      <w:jc w:val="center"/>
    </w:pPr>
    <w:rPr>
      <w:rFonts w:ascii="宋体" w:cs="Times New Roman"/>
      <w:color w:val="000000"/>
      <w:sz w:val="21"/>
    </w:rPr>
  </w:style>
  <w:style w:type="paragraph" w:customStyle="1" w:styleId="304">
    <w:name w:val="首页页眉样式"/>
    <w:basedOn w:val="1"/>
    <w:semiHidden/>
    <w:qFormat/>
    <w:uiPriority w:val="0"/>
    <w:pPr>
      <w:spacing w:line="320" w:lineRule="exact"/>
      <w:ind w:firstLine="0" w:firstLineChars="0"/>
      <w:jc w:val="center"/>
    </w:pPr>
    <w:rPr>
      <w:rFonts w:ascii="宋体" w:hAnsi="宋体" w:cs="Times New Roman"/>
      <w:bCs/>
      <w:color w:val="000000"/>
      <w:sz w:val="21"/>
      <w:szCs w:val="24"/>
    </w:rPr>
  </w:style>
  <w:style w:type="paragraph" w:customStyle="1" w:styleId="305">
    <w:name w:val="xl36"/>
    <w:basedOn w:val="1"/>
    <w:semiHidden/>
    <w:qFormat/>
    <w:uiPriority w:val="0"/>
    <w:pPr>
      <w:widowControl/>
      <w:pBdr>
        <w:top w:val="single" w:color="auto" w:sz="4" w:space="0"/>
        <w:left w:val="single" w:color="auto" w:sz="4" w:space="0"/>
        <w:bottom w:val="single" w:color="auto" w:sz="4" w:space="0"/>
        <w:right w:val="single" w:color="auto" w:sz="4" w:space="0"/>
      </w:pBdr>
      <w:snapToGrid w:val="0"/>
      <w:spacing w:before="100" w:beforeAutospacing="1" w:line="240" w:lineRule="auto"/>
      <w:ind w:firstLine="0" w:firstLineChars="0"/>
      <w:jc w:val="right"/>
    </w:pPr>
    <w:rPr>
      <w:rFonts w:ascii="Arial" w:hAnsi="Arial" w:cs="Times New Roman"/>
      <w:color w:val="FF0000"/>
      <w:kern w:val="0"/>
      <w:sz w:val="22"/>
    </w:rPr>
  </w:style>
  <w:style w:type="paragraph" w:customStyle="1" w:styleId="306">
    <w:name w:val="一级标题"/>
    <w:basedOn w:val="1"/>
    <w:qFormat/>
    <w:uiPriority w:val="0"/>
    <w:pPr>
      <w:spacing w:line="440" w:lineRule="exact"/>
      <w:ind w:firstLine="539"/>
    </w:pPr>
    <w:rPr>
      <w:rFonts w:eastAsia="ˎ̥" w:cs="Times New Roman"/>
      <w:kern w:val="0"/>
      <w:sz w:val="28"/>
      <w:szCs w:val="24"/>
    </w:rPr>
  </w:style>
  <w:style w:type="paragraph" w:customStyle="1" w:styleId="307">
    <w:name w:val="档案号"/>
    <w:basedOn w:val="57"/>
    <w:qFormat/>
    <w:uiPriority w:val="0"/>
    <w:pPr>
      <w:pBdr>
        <w:bottom w:val="none" w:color="auto" w:sz="0" w:space="0"/>
      </w:pBdr>
      <w:tabs>
        <w:tab w:val="center" w:pos="4320"/>
        <w:tab w:val="right" w:pos="8640"/>
        <w:tab w:val="clear" w:pos="4153"/>
        <w:tab w:val="clear" w:pos="8306"/>
      </w:tabs>
      <w:adjustRightInd w:val="0"/>
      <w:snapToGrid/>
      <w:spacing w:line="460" w:lineRule="exact"/>
      <w:ind w:firstLine="0" w:firstLineChars="0"/>
      <w:jc w:val="right"/>
    </w:pPr>
    <w:rPr>
      <w:rFonts w:ascii="宋体" w:hAnsi="Arial" w:cs="Times New Roman"/>
      <w:spacing w:val="3"/>
      <w:kern w:val="24"/>
      <w:sz w:val="24"/>
      <w:szCs w:val="20"/>
    </w:rPr>
  </w:style>
  <w:style w:type="paragraph" w:customStyle="1" w:styleId="308">
    <w:name w:val="标准"/>
    <w:basedOn w:val="1"/>
    <w:qFormat/>
    <w:uiPriority w:val="0"/>
    <w:pPr>
      <w:adjustRightInd w:val="0"/>
      <w:spacing w:line="240" w:lineRule="atLeast"/>
      <w:ind w:firstLine="0" w:firstLineChars="0"/>
    </w:pPr>
    <w:rPr>
      <w:rFonts w:ascii="仿宋_GB2312" w:eastAsia="仿宋_GB2312" w:cs="Times New Roman"/>
      <w:kern w:val="0"/>
      <w:szCs w:val="20"/>
    </w:rPr>
  </w:style>
  <w:style w:type="paragraph" w:customStyle="1" w:styleId="309">
    <w:name w:val="xl75"/>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310">
    <w:name w:val="4级样式"/>
    <w:basedOn w:val="6"/>
    <w:qFormat/>
    <w:uiPriority w:val="0"/>
    <w:pPr>
      <w:tabs>
        <w:tab w:val="left" w:pos="1080"/>
      </w:tabs>
      <w:spacing w:before="120" w:after="120"/>
      <w:ind w:left="1080" w:hanging="1080"/>
    </w:pPr>
    <w:rPr>
      <w:rFonts w:cs="宋体"/>
      <w:b w:val="0"/>
      <w:bCs w:val="0"/>
      <w:szCs w:val="24"/>
    </w:rPr>
  </w:style>
  <w:style w:type="paragraph" w:customStyle="1" w:styleId="311">
    <w:name w:val="updatebodytest"/>
    <w:basedOn w:val="1"/>
    <w:qFormat/>
    <w:uiPriority w:val="0"/>
    <w:pPr>
      <w:widowControl/>
      <w:spacing w:before="100" w:beforeAutospacing="1" w:after="100" w:afterAutospacing="1" w:line="240" w:lineRule="auto"/>
      <w:ind w:firstLine="0" w:firstLineChars="0"/>
      <w:jc w:val="left"/>
    </w:pPr>
    <w:rPr>
      <w:rFonts w:ascii="Arial" w:hAnsi="Arial" w:cs="Arial"/>
      <w:kern w:val="0"/>
      <w:sz w:val="14"/>
      <w:szCs w:val="14"/>
    </w:rPr>
  </w:style>
  <w:style w:type="paragraph" w:customStyle="1" w:styleId="312">
    <w:name w:val="项目点符号"/>
    <w:basedOn w:val="1"/>
    <w:semiHidden/>
    <w:qFormat/>
    <w:uiPriority w:val="0"/>
    <w:pPr>
      <w:snapToGrid w:val="0"/>
      <w:spacing w:line="336" w:lineRule="auto"/>
      <w:ind w:firstLine="504"/>
    </w:pPr>
    <w:rPr>
      <w:rFonts w:cs="Times New Roman"/>
      <w:color w:val="000000"/>
      <w:spacing w:val="6"/>
      <w:kern w:val="0"/>
      <w:szCs w:val="24"/>
    </w:rPr>
  </w:style>
  <w:style w:type="paragraph" w:customStyle="1" w:styleId="313">
    <w:name w:val="mulu3"/>
    <w:basedOn w:val="34"/>
    <w:semiHidden/>
    <w:qFormat/>
    <w:uiPriority w:val="0"/>
    <w:pPr>
      <w:spacing w:beforeLines="50" w:after="0"/>
      <w:ind w:firstLine="0" w:firstLineChars="0"/>
    </w:pPr>
    <w:rPr>
      <w:rFonts w:hAnsi="宋体" w:cs="Times New Roman"/>
      <w:b/>
      <w:sz w:val="21"/>
      <w:szCs w:val="20"/>
    </w:rPr>
  </w:style>
  <w:style w:type="paragraph" w:customStyle="1" w:styleId="314">
    <w:name w:val="a样式 普通(网站) + 行距: 最小值 24 磅"/>
    <w:basedOn w:val="81"/>
    <w:qFormat/>
    <w:uiPriority w:val="0"/>
    <w:pPr>
      <w:spacing w:line="480" w:lineRule="atLeast"/>
    </w:pPr>
    <w:rPr>
      <w:rFonts w:hint="eastAsia" w:eastAsia="Times New Roman" w:cs="Arial Unicode MS"/>
      <w:kern w:val="2"/>
      <w:szCs w:val="22"/>
    </w:rPr>
  </w:style>
  <w:style w:type="paragraph" w:customStyle="1" w:styleId="315">
    <w:name w:val="表内五号两端对齐"/>
    <w:basedOn w:val="1"/>
    <w:qFormat/>
    <w:uiPriority w:val="0"/>
    <w:pPr>
      <w:ind w:firstLine="720" w:firstLineChars="300"/>
    </w:pPr>
    <w:rPr>
      <w:rFonts w:ascii="Arial" w:hAnsi="Arial" w:cs="Arial"/>
      <w:szCs w:val="24"/>
    </w:rPr>
  </w:style>
  <w:style w:type="paragraph" w:customStyle="1" w:styleId="316">
    <w:name w:val="xl90"/>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17">
    <w:name w:val="正文（小四）"/>
    <w:basedOn w:val="1"/>
    <w:semiHidden/>
    <w:qFormat/>
    <w:uiPriority w:val="0"/>
    <w:pPr>
      <w:tabs>
        <w:tab w:val="left" w:pos="720"/>
      </w:tabs>
      <w:spacing w:line="360" w:lineRule="exact"/>
      <w:ind w:firstLine="480" w:firstLineChars="0"/>
    </w:pPr>
    <w:rPr>
      <w:rFonts w:ascii="宋体" w:hAnsi="宋体" w:cs="Times New Roman"/>
      <w:color w:val="000000"/>
      <w:sz w:val="21"/>
      <w:szCs w:val="28"/>
    </w:rPr>
  </w:style>
  <w:style w:type="paragraph" w:customStyle="1" w:styleId="318">
    <w:name w:val="Bullet 1"/>
    <w:basedOn w:val="1"/>
    <w:next w:val="1"/>
    <w:semiHidden/>
    <w:qFormat/>
    <w:uiPriority w:val="0"/>
    <w:pPr>
      <w:widowControl/>
      <w:tabs>
        <w:tab w:val="left" w:pos="1170"/>
        <w:tab w:val="left" w:pos="1440"/>
      </w:tabs>
      <w:spacing w:line="240" w:lineRule="auto"/>
      <w:ind w:left="2160" w:hanging="360" w:firstLineChars="0"/>
      <w:jc w:val="left"/>
    </w:pPr>
    <w:rPr>
      <w:rFonts w:ascii="Arial" w:hAnsi="Arial" w:cs="Times New Roman"/>
      <w:kern w:val="0"/>
      <w:sz w:val="20"/>
      <w:szCs w:val="20"/>
    </w:rPr>
  </w:style>
  <w:style w:type="paragraph" w:customStyle="1" w:styleId="319">
    <w:name w:val="说明1"/>
    <w:basedOn w:val="1"/>
    <w:qFormat/>
    <w:uiPriority w:val="0"/>
    <w:pPr>
      <w:keepLines/>
      <w:widowControl/>
      <w:suppressLineNumbers/>
      <w:suppressAutoHyphens/>
      <w:spacing w:before="60" w:after="60" w:line="320" w:lineRule="atLeast"/>
      <w:ind w:firstLine="0" w:firstLineChars="0"/>
    </w:pPr>
    <w:rPr>
      <w:rFonts w:cs="Times New Roman"/>
      <w:kern w:val="21"/>
      <w:sz w:val="21"/>
      <w:szCs w:val="20"/>
    </w:rPr>
  </w:style>
  <w:style w:type="paragraph" w:customStyle="1" w:styleId="320">
    <w:name w:val="首选正文"/>
    <w:basedOn w:val="1"/>
    <w:qFormat/>
    <w:uiPriority w:val="0"/>
    <w:pPr>
      <w:widowControl/>
      <w:spacing w:line="460" w:lineRule="exact"/>
      <w:ind w:firstLine="480"/>
      <w:jc w:val="left"/>
    </w:pPr>
    <w:rPr>
      <w:rFonts w:cs="宋体"/>
      <w:kern w:val="0"/>
      <w:szCs w:val="24"/>
    </w:rPr>
  </w:style>
  <w:style w:type="character" w:customStyle="1" w:styleId="321">
    <w:name w:val="新标题2x Char"/>
    <w:basedOn w:val="133"/>
    <w:link w:val="322"/>
    <w:qFormat/>
    <w:locked/>
    <w:uiPriority w:val="0"/>
    <w:rPr>
      <w:rFonts w:ascii="黑体" w:hAnsi="Cambria" w:eastAsia="黑体"/>
      <w:bCs/>
      <w:kern w:val="44"/>
      <w:sz w:val="28"/>
      <w:szCs w:val="44"/>
    </w:rPr>
  </w:style>
  <w:style w:type="paragraph" w:customStyle="1" w:styleId="322">
    <w:name w:val="标题2x"/>
    <w:basedOn w:val="1"/>
    <w:link w:val="321"/>
    <w:qFormat/>
    <w:uiPriority w:val="0"/>
    <w:pPr>
      <w:keepNext/>
      <w:keepLines/>
      <w:spacing w:before="120"/>
      <w:ind w:firstLine="0" w:firstLineChars="0"/>
      <w:outlineLvl w:val="1"/>
    </w:pPr>
    <w:rPr>
      <w:rFonts w:ascii="黑体" w:hAnsi="Cambria" w:eastAsia="黑体"/>
      <w:bCs/>
      <w:kern w:val="44"/>
      <w:sz w:val="28"/>
      <w:szCs w:val="44"/>
    </w:rPr>
  </w:style>
  <w:style w:type="paragraph" w:customStyle="1" w:styleId="323">
    <w:name w:val="样式 热电厂正文 + 首行缩进:  2 字符 Char"/>
    <w:basedOn w:val="1"/>
    <w:qFormat/>
    <w:uiPriority w:val="0"/>
    <w:pPr>
      <w:spacing w:line="480" w:lineRule="exact"/>
      <w:ind w:firstLine="480"/>
    </w:pPr>
    <w:rPr>
      <w:rFonts w:cs="宋体"/>
      <w:szCs w:val="24"/>
    </w:rPr>
  </w:style>
  <w:style w:type="paragraph" w:customStyle="1" w:styleId="324">
    <w:name w:val="Items"/>
    <w:basedOn w:val="1"/>
    <w:qFormat/>
    <w:uiPriority w:val="0"/>
    <w:pPr>
      <w:tabs>
        <w:tab w:val="left" w:pos="992"/>
        <w:tab w:val="left" w:pos="1553"/>
      </w:tabs>
      <w:spacing w:before="10" w:after="20" w:line="460" w:lineRule="atLeast"/>
      <w:ind w:left="992" w:hanging="425" w:firstLineChars="0"/>
    </w:pPr>
    <w:rPr>
      <w:rFonts w:ascii="Tahoma" w:hAnsi="Tahoma" w:eastAsia="华文中宋" w:cs="Times New Roman"/>
      <w:sz w:val="28"/>
      <w:szCs w:val="20"/>
    </w:rPr>
  </w:style>
  <w:style w:type="paragraph" w:customStyle="1" w:styleId="325">
    <w:name w:val="1、宋体"/>
    <w:basedOn w:val="1"/>
    <w:qFormat/>
    <w:uiPriority w:val="0"/>
    <w:pPr>
      <w:spacing w:line="240" w:lineRule="auto"/>
      <w:outlineLvl w:val="3"/>
    </w:pPr>
    <w:rPr>
      <w:rFonts w:ascii="宋体" w:hAnsi="宋体" w:cs="Times New Roman"/>
      <w:b/>
      <w:kern w:val="28"/>
      <w:sz w:val="28"/>
      <w:szCs w:val="20"/>
    </w:rPr>
  </w:style>
  <w:style w:type="paragraph" w:customStyle="1" w:styleId="326">
    <w:name w:val="pic-info"/>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27">
    <w:name w:val="xl97"/>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328">
    <w:name w:val="表内格式"/>
    <w:basedOn w:val="1"/>
    <w:semiHidden/>
    <w:qFormat/>
    <w:uiPriority w:val="0"/>
    <w:pPr>
      <w:spacing w:line="280" w:lineRule="exact"/>
      <w:ind w:firstLine="0" w:firstLineChars="0"/>
      <w:jc w:val="center"/>
    </w:pPr>
    <w:rPr>
      <w:rFonts w:ascii="宋体" w:cs="Times New Roman"/>
      <w:sz w:val="21"/>
      <w:szCs w:val="20"/>
    </w:rPr>
  </w:style>
  <w:style w:type="paragraph" w:customStyle="1" w:styleId="329">
    <w:name w:val="Char Char Char Char Char Char Char Char Char"/>
    <w:basedOn w:val="1"/>
    <w:semiHidden/>
    <w:qFormat/>
    <w:uiPriority w:val="0"/>
    <w:pPr>
      <w:tabs>
        <w:tab w:val="left" w:pos="1021"/>
      </w:tabs>
      <w:spacing w:line="240" w:lineRule="auto"/>
      <w:ind w:firstLine="0" w:firstLineChars="0"/>
      <w:jc w:val="left"/>
    </w:pPr>
    <w:rPr>
      <w:rFonts w:cs="Times New Roman"/>
      <w:szCs w:val="20"/>
    </w:rPr>
  </w:style>
  <w:style w:type="paragraph" w:customStyle="1" w:styleId="330">
    <w:name w:val="4 Char1"/>
    <w:basedOn w:val="1"/>
    <w:qFormat/>
    <w:uiPriority w:val="0"/>
    <w:pPr>
      <w:spacing w:line="240" w:lineRule="auto"/>
      <w:ind w:firstLine="0" w:firstLineChars="0"/>
    </w:pPr>
    <w:rPr>
      <w:rFonts w:cs="Times New Roman"/>
      <w:sz w:val="21"/>
      <w:szCs w:val="20"/>
    </w:rPr>
  </w:style>
  <w:style w:type="paragraph" w:customStyle="1" w:styleId="331">
    <w:name w:val="xl96"/>
    <w:basedOn w:val="1"/>
    <w:semiHidden/>
    <w:qFormat/>
    <w:uiPriority w:val="0"/>
    <w:pPr>
      <w:widowControl/>
      <w:pBdr>
        <w:top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character" w:customStyle="1" w:styleId="332">
    <w:name w:val="标题样式2 Char"/>
    <w:basedOn w:val="133"/>
    <w:link w:val="333"/>
    <w:qFormat/>
    <w:locked/>
    <w:uiPriority w:val="0"/>
    <w:rPr>
      <w:sz w:val="28"/>
    </w:rPr>
  </w:style>
  <w:style w:type="paragraph" w:customStyle="1" w:styleId="333">
    <w:name w:val="标题样式2"/>
    <w:basedOn w:val="1"/>
    <w:link w:val="332"/>
    <w:qFormat/>
    <w:uiPriority w:val="0"/>
    <w:pPr>
      <w:adjustRightInd w:val="0"/>
      <w:spacing w:line="480" w:lineRule="atLeast"/>
      <w:ind w:firstLine="0" w:firstLineChars="0"/>
      <w:jc w:val="left"/>
    </w:pPr>
    <w:rPr>
      <w:rFonts w:asciiTheme="minorHAnsi" w:hAnsiTheme="minorHAnsi" w:eastAsiaTheme="minorEastAsia"/>
      <w:sz w:val="28"/>
    </w:rPr>
  </w:style>
  <w:style w:type="paragraph" w:customStyle="1" w:styleId="334">
    <w:name w:val="样式 样式 样式 样式 宋体 小四 首行缩进:  0.74 厘米 行距: 最小值 0 磅 + 左侧:  2 字符 + 左侧:  ..."/>
    <w:basedOn w:val="1"/>
    <w:qFormat/>
    <w:uiPriority w:val="0"/>
    <w:pPr>
      <w:ind w:left="400" w:leftChars="400" w:firstLine="567"/>
    </w:pPr>
    <w:rPr>
      <w:rFonts w:ascii="宋体" w:hAnsi="宋体" w:cs="Times New Roman"/>
      <w:szCs w:val="20"/>
    </w:rPr>
  </w:style>
  <w:style w:type="paragraph" w:customStyle="1" w:styleId="335">
    <w:name w:val="标题3－h"/>
    <w:basedOn w:val="1"/>
    <w:qFormat/>
    <w:uiPriority w:val="0"/>
    <w:pPr>
      <w:keepNext/>
      <w:ind w:firstLine="0" w:firstLineChars="0"/>
    </w:pPr>
    <w:rPr>
      <w:rFonts w:ascii="Arial" w:hAnsi="Arial" w:cs="Times New Roman"/>
      <w:bCs/>
      <w:szCs w:val="20"/>
      <w:lang w:bidi="he-IL"/>
    </w:rPr>
  </w:style>
  <w:style w:type="paragraph" w:customStyle="1" w:styleId="336">
    <w:name w:val="样式 小四 黑色 首行缩进:  0.74 厘米 行距: 固定值 20 磅"/>
    <w:basedOn w:val="1"/>
    <w:qFormat/>
    <w:uiPriority w:val="0"/>
    <w:pPr>
      <w:spacing w:line="440" w:lineRule="exact"/>
      <w:ind w:firstLine="454" w:firstLineChars="0"/>
    </w:pPr>
    <w:rPr>
      <w:rFonts w:cs="宋体"/>
      <w:color w:val="000000"/>
      <w:szCs w:val="20"/>
    </w:rPr>
  </w:style>
  <w:style w:type="paragraph" w:customStyle="1" w:styleId="337">
    <w:name w:val="样式 (符号) 宋体 行距: 最小值 12 磅"/>
    <w:basedOn w:val="1"/>
    <w:semiHidden/>
    <w:qFormat/>
    <w:uiPriority w:val="0"/>
    <w:pPr>
      <w:ind w:firstLine="0" w:firstLineChars="0"/>
    </w:pPr>
    <w:rPr>
      <w:rFonts w:hAnsi="宋体" w:cs="宋体"/>
      <w:szCs w:val="20"/>
    </w:rPr>
  </w:style>
  <w:style w:type="paragraph" w:customStyle="1" w:styleId="338">
    <w:name w:val="xl95"/>
    <w:basedOn w:val="1"/>
    <w:semiHidden/>
    <w:qFormat/>
    <w:uiPriority w:val="0"/>
    <w:pPr>
      <w:widowControl/>
      <w:pBdr>
        <w:lef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339">
    <w:name w:val="题目"/>
    <w:basedOn w:val="3"/>
    <w:next w:val="1"/>
    <w:qFormat/>
    <w:uiPriority w:val="0"/>
    <w:pPr>
      <w:pageBreakBefore/>
      <w:widowControl/>
      <w:spacing w:beforeAutospacing="1" w:afterAutospacing="1" w:line="440" w:lineRule="exact"/>
      <w:ind w:left="100" w:leftChars="100" w:right="100" w:rightChars="100"/>
      <w:jc w:val="center"/>
    </w:pPr>
    <w:rPr>
      <w:b w:val="0"/>
      <w:bCs w:val="0"/>
      <w:sz w:val="30"/>
      <w:szCs w:val="30"/>
    </w:rPr>
  </w:style>
  <w:style w:type="paragraph" w:customStyle="1" w:styleId="340">
    <w:name w:val="样式 样式2 + 首行缩进:  2 字符"/>
    <w:basedOn w:val="1"/>
    <w:qFormat/>
    <w:uiPriority w:val="0"/>
    <w:pPr>
      <w:adjustRightInd w:val="0"/>
      <w:snapToGrid w:val="0"/>
      <w:ind w:firstLine="0" w:firstLineChars="0"/>
    </w:pPr>
    <w:rPr>
      <w:rFonts w:ascii="宋体" w:hAnsi="宋体" w:cs="宋体"/>
      <w:b/>
      <w:sz w:val="28"/>
      <w:szCs w:val="28"/>
    </w:rPr>
  </w:style>
  <w:style w:type="paragraph" w:customStyle="1" w:styleId="341">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Times New Roman"/>
      <w:kern w:val="0"/>
      <w:szCs w:val="24"/>
    </w:rPr>
  </w:style>
  <w:style w:type="paragraph" w:customStyle="1" w:styleId="342">
    <w:name w:val="Char6 Char Char Char Char Char Char Char Char Char1"/>
    <w:basedOn w:val="1"/>
    <w:qFormat/>
    <w:uiPriority w:val="0"/>
    <w:pPr>
      <w:spacing w:line="240" w:lineRule="auto"/>
      <w:ind w:firstLine="0" w:firstLineChars="0"/>
    </w:pPr>
    <w:rPr>
      <w:rFonts w:ascii="宋体" w:hAnsi="宋体" w:cs="Times New Roman"/>
      <w:color w:val="000000"/>
      <w:sz w:val="28"/>
      <w:szCs w:val="20"/>
    </w:rPr>
  </w:style>
  <w:style w:type="paragraph" w:customStyle="1" w:styleId="343">
    <w:name w:val="正文（首行缩进两字） Char Char Char Char1 Char11"/>
    <w:basedOn w:val="1"/>
    <w:next w:val="21"/>
    <w:qFormat/>
    <w:uiPriority w:val="0"/>
    <w:pPr>
      <w:spacing w:line="440" w:lineRule="exact"/>
    </w:pPr>
    <w:rPr>
      <w:rFonts w:ascii="Arial" w:hAnsi="Arial" w:cs="Times New Roman"/>
      <w:szCs w:val="24"/>
    </w:rPr>
  </w:style>
  <w:style w:type="paragraph" w:customStyle="1" w:styleId="344">
    <w:name w:val="1 Char Char Char Char Char Char Char Char Char Char Char Char Char Char Char Char"/>
    <w:basedOn w:val="1"/>
    <w:semiHidden/>
    <w:qFormat/>
    <w:uiPriority w:val="0"/>
    <w:pPr>
      <w:spacing w:line="240" w:lineRule="auto"/>
      <w:ind w:firstLine="0" w:firstLineChars="0"/>
    </w:pPr>
    <w:rPr>
      <w:rFonts w:cs="Times New Roman"/>
      <w:sz w:val="21"/>
      <w:szCs w:val="24"/>
    </w:rPr>
  </w:style>
  <w:style w:type="paragraph" w:customStyle="1" w:styleId="345">
    <w:name w:val="说明-表格-注"/>
    <w:basedOn w:val="1"/>
    <w:qFormat/>
    <w:uiPriority w:val="0"/>
    <w:pPr>
      <w:spacing w:line="0" w:lineRule="atLeast"/>
      <w:ind w:left="454" w:leftChars="189" w:right="374" w:firstLine="13" w:firstLineChars="7"/>
    </w:pPr>
    <w:rPr>
      <w:rFonts w:hAnsi="宋体" w:cs="Times New Roman"/>
      <w:sz w:val="18"/>
      <w:szCs w:val="20"/>
    </w:rPr>
  </w:style>
  <w:style w:type="character" w:customStyle="1" w:styleId="346">
    <w:name w:val="杨2 Char"/>
    <w:basedOn w:val="133"/>
    <w:link w:val="347"/>
    <w:semiHidden/>
    <w:qFormat/>
    <w:locked/>
    <w:uiPriority w:val="0"/>
    <w:rPr>
      <w:rFonts w:ascii="黑体" w:hAnsi="Arial" w:eastAsia="黑体" w:cs="Arial"/>
      <w:b/>
      <w:bCs/>
      <w:sz w:val="24"/>
      <w:szCs w:val="24"/>
    </w:rPr>
  </w:style>
  <w:style w:type="paragraph" w:customStyle="1" w:styleId="347">
    <w:name w:val="杨2"/>
    <w:basedOn w:val="84"/>
    <w:next w:val="1"/>
    <w:link w:val="346"/>
    <w:semiHidden/>
    <w:qFormat/>
    <w:uiPriority w:val="0"/>
    <w:pPr>
      <w:keepNext/>
      <w:keepLines/>
      <w:spacing w:before="120" w:after="0"/>
      <w:ind w:left="0" w:firstLine="0"/>
      <w:jc w:val="both"/>
      <w:outlineLvl w:val="1"/>
    </w:pPr>
    <w:rPr>
      <w:rFonts w:ascii="黑体" w:eastAsia="黑体" w:cs="Arial"/>
      <w:bCs/>
      <w:sz w:val="24"/>
      <w:szCs w:val="24"/>
    </w:rPr>
  </w:style>
  <w:style w:type="paragraph" w:customStyle="1" w:styleId="348">
    <w:name w:val="reader-word-layer reader-word-s1-18"/>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49">
    <w:name w:val="样式 样式 正文缩进正文（首行缩进两字）111 Char Char111 Char Char Char + 黑色 + 左侧:  ..."/>
    <w:basedOn w:val="1"/>
    <w:next w:val="1"/>
    <w:semiHidden/>
    <w:qFormat/>
    <w:uiPriority w:val="0"/>
    <w:pPr>
      <w:tabs>
        <w:tab w:val="left" w:pos="1117"/>
      </w:tabs>
      <w:spacing w:line="240" w:lineRule="auto"/>
      <w:ind w:left="1117" w:hanging="340" w:firstLineChars="0"/>
    </w:pPr>
    <w:rPr>
      <w:rFonts w:cs="Times New Roman"/>
      <w:sz w:val="21"/>
      <w:szCs w:val="20"/>
    </w:rPr>
  </w:style>
  <w:style w:type="paragraph" w:customStyle="1" w:styleId="350">
    <w:name w:val="xl92"/>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351">
    <w:name w:val="CM3"/>
    <w:basedOn w:val="1"/>
    <w:next w:val="1"/>
    <w:semiHidden/>
    <w:qFormat/>
    <w:uiPriority w:val="0"/>
    <w:pPr>
      <w:autoSpaceDE w:val="0"/>
      <w:autoSpaceDN w:val="0"/>
      <w:adjustRightInd w:val="0"/>
      <w:spacing w:line="463" w:lineRule="atLeast"/>
      <w:ind w:firstLine="0" w:firstLineChars="0"/>
      <w:jc w:val="left"/>
    </w:pPr>
    <w:rPr>
      <w:rFonts w:cs="Times New Roman"/>
      <w:kern w:val="0"/>
      <w:szCs w:val="24"/>
    </w:rPr>
  </w:style>
  <w:style w:type="paragraph" w:customStyle="1" w:styleId="352">
    <w:name w:val="框图"/>
    <w:basedOn w:val="1"/>
    <w:qFormat/>
    <w:uiPriority w:val="0"/>
    <w:pPr>
      <w:tabs>
        <w:tab w:val="left" w:pos="1350"/>
      </w:tabs>
      <w:autoSpaceDE w:val="0"/>
      <w:autoSpaceDN w:val="0"/>
      <w:adjustRightInd w:val="0"/>
      <w:snapToGrid w:val="0"/>
      <w:spacing w:line="300" w:lineRule="auto"/>
      <w:ind w:firstLine="0" w:firstLineChars="0"/>
      <w:jc w:val="center"/>
    </w:pPr>
    <w:rPr>
      <w:rFonts w:ascii="仿宋_GB2312" w:cs="Times New Roman"/>
      <w:sz w:val="21"/>
      <w:szCs w:val="20"/>
    </w:rPr>
  </w:style>
  <w:style w:type="paragraph" w:customStyle="1" w:styleId="353">
    <w:name w:val="条(二级)"/>
    <w:basedOn w:val="4"/>
    <w:next w:val="354"/>
    <w:qFormat/>
    <w:uiPriority w:val="0"/>
    <w:pPr>
      <w:tabs>
        <w:tab w:val="left" w:pos="927"/>
        <w:tab w:val="left" w:pos="1134"/>
      </w:tabs>
      <w:adjustRightInd w:val="0"/>
      <w:spacing w:line="460" w:lineRule="exact"/>
      <w:jc w:val="left"/>
      <w:outlineLvl w:val="9"/>
    </w:pPr>
    <w:rPr>
      <w:rFonts w:ascii="宋体" w:hAnsi="Arial" w:eastAsia="宋体"/>
      <w:bCs w:val="0"/>
      <w:spacing w:val="3"/>
      <w:kern w:val="24"/>
      <w:sz w:val="24"/>
      <w:szCs w:val="20"/>
    </w:rPr>
  </w:style>
  <w:style w:type="paragraph" w:customStyle="1" w:styleId="354">
    <w:name w:val="条(三级)"/>
    <w:basedOn w:val="353"/>
    <w:next w:val="1"/>
    <w:qFormat/>
    <w:uiPriority w:val="0"/>
    <w:pPr>
      <w:tabs>
        <w:tab w:val="clear" w:pos="927"/>
        <w:tab w:val="clear" w:pos="1134"/>
      </w:tabs>
    </w:pPr>
    <w:rPr>
      <w:b w:val="0"/>
    </w:rPr>
  </w:style>
  <w:style w:type="paragraph" w:customStyle="1" w:styleId="355">
    <w:name w:val="章(一级)"/>
    <w:basedOn w:val="3"/>
    <w:next w:val="353"/>
    <w:qFormat/>
    <w:uiPriority w:val="0"/>
    <w:pPr>
      <w:tabs>
        <w:tab w:val="left" w:pos="1134"/>
      </w:tabs>
      <w:adjustRightInd w:val="0"/>
      <w:spacing w:line="460" w:lineRule="exact"/>
      <w:jc w:val="left"/>
      <w:outlineLvl w:val="9"/>
    </w:pPr>
    <w:rPr>
      <w:rFonts w:ascii="宋体" w:hAnsi="Arial" w:eastAsia="宋体"/>
      <w:bCs w:val="0"/>
      <w:kern w:val="24"/>
      <w:sz w:val="24"/>
      <w:szCs w:val="20"/>
    </w:rPr>
  </w:style>
  <w:style w:type="paragraph" w:customStyle="1" w:styleId="356">
    <w:name w:val="样式 标题 22级样式 + 段前: 0.3 行 段后: 0.3 行1"/>
    <w:basedOn w:val="4"/>
    <w:qFormat/>
    <w:uiPriority w:val="0"/>
    <w:pPr>
      <w:tabs>
        <w:tab w:val="left" w:pos="927"/>
        <w:tab w:val="left" w:pos="1134"/>
      </w:tabs>
      <w:adjustRightInd w:val="0"/>
      <w:spacing w:beforeLines="30" w:afterLines="30"/>
      <w:jc w:val="left"/>
    </w:pPr>
    <w:rPr>
      <w:rFonts w:cs="宋体"/>
      <w:b w:val="0"/>
      <w:bCs w:val="0"/>
      <w:color w:val="003300"/>
      <w:sz w:val="28"/>
      <w:szCs w:val="20"/>
    </w:rPr>
  </w:style>
  <w:style w:type="paragraph" w:customStyle="1" w:styleId="357">
    <w:name w:val="xl53"/>
    <w:basedOn w:val="1"/>
    <w:semiHidden/>
    <w:qFormat/>
    <w:uiPriority w:val="0"/>
    <w:pPr>
      <w:widowControl/>
      <w:pBdr>
        <w:bottom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58">
    <w:name w:val="1标题1级"/>
    <w:basedOn w:val="1"/>
    <w:qFormat/>
    <w:uiPriority w:val="0"/>
    <w:pPr>
      <w:keepNext/>
      <w:snapToGrid w:val="0"/>
      <w:spacing w:beforeLines="100" w:afterLines="100" w:line="440" w:lineRule="exact"/>
      <w:outlineLvl w:val="0"/>
    </w:pPr>
    <w:rPr>
      <w:rFonts w:eastAsia="黑体" w:cs="Times New Roman"/>
      <w:b/>
      <w:sz w:val="30"/>
      <w:szCs w:val="24"/>
    </w:rPr>
  </w:style>
  <w:style w:type="character" w:customStyle="1" w:styleId="359">
    <w:name w:val="标题样式3 Char"/>
    <w:basedOn w:val="133"/>
    <w:link w:val="360"/>
    <w:qFormat/>
    <w:locked/>
    <w:uiPriority w:val="0"/>
    <w:rPr>
      <w:rFonts w:ascii="黑体" w:hAnsi="黑体" w:eastAsia="黑体"/>
      <w:b/>
      <w:bCs/>
      <w:sz w:val="24"/>
      <w:szCs w:val="32"/>
    </w:rPr>
  </w:style>
  <w:style w:type="paragraph" w:customStyle="1" w:styleId="360">
    <w:name w:val="标题样式3"/>
    <w:basedOn w:val="5"/>
    <w:link w:val="359"/>
    <w:qFormat/>
    <w:uiPriority w:val="0"/>
    <w:pPr>
      <w:widowControl/>
      <w:jc w:val="left"/>
    </w:pPr>
    <w:rPr>
      <w:rFonts w:ascii="黑体" w:hAnsi="黑体" w:cstheme="minorBidi"/>
      <w:sz w:val="24"/>
    </w:rPr>
  </w:style>
  <w:style w:type="paragraph" w:customStyle="1" w:styleId="361">
    <w:name w:val="xl6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cs="Times New Roman"/>
      <w:kern w:val="0"/>
      <w:sz w:val="21"/>
    </w:rPr>
  </w:style>
  <w:style w:type="paragraph" w:customStyle="1" w:styleId="362">
    <w:name w:val="小标题2"/>
    <w:basedOn w:val="1"/>
    <w:semiHidden/>
    <w:qFormat/>
    <w:uiPriority w:val="0"/>
    <w:pPr>
      <w:tabs>
        <w:tab w:val="left" w:pos="1000"/>
        <w:tab w:val="left" w:pos="1120"/>
      </w:tabs>
      <w:overflowPunct w:val="0"/>
      <w:adjustRightInd w:val="0"/>
      <w:snapToGrid w:val="0"/>
      <w:spacing w:line="480" w:lineRule="exact"/>
      <w:ind w:firstLine="567" w:firstLineChars="0"/>
    </w:pPr>
    <w:rPr>
      <w:rFonts w:ascii="Arial" w:hAnsi="Arial" w:eastAsia="仿宋_GB2312" w:cs="Times New Roman"/>
      <w:color w:val="000000"/>
      <w:sz w:val="28"/>
      <w:szCs w:val="20"/>
    </w:rPr>
  </w:style>
  <w:style w:type="paragraph" w:customStyle="1" w:styleId="363">
    <w:name w:val="表题9"/>
    <w:basedOn w:val="45"/>
    <w:semiHidden/>
    <w:qFormat/>
    <w:uiPriority w:val="0"/>
    <w:pPr>
      <w:tabs>
        <w:tab w:val="left" w:pos="2880"/>
      </w:tabs>
      <w:adjustRightInd w:val="0"/>
      <w:snapToGrid w:val="0"/>
      <w:spacing w:beforeLines="50" w:line="300" w:lineRule="auto"/>
    </w:pPr>
    <w:rPr>
      <w:rFonts w:ascii="黑体" w:eastAsia="黑体" w:cs="Times New Roman"/>
    </w:rPr>
  </w:style>
  <w:style w:type="paragraph" w:customStyle="1" w:styleId="364">
    <w:name w:val="样式 标题 3 + 左侧:  0 毫米 首行缩进:  0 毫米 行距: 最小值 25 磅"/>
    <w:basedOn w:val="5"/>
    <w:semiHidden/>
    <w:qFormat/>
    <w:uiPriority w:val="0"/>
    <w:pPr>
      <w:keepLines w:val="0"/>
      <w:tabs>
        <w:tab w:val="right" w:pos="0"/>
      </w:tabs>
      <w:spacing w:line="500" w:lineRule="atLeast"/>
      <w:jc w:val="left"/>
    </w:pPr>
    <w:rPr>
      <w:rFonts w:eastAsia="宋体" w:cs="宋体"/>
      <w:b w:val="0"/>
      <w:bCs w:val="0"/>
      <w:szCs w:val="28"/>
    </w:rPr>
  </w:style>
  <w:style w:type="paragraph" w:customStyle="1" w:styleId="365">
    <w:name w:val="Char41"/>
    <w:basedOn w:val="1"/>
    <w:semiHidden/>
    <w:qFormat/>
    <w:uiPriority w:val="0"/>
    <w:rPr>
      <w:rFonts w:ascii="宋体" w:hAnsi="宋体" w:cs="宋体"/>
      <w:szCs w:val="24"/>
    </w:rPr>
  </w:style>
  <w:style w:type="paragraph" w:customStyle="1" w:styleId="366">
    <w:name w:val="正文首行缩进2"/>
    <w:basedOn w:val="34"/>
    <w:qFormat/>
    <w:uiPriority w:val="0"/>
    <w:pPr>
      <w:spacing w:line="240" w:lineRule="auto"/>
      <w:ind w:firstLine="420" w:firstLineChars="100"/>
    </w:pPr>
    <w:rPr>
      <w:rFonts w:cs="Times New Roman"/>
      <w:szCs w:val="20"/>
    </w:rPr>
  </w:style>
  <w:style w:type="paragraph" w:customStyle="1" w:styleId="367">
    <w:name w:val="unnamed1"/>
    <w:basedOn w:val="1"/>
    <w:qFormat/>
    <w:uiPriority w:val="0"/>
    <w:pPr>
      <w:widowControl/>
      <w:spacing w:before="100" w:beforeAutospacing="1" w:after="100" w:afterAutospacing="1" w:line="375" w:lineRule="atLeast"/>
      <w:ind w:firstLine="720"/>
      <w:jc w:val="left"/>
    </w:pPr>
    <w:rPr>
      <w:rFonts w:ascii="FLGPEK+TimesNewRoman,Italic" w:hAnsi="FLGPEK+TimesNewRoman,Italic" w:cs="Times New Roman"/>
      <w:color w:val="000000"/>
      <w:kern w:val="0"/>
      <w:szCs w:val="24"/>
    </w:rPr>
  </w:style>
  <w:style w:type="paragraph" w:customStyle="1" w:styleId="368">
    <w:name w:val="p15"/>
    <w:basedOn w:val="1"/>
    <w:qFormat/>
    <w:uiPriority w:val="0"/>
    <w:pPr>
      <w:widowControl/>
      <w:ind w:firstLine="0" w:firstLineChars="0"/>
      <w:jc w:val="center"/>
    </w:pPr>
    <w:rPr>
      <w:rFonts w:cs="Times New Roman"/>
      <w:kern w:val="0"/>
      <w:sz w:val="21"/>
    </w:rPr>
  </w:style>
  <w:style w:type="paragraph" w:customStyle="1" w:styleId="369">
    <w:name w:val="part"/>
    <w:basedOn w:val="1"/>
    <w:qFormat/>
    <w:uiPriority w:val="0"/>
    <w:pPr>
      <w:widowControl/>
      <w:spacing w:before="100" w:beforeAutospacing="1" w:after="100" w:afterAutospacing="1" w:line="240" w:lineRule="auto"/>
      <w:ind w:firstLine="0" w:firstLineChars="0"/>
      <w:jc w:val="left"/>
    </w:pPr>
    <w:rPr>
      <w:rFonts w:ascii="宋体" w:hAnsi="宋体" w:cs="宋体"/>
      <w:b/>
      <w:bCs/>
      <w:kern w:val="0"/>
      <w:szCs w:val="24"/>
    </w:rPr>
  </w:style>
  <w:style w:type="character" w:customStyle="1" w:styleId="370">
    <w:name w:val="标题样式1 Char"/>
    <w:basedOn w:val="133"/>
    <w:link w:val="371"/>
    <w:semiHidden/>
    <w:qFormat/>
    <w:locked/>
    <w:uiPriority w:val="0"/>
    <w:rPr>
      <w:rFonts w:ascii="黑体" w:hAnsi="宋体" w:eastAsia="黑体"/>
      <w:b/>
      <w:bCs/>
      <w:kern w:val="44"/>
      <w:sz w:val="24"/>
      <w:szCs w:val="21"/>
      <w:lang w:val="zh-CN"/>
    </w:rPr>
  </w:style>
  <w:style w:type="paragraph" w:customStyle="1" w:styleId="371">
    <w:name w:val="标题样式1"/>
    <w:basedOn w:val="3"/>
    <w:link w:val="370"/>
    <w:semiHidden/>
    <w:qFormat/>
    <w:uiPriority w:val="0"/>
    <w:pPr>
      <w:keepNext w:val="0"/>
      <w:keepLines w:val="0"/>
      <w:pageBreakBefore/>
      <w:jc w:val="left"/>
    </w:pPr>
    <w:rPr>
      <w:rFonts w:ascii="黑体" w:hAnsi="宋体" w:cstheme="minorBidi"/>
      <w:sz w:val="24"/>
      <w:szCs w:val="21"/>
      <w:lang w:val="zh-CN"/>
    </w:rPr>
  </w:style>
  <w:style w:type="paragraph" w:customStyle="1" w:styleId="372">
    <w:name w:val="TOC Base"/>
    <w:basedOn w:val="1"/>
    <w:qFormat/>
    <w:uiPriority w:val="0"/>
    <w:pPr>
      <w:widowControl/>
      <w:tabs>
        <w:tab w:val="right" w:leader="dot" w:pos="8505"/>
      </w:tabs>
      <w:spacing w:after="120" w:line="240" w:lineRule="auto"/>
      <w:ind w:firstLine="0" w:firstLineChars="0"/>
      <w:jc w:val="left"/>
    </w:pPr>
    <w:rPr>
      <w:rFonts w:ascii="Garamond" w:hAnsi="Garamond" w:cs="Times New Roman"/>
      <w:kern w:val="0"/>
      <w:szCs w:val="20"/>
      <w:lang w:val="en-AU" w:eastAsia="en-US"/>
    </w:rPr>
  </w:style>
  <w:style w:type="character" w:customStyle="1" w:styleId="373">
    <w:name w:val="样式 行距: 固定值 18 磅 Char"/>
    <w:basedOn w:val="133"/>
    <w:link w:val="374"/>
    <w:semiHidden/>
    <w:qFormat/>
    <w:locked/>
    <w:uiPriority w:val="0"/>
    <w:rPr>
      <w:rFonts w:ascii="宋体" w:hAnsi="宋体" w:eastAsia="仿宋_GB2312" w:cs="宋体"/>
    </w:rPr>
  </w:style>
  <w:style w:type="paragraph" w:customStyle="1" w:styleId="374">
    <w:name w:val="样式 行距: 固定值 18 磅"/>
    <w:basedOn w:val="1"/>
    <w:link w:val="373"/>
    <w:semiHidden/>
    <w:qFormat/>
    <w:uiPriority w:val="0"/>
    <w:pPr>
      <w:ind w:firstLine="480"/>
    </w:pPr>
    <w:rPr>
      <w:rFonts w:ascii="宋体" w:hAnsi="宋体" w:eastAsia="仿宋_GB2312" w:cs="宋体"/>
      <w:sz w:val="21"/>
    </w:rPr>
  </w:style>
  <w:style w:type="paragraph" w:customStyle="1" w:styleId="375">
    <w:name w:val="纯咖啡正文"/>
    <w:semiHidden/>
    <w:qFormat/>
    <w:uiPriority w:val="0"/>
    <w:pPr>
      <w:spacing w:line="360" w:lineRule="auto"/>
      <w:ind w:firstLine="200" w:firstLineChars="200"/>
    </w:pPr>
    <w:rPr>
      <w:rFonts w:ascii="宋体" w:hAnsi="Times New Roman" w:eastAsia="宋体" w:cs="Times New Roman"/>
      <w:bCs/>
      <w:sz w:val="24"/>
      <w:szCs w:val="24"/>
      <w:lang w:val="en-US" w:eastAsia="zh-CN" w:bidi="ar-SA"/>
    </w:rPr>
  </w:style>
  <w:style w:type="paragraph" w:customStyle="1" w:styleId="376">
    <w:name w:val="表内文字大"/>
    <w:basedOn w:val="1"/>
    <w:qFormat/>
    <w:uiPriority w:val="0"/>
    <w:pPr>
      <w:adjustRightInd w:val="0"/>
      <w:snapToGrid w:val="0"/>
      <w:spacing w:line="240" w:lineRule="auto"/>
      <w:ind w:left="-25" w:firstLine="0" w:firstLineChars="0"/>
    </w:pPr>
    <w:rPr>
      <w:rFonts w:cs="Times New Roman"/>
      <w:sz w:val="21"/>
    </w:rPr>
  </w:style>
  <w:style w:type="paragraph" w:customStyle="1" w:styleId="377">
    <w:name w:val="_Style 10"/>
    <w:basedOn w:val="1"/>
    <w:qFormat/>
    <w:uiPriority w:val="0"/>
    <w:pPr>
      <w:ind w:firstLine="480"/>
    </w:pPr>
    <w:rPr>
      <w:rFonts w:cs="Times New Roman"/>
      <w:szCs w:val="20"/>
    </w:rPr>
  </w:style>
  <w:style w:type="paragraph" w:customStyle="1" w:styleId="378">
    <w:name w:val="报告表格"/>
    <w:basedOn w:val="1"/>
    <w:next w:val="1"/>
    <w:semiHidden/>
    <w:qFormat/>
    <w:uiPriority w:val="0"/>
    <w:pPr>
      <w:autoSpaceDE w:val="0"/>
      <w:autoSpaceDN w:val="0"/>
      <w:adjustRightInd w:val="0"/>
      <w:spacing w:line="318" w:lineRule="atLeast"/>
      <w:ind w:firstLine="0" w:firstLineChars="0"/>
      <w:jc w:val="center"/>
    </w:pPr>
    <w:rPr>
      <w:rFonts w:cs="Times New Roman"/>
      <w:kern w:val="0"/>
      <w:szCs w:val="20"/>
    </w:rPr>
  </w:style>
  <w:style w:type="paragraph" w:customStyle="1" w:styleId="379">
    <w:name w:val="BT5"/>
    <w:basedOn w:val="7"/>
    <w:semiHidden/>
    <w:qFormat/>
    <w:uiPriority w:val="0"/>
    <w:pPr>
      <w:keepLines/>
      <w:autoSpaceDE/>
      <w:autoSpaceDN/>
      <w:adjustRightInd/>
      <w:spacing w:beforeLines="30" w:line="240" w:lineRule="auto"/>
    </w:pPr>
    <w:rPr>
      <w:rFonts w:ascii="Times New Roman" w:hAnsi="Times New Roman" w:cs="Times New Roman"/>
      <w:b w:val="0"/>
      <w:bCs/>
      <w:sz w:val="24"/>
      <w:szCs w:val="24"/>
      <w:lang w:val="en-US"/>
    </w:rPr>
  </w:style>
  <w:style w:type="paragraph" w:customStyle="1" w:styleId="380">
    <w:name w:val="WW-正文首行缩进"/>
    <w:basedOn w:val="1"/>
    <w:qFormat/>
    <w:uiPriority w:val="0"/>
    <w:pPr>
      <w:tabs>
        <w:tab w:val="center" w:pos="8505"/>
      </w:tabs>
      <w:suppressAutoHyphens/>
      <w:spacing w:line="312" w:lineRule="auto"/>
      <w:ind w:firstLine="567"/>
      <w:jc w:val="center"/>
    </w:pPr>
    <w:rPr>
      <w:rFonts w:eastAsia="黑体" w:cs="Times New Roman"/>
      <w:kern w:val="3276"/>
      <w:sz w:val="28"/>
      <w:szCs w:val="20"/>
    </w:rPr>
  </w:style>
  <w:style w:type="paragraph" w:customStyle="1" w:styleId="381">
    <w:name w:val="表标题4.4 行"/>
    <w:basedOn w:val="1"/>
    <w:qFormat/>
    <w:uiPriority w:val="0"/>
    <w:pPr>
      <w:tabs>
        <w:tab w:val="left" w:pos="435"/>
        <w:tab w:val="left" w:pos="2723"/>
      </w:tabs>
      <w:spacing w:beforeLines="100" w:line="0" w:lineRule="atLeast"/>
      <w:ind w:left="435" w:firstLine="0" w:firstLineChars="0"/>
      <w:jc w:val="center"/>
    </w:pPr>
    <w:rPr>
      <w:rFonts w:eastAsia="黑体" w:cs="宋体"/>
      <w:b/>
      <w:bCs/>
      <w:color w:val="000000"/>
      <w:szCs w:val="20"/>
    </w:rPr>
  </w:style>
  <w:style w:type="paragraph" w:customStyle="1" w:styleId="382">
    <w:name w:val="标题4样式"/>
    <w:basedOn w:val="6"/>
    <w:semiHidden/>
    <w:qFormat/>
    <w:uiPriority w:val="0"/>
    <w:pPr>
      <w:autoSpaceDE w:val="0"/>
      <w:autoSpaceDN w:val="0"/>
      <w:adjustRightInd w:val="0"/>
      <w:jc w:val="left"/>
    </w:pPr>
    <w:rPr>
      <w:rFonts w:ascii="黑体" w:hAnsi="Arial" w:cs="Times New Roman"/>
      <w:bCs w:val="0"/>
      <w:kern w:val="0"/>
      <w:sz w:val="21"/>
      <w:szCs w:val="20"/>
    </w:rPr>
  </w:style>
  <w:style w:type="paragraph" w:customStyle="1" w:styleId="383">
    <w:name w:val="样式 标题 1章标题 1文章标题h11st levelSection Headl1章b1H1章节标题1标题..."/>
    <w:basedOn w:val="3"/>
    <w:qFormat/>
    <w:uiPriority w:val="0"/>
    <w:pPr>
      <w:tabs>
        <w:tab w:val="left" w:pos="1134"/>
      </w:tabs>
      <w:jc w:val="left"/>
    </w:pPr>
    <w:rPr>
      <w:b w:val="0"/>
      <w:bCs w:val="0"/>
      <w:color w:val="0000FF"/>
      <w:sz w:val="32"/>
      <w:szCs w:val="32"/>
    </w:rPr>
  </w:style>
  <w:style w:type="paragraph" w:customStyle="1" w:styleId="384">
    <w:name w:val="xl80"/>
    <w:basedOn w:val="1"/>
    <w:semiHidden/>
    <w:qFormat/>
    <w:uiPriority w:val="0"/>
    <w:pPr>
      <w:widowControl/>
      <w:pBdr>
        <w:lef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385">
    <w:name w:val="xl72"/>
    <w:basedOn w:val="1"/>
    <w:semiHidden/>
    <w:qFormat/>
    <w:uiPriority w:val="0"/>
    <w:pPr>
      <w:widowControl/>
      <w:spacing w:before="100" w:beforeAutospacing="1" w:after="100" w:afterAutospacing="1" w:line="240" w:lineRule="auto"/>
      <w:ind w:firstLine="0" w:firstLineChars="0"/>
      <w:jc w:val="center"/>
    </w:pPr>
    <w:rPr>
      <w:rFonts w:cs="Times New Roman"/>
      <w:kern w:val="0"/>
      <w:sz w:val="21"/>
    </w:rPr>
  </w:style>
  <w:style w:type="character" w:customStyle="1" w:styleId="386">
    <w:name w:val="投标文件二级标题 Char"/>
    <w:basedOn w:val="133"/>
    <w:link w:val="387"/>
    <w:qFormat/>
    <w:locked/>
    <w:uiPriority w:val="0"/>
    <w:rPr>
      <w:rFonts w:ascii="Arial" w:hAnsi="Arial" w:eastAsia="黑体" w:cs="Arial"/>
      <w:color w:val="000000"/>
      <w:sz w:val="28"/>
    </w:rPr>
  </w:style>
  <w:style w:type="paragraph" w:customStyle="1" w:styleId="387">
    <w:name w:val="投标文件二级标题"/>
    <w:basedOn w:val="4"/>
    <w:link w:val="386"/>
    <w:qFormat/>
    <w:uiPriority w:val="0"/>
    <w:pPr>
      <w:tabs>
        <w:tab w:val="left" w:pos="680"/>
      </w:tabs>
      <w:spacing w:before="480" w:after="120" w:line="400" w:lineRule="exact"/>
      <w:ind w:right="33"/>
      <w:jc w:val="left"/>
    </w:pPr>
    <w:rPr>
      <w:rFonts w:ascii="Arial" w:hAnsi="Arial" w:cs="Arial"/>
      <w:b w:val="0"/>
      <w:bCs w:val="0"/>
      <w:color w:val="000000"/>
      <w:sz w:val="28"/>
      <w:szCs w:val="22"/>
    </w:rPr>
  </w:style>
  <w:style w:type="paragraph" w:customStyle="1" w:styleId="388">
    <w:name w:val="样式 正文文本缩进 2正文文字缩进 2 + 四号 蓝色 Char Char Char Char Char"/>
    <w:basedOn w:val="51"/>
    <w:qFormat/>
    <w:uiPriority w:val="0"/>
    <w:pPr>
      <w:adjustRightInd w:val="0"/>
      <w:spacing w:after="0" w:line="480" w:lineRule="exact"/>
      <w:ind w:left="0" w:leftChars="0" w:firstLine="709" w:firstLineChars="0"/>
    </w:pPr>
    <w:rPr>
      <w:rFonts w:cs="Times New Roman"/>
      <w:color w:val="0000FF"/>
      <w:kern w:val="0"/>
      <w:szCs w:val="24"/>
    </w:rPr>
  </w:style>
  <w:style w:type="character" w:customStyle="1" w:styleId="389">
    <w:name w:val="表格文字 Char Char"/>
    <w:link w:val="390"/>
    <w:qFormat/>
    <w:locked/>
    <w:uiPriority w:val="0"/>
    <w:rPr>
      <w:bCs/>
    </w:rPr>
  </w:style>
  <w:style w:type="paragraph" w:customStyle="1" w:styleId="390">
    <w:name w:val="表格文字"/>
    <w:basedOn w:val="1"/>
    <w:next w:val="1"/>
    <w:link w:val="389"/>
    <w:qFormat/>
    <w:uiPriority w:val="99"/>
    <w:pPr>
      <w:snapToGrid w:val="0"/>
      <w:spacing w:line="320" w:lineRule="exact"/>
      <w:ind w:firstLine="5" w:firstLineChars="0"/>
      <w:jc w:val="center"/>
    </w:pPr>
    <w:rPr>
      <w:rFonts w:asciiTheme="minorHAnsi" w:hAnsiTheme="minorHAnsi" w:eastAsiaTheme="minorEastAsia"/>
      <w:bCs/>
      <w:sz w:val="21"/>
    </w:rPr>
  </w:style>
  <w:style w:type="paragraph" w:customStyle="1" w:styleId="391">
    <w:name w:val="xl31"/>
    <w:basedOn w:val="1"/>
    <w:semiHidden/>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cs="Times New Roman"/>
      <w:kern w:val="0"/>
      <w:sz w:val="21"/>
    </w:rPr>
  </w:style>
  <w:style w:type="paragraph" w:customStyle="1" w:styleId="392">
    <w:name w:val="题图"/>
    <w:basedOn w:val="1"/>
    <w:qFormat/>
    <w:uiPriority w:val="0"/>
    <w:pPr>
      <w:adjustRightInd w:val="0"/>
      <w:snapToGrid w:val="0"/>
      <w:spacing w:line="240" w:lineRule="auto"/>
      <w:ind w:firstLine="0" w:firstLineChars="0"/>
      <w:jc w:val="center"/>
    </w:pPr>
    <w:rPr>
      <w:rFonts w:ascii="宋体" w:cs="Times New Roman"/>
      <w:sz w:val="28"/>
      <w:szCs w:val="24"/>
    </w:rPr>
  </w:style>
  <w:style w:type="paragraph" w:customStyle="1" w:styleId="393">
    <w:name w:val="鲍二级标题 Char"/>
    <w:basedOn w:val="1"/>
    <w:next w:val="1"/>
    <w:semiHidden/>
    <w:qFormat/>
    <w:uiPriority w:val="0"/>
    <w:pPr>
      <w:tabs>
        <w:tab w:val="left" w:pos="420"/>
      </w:tabs>
      <w:spacing w:line="240" w:lineRule="auto"/>
      <w:ind w:left="420" w:hanging="420" w:firstLineChars="0"/>
    </w:pPr>
    <w:rPr>
      <w:rFonts w:eastAsia="仿宋_GB2312" w:cs="Times New Roman"/>
      <w:b/>
      <w:kern w:val="28"/>
      <w:sz w:val="30"/>
      <w:szCs w:val="32"/>
    </w:rPr>
  </w:style>
  <w:style w:type="paragraph" w:customStyle="1" w:styleId="394">
    <w:name w:val="玮标题3 Char Char Char Char Char Char"/>
    <w:basedOn w:val="1"/>
    <w:next w:val="1"/>
    <w:semiHidden/>
    <w:qFormat/>
    <w:uiPriority w:val="0"/>
    <w:pPr>
      <w:keepNext/>
      <w:keepLines/>
      <w:adjustRightInd w:val="0"/>
      <w:spacing w:beforeLines="50" w:afterLines="50"/>
      <w:ind w:firstLine="0" w:firstLineChars="0"/>
    </w:pPr>
    <w:rPr>
      <w:rFonts w:ascii="宋体" w:hAnsi="宋体" w:cs="Times New Roman"/>
      <w:b/>
      <w:bCs/>
      <w:szCs w:val="24"/>
    </w:rPr>
  </w:style>
  <w:style w:type="paragraph" w:customStyle="1" w:styleId="395">
    <w:name w:val="样式 标题 2 + 小四"/>
    <w:basedOn w:val="4"/>
    <w:qFormat/>
    <w:uiPriority w:val="0"/>
    <w:pPr>
      <w:tabs>
        <w:tab w:val="left" w:pos="927"/>
        <w:tab w:val="left" w:pos="1134"/>
      </w:tabs>
      <w:spacing w:before="60" w:line="400" w:lineRule="atLeast"/>
      <w:jc w:val="left"/>
    </w:pPr>
    <w:rPr>
      <w:rFonts w:ascii="Arial" w:hAnsi="Arial"/>
      <w:sz w:val="24"/>
    </w:rPr>
  </w:style>
  <w:style w:type="character" w:customStyle="1" w:styleId="396">
    <w:name w:val="正文样式10 Char"/>
    <w:basedOn w:val="133"/>
    <w:link w:val="397"/>
    <w:semiHidden/>
    <w:qFormat/>
    <w:locked/>
    <w:uiPriority w:val="0"/>
    <w:rPr>
      <w:rFonts w:ascii="宋体" w:hAnsi="宋体" w:eastAsia="宋体"/>
      <w:bCs/>
      <w:sz w:val="24"/>
      <w:szCs w:val="24"/>
      <w:lang w:val="zh-CN"/>
    </w:rPr>
  </w:style>
  <w:style w:type="paragraph" w:customStyle="1" w:styleId="397">
    <w:name w:val="正文样式10"/>
    <w:basedOn w:val="1"/>
    <w:link w:val="396"/>
    <w:semiHidden/>
    <w:qFormat/>
    <w:uiPriority w:val="0"/>
    <w:pPr>
      <w:ind w:firstLine="480"/>
    </w:pPr>
    <w:rPr>
      <w:rFonts w:ascii="宋体" w:hAnsi="宋体"/>
      <w:bCs/>
      <w:szCs w:val="24"/>
      <w:lang w:val="zh-CN"/>
    </w:rPr>
  </w:style>
  <w:style w:type="paragraph" w:customStyle="1" w:styleId="398">
    <w:name w:val="二级标题"/>
    <w:basedOn w:val="1"/>
    <w:next w:val="1"/>
    <w:qFormat/>
    <w:uiPriority w:val="0"/>
    <w:pPr>
      <w:keepNext/>
      <w:adjustRightInd w:val="0"/>
      <w:spacing w:before="240" w:line="312" w:lineRule="atLeast"/>
      <w:ind w:firstLine="0" w:firstLineChars="0"/>
      <w:jc w:val="center"/>
    </w:pPr>
    <w:rPr>
      <w:rFonts w:eastAsia="楷体_GB2312" w:cs="Times New Roman"/>
      <w:kern w:val="0"/>
      <w:sz w:val="28"/>
      <w:szCs w:val="20"/>
    </w:rPr>
  </w:style>
  <w:style w:type="paragraph" w:customStyle="1" w:styleId="399">
    <w:name w:val="样式 四号 行距: 固定值 25 磅"/>
    <w:basedOn w:val="1"/>
    <w:qFormat/>
    <w:uiPriority w:val="0"/>
    <w:pPr>
      <w:spacing w:line="480" w:lineRule="atLeast"/>
    </w:pPr>
    <w:rPr>
      <w:rFonts w:cs="Times New Roman"/>
      <w:szCs w:val="24"/>
    </w:rPr>
  </w:style>
  <w:style w:type="paragraph" w:customStyle="1" w:styleId="400">
    <w:name w:val="样式 首行缩进:  1.71 字符"/>
    <w:basedOn w:val="1"/>
    <w:semiHidden/>
    <w:qFormat/>
    <w:uiPriority w:val="0"/>
    <w:pPr>
      <w:spacing w:before="240"/>
      <w:ind w:right="28" w:firstLine="412" w:firstLineChars="171"/>
    </w:pPr>
    <w:rPr>
      <w:rFonts w:ascii="宋体" w:hAnsi="宋体" w:cs="Times New Roman"/>
      <w:b/>
      <w:color w:val="000000"/>
      <w:szCs w:val="20"/>
    </w:rPr>
  </w:style>
  <w:style w:type="paragraph" w:customStyle="1" w:styleId="401">
    <w:name w:val="样式表头"/>
    <w:basedOn w:val="1"/>
    <w:qFormat/>
    <w:uiPriority w:val="0"/>
    <w:pPr>
      <w:snapToGrid w:val="0"/>
      <w:spacing w:line="312" w:lineRule="auto"/>
      <w:jc w:val="center"/>
    </w:pPr>
    <w:rPr>
      <w:rFonts w:ascii="黑体" w:hAnsi="宋体" w:eastAsia="黑体" w:cs="Times New Roman"/>
      <w:b/>
      <w:bCs/>
      <w:spacing w:val="6"/>
      <w:sz w:val="32"/>
      <w:szCs w:val="32"/>
    </w:rPr>
  </w:style>
  <w:style w:type="character" w:customStyle="1" w:styleId="402">
    <w:name w:val="批注框文本 Char Char"/>
    <w:link w:val="403"/>
    <w:qFormat/>
    <w:locked/>
    <w:uiPriority w:val="0"/>
    <w:rPr>
      <w:sz w:val="18"/>
      <w:szCs w:val="18"/>
    </w:rPr>
  </w:style>
  <w:style w:type="paragraph" w:customStyle="1" w:styleId="403">
    <w:name w:val="批注框文本1"/>
    <w:basedOn w:val="1"/>
    <w:link w:val="402"/>
    <w:qFormat/>
    <w:uiPriority w:val="0"/>
    <w:pPr>
      <w:widowControl/>
      <w:spacing w:line="240" w:lineRule="auto"/>
      <w:ind w:firstLine="0" w:firstLineChars="0"/>
      <w:jc w:val="left"/>
    </w:pPr>
    <w:rPr>
      <w:rFonts w:asciiTheme="minorHAnsi" w:hAnsiTheme="minorHAnsi" w:eastAsiaTheme="minorEastAsia"/>
      <w:sz w:val="18"/>
      <w:szCs w:val="18"/>
    </w:rPr>
  </w:style>
  <w:style w:type="paragraph" w:customStyle="1" w:styleId="404">
    <w:name w:val="红正文"/>
    <w:basedOn w:val="1"/>
    <w:qFormat/>
    <w:uiPriority w:val="0"/>
    <w:pPr>
      <w:keepNext/>
      <w:adjustRightInd w:val="0"/>
      <w:snapToGrid w:val="0"/>
      <w:ind w:firstLine="527"/>
      <w:jc w:val="left"/>
    </w:pPr>
    <w:rPr>
      <w:rFonts w:ascii="宋体" w:hAnsi="宋体" w:cs="Times New Roman"/>
      <w:b/>
      <w:sz w:val="28"/>
      <w:szCs w:val="28"/>
    </w:rPr>
  </w:style>
  <w:style w:type="paragraph" w:customStyle="1" w:styleId="405">
    <w:name w:val="中文报告书样式"/>
    <w:basedOn w:val="1"/>
    <w:semiHidden/>
    <w:qFormat/>
    <w:uiPriority w:val="0"/>
    <w:pPr>
      <w:adjustRightInd w:val="0"/>
      <w:spacing w:line="480" w:lineRule="atLeast"/>
      <w:ind w:firstLine="482" w:firstLineChars="0"/>
    </w:pPr>
    <w:rPr>
      <w:rFonts w:ascii="宋体" w:hAnsi="宋体" w:cs="Times New Roman"/>
      <w:kern w:val="24"/>
      <w:szCs w:val="20"/>
    </w:rPr>
  </w:style>
  <w:style w:type="paragraph" w:customStyle="1" w:styleId="406">
    <w:name w:val="Char2 Char Char Char2"/>
    <w:basedOn w:val="1"/>
    <w:qFormat/>
    <w:uiPriority w:val="0"/>
    <w:pPr>
      <w:adjustRightInd w:val="0"/>
      <w:snapToGrid w:val="0"/>
      <w:spacing w:line="440" w:lineRule="exact"/>
      <w:ind w:firstLine="720"/>
    </w:pPr>
    <w:rPr>
      <w:rFonts w:eastAsia="ˎ̥" w:cs="Times New Roman"/>
      <w:kern w:val="0"/>
      <w:szCs w:val="24"/>
    </w:rPr>
  </w:style>
  <w:style w:type="paragraph" w:customStyle="1" w:styleId="407">
    <w:name w:val="1 Char"/>
    <w:basedOn w:val="1"/>
    <w:qFormat/>
    <w:uiPriority w:val="0"/>
    <w:pPr>
      <w:spacing w:line="240" w:lineRule="auto"/>
      <w:ind w:firstLine="0" w:firstLineChars="0"/>
    </w:pPr>
    <w:rPr>
      <w:rFonts w:cs="Times New Roman"/>
      <w:sz w:val="21"/>
      <w:szCs w:val="24"/>
    </w:rPr>
  </w:style>
  <w:style w:type="paragraph" w:customStyle="1" w:styleId="408">
    <w:name w:val="样式 标题 3 + 宋体 黑色 首行缩进:  2 字符 段前: 6 磅 段后: 6 磅 行距: 最小值 24 磅"/>
    <w:basedOn w:val="5"/>
    <w:qFormat/>
    <w:uiPriority w:val="0"/>
    <w:pPr>
      <w:tabs>
        <w:tab w:val="left" w:pos="1134"/>
        <w:tab w:val="left" w:pos="1256"/>
      </w:tabs>
      <w:adjustRightInd w:val="0"/>
      <w:snapToGrid w:val="0"/>
      <w:spacing w:before="120" w:after="120" w:line="480" w:lineRule="atLeast"/>
      <w:ind w:firstLine="200" w:firstLineChars="200"/>
    </w:pPr>
    <w:rPr>
      <w:rFonts w:ascii="宋体" w:hAnsi="宋体" w:eastAsia="宋体"/>
      <w:color w:val="000000"/>
      <w:szCs w:val="28"/>
    </w:rPr>
  </w:style>
  <w:style w:type="character" w:customStyle="1" w:styleId="409">
    <w:name w:val="投标文件正文 Char"/>
    <w:basedOn w:val="133"/>
    <w:link w:val="410"/>
    <w:qFormat/>
    <w:locked/>
    <w:uiPriority w:val="0"/>
    <w:rPr>
      <w:rFonts w:ascii="Arial" w:hAnsi="Arial" w:cs="Arial"/>
      <w:color w:val="000000"/>
      <w:sz w:val="24"/>
    </w:rPr>
  </w:style>
  <w:style w:type="paragraph" w:customStyle="1" w:styleId="410">
    <w:name w:val="投标文件正文"/>
    <w:basedOn w:val="1"/>
    <w:link w:val="409"/>
    <w:qFormat/>
    <w:uiPriority w:val="0"/>
    <w:pPr>
      <w:spacing w:line="400" w:lineRule="exact"/>
      <w:ind w:right="33" w:firstLine="480"/>
      <w:jc w:val="left"/>
    </w:pPr>
    <w:rPr>
      <w:rFonts w:ascii="Arial" w:hAnsi="Arial" w:cs="Arial" w:eastAsiaTheme="minorEastAsia"/>
      <w:color w:val="000000"/>
    </w:rPr>
  </w:style>
  <w:style w:type="paragraph" w:customStyle="1" w:styleId="411">
    <w:name w:val="font13"/>
    <w:basedOn w:val="1"/>
    <w:semiHidden/>
    <w:qFormat/>
    <w:uiPriority w:val="0"/>
    <w:pPr>
      <w:widowControl/>
      <w:spacing w:before="100" w:beforeAutospacing="1" w:after="100" w:afterAutospacing="1" w:line="240" w:lineRule="auto"/>
      <w:ind w:firstLine="0" w:firstLineChars="0"/>
      <w:jc w:val="left"/>
    </w:pPr>
    <w:rPr>
      <w:rFonts w:cs="Times New Roman"/>
      <w:color w:val="0000FF"/>
      <w:kern w:val="0"/>
      <w:sz w:val="21"/>
    </w:rPr>
  </w:style>
  <w:style w:type="paragraph" w:customStyle="1" w:styleId="412">
    <w:name w:val="第六章表头"/>
    <w:basedOn w:val="1"/>
    <w:semiHidden/>
    <w:qFormat/>
    <w:uiPriority w:val="0"/>
    <w:pPr>
      <w:tabs>
        <w:tab w:val="left" w:pos="960"/>
      </w:tabs>
      <w:ind w:left="960" w:firstLine="0" w:firstLineChars="0"/>
      <w:jc w:val="center"/>
    </w:pPr>
    <w:rPr>
      <w:rFonts w:cs="Times New Roman"/>
      <w:b/>
      <w:color w:val="0000FF"/>
      <w:szCs w:val="24"/>
    </w:rPr>
  </w:style>
  <w:style w:type="character" w:customStyle="1" w:styleId="413">
    <w:name w:val="正文文本缩进 2 Char Char"/>
    <w:link w:val="414"/>
    <w:semiHidden/>
    <w:qFormat/>
    <w:locked/>
    <w:uiPriority w:val="0"/>
    <w:rPr>
      <w:rFonts w:ascii="宋体" w:hAnsi="宋体" w:eastAsia="宋体"/>
      <w:sz w:val="28"/>
    </w:rPr>
  </w:style>
  <w:style w:type="paragraph" w:customStyle="1" w:styleId="414">
    <w:name w:val="正文文本缩进 21"/>
    <w:basedOn w:val="1"/>
    <w:link w:val="413"/>
    <w:semiHidden/>
    <w:qFormat/>
    <w:uiPriority w:val="0"/>
    <w:pPr>
      <w:autoSpaceDE w:val="0"/>
      <w:autoSpaceDN w:val="0"/>
      <w:adjustRightInd w:val="0"/>
      <w:spacing w:line="240" w:lineRule="auto"/>
      <w:ind w:firstLine="680" w:firstLineChars="0"/>
    </w:pPr>
    <w:rPr>
      <w:rFonts w:ascii="宋体" w:hAnsi="宋体"/>
      <w:sz w:val="28"/>
    </w:rPr>
  </w:style>
  <w:style w:type="character" w:customStyle="1" w:styleId="415">
    <w:name w:val="样式6 Char"/>
    <w:basedOn w:val="133"/>
    <w:link w:val="416"/>
    <w:qFormat/>
    <w:locked/>
    <w:uiPriority w:val="0"/>
    <w:rPr>
      <w:rFonts w:ascii="宋体" w:hAnsi="宋体" w:eastAsia="宋体" w:cs="Courier New"/>
      <w:bCs/>
      <w:snapToGrid w:val="0"/>
      <w:sz w:val="24"/>
      <w:szCs w:val="21"/>
      <w:lang w:val="zh-CN"/>
    </w:rPr>
  </w:style>
  <w:style w:type="paragraph" w:customStyle="1" w:styleId="416">
    <w:name w:val="样式6"/>
    <w:basedOn w:val="1"/>
    <w:link w:val="415"/>
    <w:qFormat/>
    <w:uiPriority w:val="0"/>
    <w:pPr>
      <w:tabs>
        <w:tab w:val="left" w:pos="3930"/>
        <w:tab w:val="left" w:pos="6047"/>
      </w:tabs>
      <w:snapToGrid w:val="0"/>
      <w:spacing w:line="440" w:lineRule="exact"/>
      <w:ind w:firstLine="480"/>
      <w:jc w:val="left"/>
    </w:pPr>
    <w:rPr>
      <w:rFonts w:ascii="宋体" w:hAnsi="宋体" w:cs="Courier New"/>
      <w:bCs/>
      <w:snapToGrid w:val="0"/>
      <w:lang w:val="zh-CN"/>
    </w:rPr>
  </w:style>
  <w:style w:type="paragraph" w:customStyle="1" w:styleId="417">
    <w:name w:val="LX正文"/>
    <w:basedOn w:val="1"/>
    <w:qFormat/>
    <w:uiPriority w:val="0"/>
    <w:rPr>
      <w:rFonts w:cs="Times New Roman"/>
      <w:szCs w:val="20"/>
    </w:rPr>
  </w:style>
  <w:style w:type="paragraph" w:customStyle="1" w:styleId="418">
    <w:name w:val="reader-word-layer reader-word-s6-1"/>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19">
    <w:name w:val="xl138"/>
    <w:basedOn w:val="1"/>
    <w:semiHidden/>
    <w:qFormat/>
    <w:uiPriority w:val="0"/>
    <w:pPr>
      <w:widowControl/>
      <w:pBdr>
        <w:top w:val="single" w:color="auto" w:sz="8" w:space="0"/>
        <w:lef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420">
    <w:name w:val="xl100"/>
    <w:basedOn w:val="1"/>
    <w:semiHidden/>
    <w:qFormat/>
    <w:uiPriority w:val="0"/>
    <w:pPr>
      <w:widowControl/>
      <w:pBdr>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421">
    <w:name w:val="xl61"/>
    <w:basedOn w:val="1"/>
    <w:semiHidden/>
    <w:qFormat/>
    <w:uiPriority w:val="0"/>
    <w:pPr>
      <w:widowControl/>
      <w:pBdr>
        <w:bottom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22">
    <w:name w:val="xl140"/>
    <w:basedOn w:val="1"/>
    <w:semiHidden/>
    <w:qFormat/>
    <w:uiPriority w:val="0"/>
    <w:pPr>
      <w:widowControl/>
      <w:pBdr>
        <w:left w:val="single" w:color="auto" w:sz="8" w:space="0"/>
        <w:bottom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423">
    <w:name w:val="表格题头"/>
    <w:semiHidden/>
    <w:qFormat/>
    <w:uiPriority w:val="0"/>
    <w:pPr>
      <w:spacing w:beforeLines="50"/>
      <w:jc w:val="center"/>
    </w:pPr>
    <w:rPr>
      <w:rFonts w:ascii="Times New Roman" w:hAnsi="Times New Roman" w:eastAsia="黑体" w:cs="Times New Roman"/>
      <w:b/>
      <w:kern w:val="2"/>
      <w:sz w:val="24"/>
      <w:szCs w:val="24"/>
      <w:lang w:val="en-US" w:eastAsia="zh-CN" w:bidi="ar-SA"/>
    </w:rPr>
  </w:style>
  <w:style w:type="paragraph" w:customStyle="1" w:styleId="424">
    <w:name w:val="封面标准名称"/>
    <w:qFormat/>
    <w:uiPriority w:val="0"/>
    <w:pPr>
      <w:widowControl w:val="0"/>
      <w:spacing w:line="680" w:lineRule="exact"/>
      <w:jc w:val="center"/>
    </w:pPr>
    <w:rPr>
      <w:rFonts w:ascii="黑体" w:hAnsi="Times New Roman" w:eastAsia="黑体" w:cs="Times New Roman"/>
      <w:sz w:val="52"/>
      <w:lang w:val="en-US" w:eastAsia="zh-CN" w:bidi="ar-SA"/>
    </w:rPr>
  </w:style>
  <w:style w:type="character" w:customStyle="1" w:styleId="425">
    <w:name w:val="珠江啤酒正文 Char"/>
    <w:link w:val="426"/>
    <w:qFormat/>
    <w:locked/>
    <w:uiPriority w:val="0"/>
  </w:style>
  <w:style w:type="paragraph" w:customStyle="1" w:styleId="426">
    <w:name w:val="珠江啤酒正文"/>
    <w:basedOn w:val="1"/>
    <w:link w:val="425"/>
    <w:qFormat/>
    <w:uiPriority w:val="0"/>
    <w:pPr>
      <w:spacing w:line="240" w:lineRule="auto"/>
      <w:ind w:firstLine="0" w:firstLineChars="0"/>
    </w:pPr>
    <w:rPr>
      <w:rFonts w:asciiTheme="minorHAnsi" w:hAnsiTheme="minorHAnsi" w:eastAsiaTheme="minorEastAsia"/>
      <w:sz w:val="21"/>
    </w:rPr>
  </w:style>
  <w:style w:type="paragraph" w:customStyle="1" w:styleId="427">
    <w:name w:val="Char2"/>
    <w:basedOn w:val="1"/>
    <w:semiHidden/>
    <w:qFormat/>
    <w:uiPriority w:val="0"/>
    <w:rPr>
      <w:rFonts w:ascii="宋体" w:hAnsi="宋体" w:cs="宋体"/>
      <w:szCs w:val="24"/>
    </w:rPr>
  </w:style>
  <w:style w:type="character" w:customStyle="1" w:styleId="428">
    <w:name w:val="表格正文 Char"/>
    <w:link w:val="429"/>
    <w:semiHidden/>
    <w:qFormat/>
    <w:locked/>
    <w:uiPriority w:val="0"/>
    <w:rPr>
      <w:rFonts w:ascii="宋体" w:hAnsi="宋体" w:eastAsia="宋体"/>
      <w:sz w:val="24"/>
    </w:rPr>
  </w:style>
  <w:style w:type="paragraph" w:customStyle="1" w:styleId="429">
    <w:name w:val="表格正文"/>
    <w:basedOn w:val="1"/>
    <w:link w:val="428"/>
    <w:semiHidden/>
    <w:qFormat/>
    <w:uiPriority w:val="0"/>
    <w:pPr>
      <w:adjustRightInd w:val="0"/>
      <w:spacing w:line="300" w:lineRule="auto"/>
      <w:ind w:firstLine="0" w:firstLineChars="0"/>
      <w:jc w:val="center"/>
    </w:pPr>
    <w:rPr>
      <w:rFonts w:ascii="宋体" w:hAnsi="宋体"/>
    </w:rPr>
  </w:style>
  <w:style w:type="paragraph" w:customStyle="1" w:styleId="430">
    <w:name w:val="5"/>
    <w:basedOn w:val="1"/>
    <w:next w:val="76"/>
    <w:semiHidden/>
    <w:qFormat/>
    <w:uiPriority w:val="0"/>
    <w:pPr>
      <w:spacing w:after="120" w:line="480" w:lineRule="auto"/>
      <w:ind w:firstLine="0" w:firstLineChars="0"/>
    </w:pPr>
    <w:rPr>
      <w:rFonts w:cs="Times New Roman"/>
      <w:sz w:val="21"/>
      <w:szCs w:val="24"/>
    </w:rPr>
  </w:style>
  <w:style w:type="paragraph" w:customStyle="1" w:styleId="431">
    <w:name w:val="列出段落1"/>
    <w:basedOn w:val="1"/>
    <w:qFormat/>
    <w:uiPriority w:val="0"/>
    <w:pPr>
      <w:ind w:firstLine="420"/>
    </w:pPr>
    <w:rPr>
      <w:rFonts w:ascii="Calibri" w:hAnsi="Calibri" w:cs="Times New Roman"/>
    </w:rPr>
  </w:style>
  <w:style w:type="paragraph" w:customStyle="1" w:styleId="432">
    <w:name w:val="xl2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cs="Times New Roman"/>
      <w:kern w:val="0"/>
      <w:sz w:val="21"/>
    </w:rPr>
  </w:style>
  <w:style w:type="paragraph" w:customStyle="1" w:styleId="433">
    <w:name w:val="样式10"/>
    <w:basedOn w:val="416"/>
    <w:qFormat/>
    <w:uiPriority w:val="0"/>
    <w:pPr>
      <w:tabs>
        <w:tab w:val="left" w:pos="360"/>
        <w:tab w:val="clear" w:pos="3930"/>
        <w:tab w:val="clear" w:pos="6047"/>
      </w:tabs>
      <w:adjustRightInd w:val="0"/>
      <w:spacing w:beforeLines="50" w:line="360" w:lineRule="auto"/>
      <w:ind w:left="360" w:hanging="360" w:hangingChars="200"/>
      <w:outlineLvl w:val="2"/>
    </w:pPr>
    <w:rPr>
      <w:rFonts w:ascii="Times New Roman" w:hAnsi="Times New Roman" w:cs="Times New Roman"/>
      <w:bCs w:val="0"/>
      <w:szCs w:val="24"/>
      <w:lang w:val="en-US"/>
    </w:rPr>
  </w:style>
  <w:style w:type="paragraph" w:customStyle="1" w:styleId="434">
    <w:name w:val="表3-1"/>
    <w:basedOn w:val="73"/>
    <w:semiHidden/>
    <w:qFormat/>
    <w:uiPriority w:val="0"/>
    <w:pPr>
      <w:tabs>
        <w:tab w:val="left" w:pos="360"/>
        <w:tab w:val="center" w:pos="992"/>
      </w:tabs>
      <w:spacing w:beforeLines="50"/>
      <w:ind w:left="0" w:leftChars="0" w:firstLine="0" w:firstLineChars="0"/>
      <w:jc w:val="center"/>
    </w:pPr>
  </w:style>
  <w:style w:type="paragraph" w:customStyle="1" w:styleId="435">
    <w:name w:val="font0"/>
    <w:basedOn w:val="1"/>
    <w:qFormat/>
    <w:uiPriority w:val="0"/>
    <w:pPr>
      <w:widowControl/>
      <w:spacing w:before="100" w:beforeAutospacing="1" w:after="100" w:afterAutospacing="1" w:line="240" w:lineRule="auto"/>
      <w:ind w:firstLine="0" w:firstLineChars="0"/>
      <w:jc w:val="left"/>
    </w:pPr>
    <w:rPr>
      <w:rFonts w:ascii="宋体" w:hAnsi="宋体" w:cs="Arial Unicode MS"/>
      <w:kern w:val="0"/>
      <w:szCs w:val="24"/>
    </w:rPr>
  </w:style>
  <w:style w:type="paragraph" w:customStyle="1" w:styleId="436">
    <w:name w:val="xl47"/>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cs="Times New Roman"/>
      <w:color w:val="000000"/>
      <w:kern w:val="0"/>
      <w:sz w:val="18"/>
      <w:szCs w:val="20"/>
    </w:rPr>
  </w:style>
  <w:style w:type="character" w:customStyle="1" w:styleId="437">
    <w:name w:val="正文正文 Char Char"/>
    <w:link w:val="438"/>
    <w:qFormat/>
    <w:locked/>
    <w:uiPriority w:val="0"/>
    <w:rPr>
      <w:sz w:val="24"/>
      <w:szCs w:val="24"/>
    </w:rPr>
  </w:style>
  <w:style w:type="paragraph" w:customStyle="1" w:styleId="438">
    <w:name w:val="正文正文"/>
    <w:basedOn w:val="1"/>
    <w:link w:val="437"/>
    <w:qFormat/>
    <w:uiPriority w:val="0"/>
    <w:pPr>
      <w:spacing w:before="156" w:after="156" w:line="440" w:lineRule="exact"/>
      <w:ind w:firstLine="480"/>
    </w:pPr>
    <w:rPr>
      <w:rFonts w:asciiTheme="minorHAnsi" w:hAnsiTheme="minorHAnsi" w:eastAsiaTheme="minorEastAsia"/>
      <w:szCs w:val="24"/>
    </w:rPr>
  </w:style>
  <w:style w:type="paragraph" w:customStyle="1" w:styleId="439">
    <w:name w:val="样式8"/>
    <w:basedOn w:val="1"/>
    <w:qFormat/>
    <w:uiPriority w:val="0"/>
    <w:pPr>
      <w:spacing w:line="240" w:lineRule="auto"/>
      <w:ind w:firstLine="499" w:firstLineChars="0"/>
    </w:pPr>
    <w:rPr>
      <w:rFonts w:ascii="宋体" w:cs="Times New Roman"/>
      <w:sz w:val="28"/>
      <w:szCs w:val="20"/>
    </w:rPr>
  </w:style>
  <w:style w:type="paragraph" w:customStyle="1" w:styleId="440">
    <w:name w:val="样式 标题 1H1NMP Heading 1一、Head 1wsaCh章标题章标题 1章节名称标题11标题...1"/>
    <w:basedOn w:val="3"/>
    <w:qFormat/>
    <w:uiPriority w:val="0"/>
    <w:pPr>
      <w:tabs>
        <w:tab w:val="left" w:pos="1980"/>
        <w:tab w:val="left" w:pos="2520"/>
      </w:tabs>
      <w:jc w:val="center"/>
    </w:pPr>
    <w:rPr>
      <w:rFonts w:ascii="宋体" w:hAnsi="宋体" w:eastAsia="华文中宋"/>
      <w:szCs w:val="36"/>
    </w:rPr>
  </w:style>
  <w:style w:type="paragraph" w:customStyle="1" w:styleId="441">
    <w:name w:val="font5"/>
    <w:basedOn w:val="1"/>
    <w:qFormat/>
    <w:uiPriority w:val="0"/>
    <w:pPr>
      <w:widowControl/>
      <w:spacing w:before="100" w:beforeAutospacing="1" w:after="100" w:afterAutospacing="1" w:line="240" w:lineRule="auto"/>
      <w:ind w:firstLine="0" w:firstLineChars="0"/>
      <w:jc w:val="left"/>
    </w:pPr>
    <w:rPr>
      <w:rFonts w:eastAsia="Arial Unicode MS" w:cs="Times New Roman"/>
      <w:kern w:val="0"/>
      <w:szCs w:val="24"/>
    </w:rPr>
  </w:style>
  <w:style w:type="paragraph" w:customStyle="1" w:styleId="442">
    <w:name w:val="二级标题 Char Char Char"/>
    <w:basedOn w:val="1"/>
    <w:next w:val="1"/>
    <w:qFormat/>
    <w:uiPriority w:val="0"/>
    <w:pPr>
      <w:spacing w:line="529" w:lineRule="exact"/>
    </w:pPr>
    <w:rPr>
      <w:rFonts w:ascii="宋体" w:hAnsi="宋体" w:cs="宋体"/>
      <w:szCs w:val="24"/>
    </w:rPr>
  </w:style>
  <w:style w:type="paragraph" w:customStyle="1" w:styleId="443">
    <w:name w:val="xl2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pPr>
    <w:rPr>
      <w:rFonts w:cs="Times New Roman"/>
      <w:kern w:val="0"/>
      <w:sz w:val="21"/>
    </w:rPr>
  </w:style>
  <w:style w:type="paragraph" w:customStyle="1" w:styleId="444">
    <w:name w:val="封面-宋3"/>
    <w:basedOn w:val="1"/>
    <w:qFormat/>
    <w:uiPriority w:val="0"/>
    <w:pPr>
      <w:widowControl/>
      <w:autoSpaceDE w:val="0"/>
      <w:autoSpaceDN w:val="0"/>
      <w:ind w:firstLine="0" w:firstLineChars="0"/>
      <w:jc w:val="center"/>
    </w:pPr>
    <w:rPr>
      <w:rFonts w:ascii="宋体" w:hAnsi="宋体" w:cs="Times New Roman"/>
      <w:spacing w:val="8"/>
      <w:sz w:val="32"/>
      <w:szCs w:val="32"/>
    </w:rPr>
  </w:style>
  <w:style w:type="character" w:customStyle="1" w:styleId="445">
    <w:name w:val="项目名称 Char"/>
    <w:link w:val="446"/>
    <w:semiHidden/>
    <w:qFormat/>
    <w:locked/>
    <w:uiPriority w:val="0"/>
    <w:rPr>
      <w:rFonts w:ascii="黑体" w:hAnsi="黑体" w:eastAsia="黑体"/>
      <w:sz w:val="52"/>
      <w:szCs w:val="52"/>
    </w:rPr>
  </w:style>
  <w:style w:type="paragraph" w:customStyle="1" w:styleId="446">
    <w:name w:val="项目名称"/>
    <w:basedOn w:val="1"/>
    <w:next w:val="1"/>
    <w:link w:val="445"/>
    <w:semiHidden/>
    <w:qFormat/>
    <w:uiPriority w:val="0"/>
    <w:pPr>
      <w:spacing w:line="800" w:lineRule="atLeast"/>
      <w:ind w:firstLine="0" w:firstLineChars="0"/>
      <w:jc w:val="center"/>
      <w:outlineLvl w:val="0"/>
    </w:pPr>
    <w:rPr>
      <w:rFonts w:ascii="黑体" w:hAnsi="黑体" w:eastAsia="黑体"/>
      <w:sz w:val="52"/>
      <w:szCs w:val="52"/>
    </w:rPr>
  </w:style>
  <w:style w:type="paragraph" w:customStyle="1" w:styleId="447">
    <w:name w:val="默认段落字体 Para Char Char Char Char"/>
    <w:basedOn w:val="1"/>
    <w:qFormat/>
    <w:uiPriority w:val="0"/>
    <w:pPr>
      <w:spacing w:line="240" w:lineRule="auto"/>
      <w:ind w:firstLine="0" w:firstLineChars="0"/>
    </w:pPr>
    <w:rPr>
      <w:rFonts w:ascii="宋体" w:cs="Times New Roman"/>
      <w:kern w:val="0"/>
      <w:sz w:val="18"/>
      <w:szCs w:val="20"/>
      <w:u w:val="single"/>
    </w:rPr>
  </w:style>
  <w:style w:type="paragraph" w:customStyle="1" w:styleId="448">
    <w:name w:val="列表接续 31"/>
    <w:basedOn w:val="1"/>
    <w:qFormat/>
    <w:uiPriority w:val="0"/>
    <w:pPr>
      <w:spacing w:after="120" w:line="440" w:lineRule="exact"/>
      <w:ind w:left="1260" w:leftChars="600" w:firstLine="720"/>
    </w:pPr>
    <w:rPr>
      <w:rFonts w:ascii="Tahoma" w:hAnsi="Tahoma" w:cs="Garamond"/>
      <w:kern w:val="0"/>
      <w:szCs w:val="24"/>
    </w:rPr>
  </w:style>
  <w:style w:type="paragraph" w:customStyle="1" w:styleId="449">
    <w:name w:val="评价样式1"/>
    <w:basedOn w:val="1"/>
    <w:next w:val="34"/>
    <w:qFormat/>
    <w:uiPriority w:val="0"/>
    <w:pPr>
      <w:spacing w:line="440" w:lineRule="exact"/>
      <w:ind w:firstLine="480"/>
    </w:pPr>
    <w:rPr>
      <w:rFonts w:ascii="宋体" w:hAnsi="宋体" w:cs="Times New Roman"/>
      <w:color w:val="000000"/>
      <w:szCs w:val="24"/>
    </w:rPr>
  </w:style>
  <w:style w:type="character" w:customStyle="1" w:styleId="450">
    <w:name w:val="表号 Char2"/>
    <w:basedOn w:val="133"/>
    <w:link w:val="451"/>
    <w:qFormat/>
    <w:locked/>
    <w:uiPriority w:val="0"/>
    <w:rPr>
      <w:rFonts w:ascii="宋体" w:hAnsi="宋体" w:eastAsia="宋体"/>
      <w:sz w:val="24"/>
    </w:rPr>
  </w:style>
  <w:style w:type="paragraph" w:customStyle="1" w:styleId="451">
    <w:name w:val="表号"/>
    <w:link w:val="450"/>
    <w:qFormat/>
    <w:uiPriority w:val="0"/>
    <w:pPr>
      <w:adjustRightInd w:val="0"/>
      <w:snapToGrid w:val="0"/>
      <w:spacing w:line="240" w:lineRule="atLeast"/>
      <w:jc w:val="both"/>
      <w:outlineLvl w:val="4"/>
    </w:pPr>
    <w:rPr>
      <w:rFonts w:ascii="宋体" w:hAnsi="宋体" w:eastAsia="宋体" w:cstheme="minorBidi"/>
      <w:kern w:val="2"/>
      <w:sz w:val="24"/>
      <w:szCs w:val="21"/>
      <w:lang w:val="en-US" w:eastAsia="zh-CN" w:bidi="ar-SA"/>
    </w:rPr>
  </w:style>
  <w:style w:type="paragraph" w:customStyle="1" w:styleId="452">
    <w:name w:val="样式 标题 3头标题3H3h33rd level第二层条标题 3 Char小标题小节标题标题 3 Char ...1"/>
    <w:basedOn w:val="5"/>
    <w:qFormat/>
    <w:uiPriority w:val="0"/>
    <w:pPr>
      <w:tabs>
        <w:tab w:val="left" w:pos="1740"/>
      </w:tabs>
      <w:spacing w:before="240" w:after="240" w:line="240" w:lineRule="exact"/>
      <w:ind w:left="1740" w:hanging="420" w:firstLineChars="200"/>
      <w:jc w:val="left"/>
    </w:pPr>
    <w:rPr>
      <w:rFonts w:ascii="FLGPEK+TimesNewRoman,Italic" w:hAnsi="FLGPEK+TimesNewRoman,Italic" w:eastAsia="华文仿宋" w:cs="Garamond"/>
      <w:color w:val="000000"/>
      <w:kern w:val="0"/>
      <w:sz w:val="30"/>
    </w:rPr>
  </w:style>
  <w:style w:type="paragraph" w:customStyle="1" w:styleId="453">
    <w:name w:val="标题1样式"/>
    <w:basedOn w:val="3"/>
    <w:semiHidden/>
    <w:qFormat/>
    <w:uiPriority w:val="0"/>
    <w:pPr>
      <w:keepNext w:val="0"/>
      <w:keepLines w:val="0"/>
      <w:pageBreakBefore/>
      <w:spacing w:line="500" w:lineRule="exact"/>
    </w:pPr>
    <w:rPr>
      <w:rFonts w:ascii="宋体" w:hAnsi="宋体"/>
      <w:kern w:val="2"/>
      <w:sz w:val="24"/>
      <w:szCs w:val="21"/>
    </w:rPr>
  </w:style>
  <w:style w:type="paragraph" w:customStyle="1" w:styleId="454">
    <w:name w:val="章标题"/>
    <w:next w:val="6"/>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455">
    <w:name w:val="样式 五号 黑色 行距: 多倍行距 1.4 字行"/>
    <w:basedOn w:val="1"/>
    <w:qFormat/>
    <w:uiPriority w:val="0"/>
    <w:pPr>
      <w:spacing w:line="336" w:lineRule="auto"/>
      <w:ind w:firstLine="0" w:firstLineChars="0"/>
    </w:pPr>
    <w:rPr>
      <w:rFonts w:cs="Times New Roman"/>
      <w:sz w:val="21"/>
    </w:rPr>
  </w:style>
  <w:style w:type="character" w:customStyle="1" w:styleId="456">
    <w:name w:val="编号-论文正文 Char"/>
    <w:link w:val="457"/>
    <w:qFormat/>
    <w:locked/>
    <w:uiPriority w:val="0"/>
    <w:rPr>
      <w:szCs w:val="24"/>
    </w:rPr>
  </w:style>
  <w:style w:type="paragraph" w:customStyle="1" w:styleId="457">
    <w:name w:val="编号-论文正文"/>
    <w:basedOn w:val="1"/>
    <w:link w:val="456"/>
    <w:qFormat/>
    <w:uiPriority w:val="0"/>
    <w:pPr>
      <w:tabs>
        <w:tab w:val="left" w:pos="0"/>
        <w:tab w:val="left" w:pos="1260"/>
      </w:tabs>
      <w:spacing w:line="240" w:lineRule="auto"/>
      <w:ind w:firstLine="840" w:firstLineChars="0"/>
    </w:pPr>
    <w:rPr>
      <w:rFonts w:asciiTheme="minorHAnsi" w:hAnsiTheme="minorHAnsi" w:eastAsiaTheme="minorEastAsia"/>
      <w:sz w:val="21"/>
      <w:szCs w:val="24"/>
    </w:rPr>
  </w:style>
  <w:style w:type="character" w:customStyle="1" w:styleId="458">
    <w:name w:val="段落 Char Char"/>
    <w:link w:val="459"/>
    <w:semiHidden/>
    <w:qFormat/>
    <w:locked/>
    <w:uiPriority w:val="0"/>
    <w:rPr>
      <w:sz w:val="24"/>
    </w:rPr>
  </w:style>
  <w:style w:type="paragraph" w:customStyle="1" w:styleId="459">
    <w:name w:val="段落"/>
    <w:basedOn w:val="1"/>
    <w:link w:val="458"/>
    <w:semiHidden/>
    <w:qFormat/>
    <w:uiPriority w:val="0"/>
    <w:pPr>
      <w:spacing w:line="420" w:lineRule="exact"/>
      <w:ind w:firstLine="480"/>
    </w:pPr>
    <w:rPr>
      <w:rFonts w:asciiTheme="minorHAnsi" w:hAnsiTheme="minorHAnsi" w:eastAsiaTheme="minorEastAsia"/>
    </w:rPr>
  </w:style>
  <w:style w:type="character" w:customStyle="1" w:styleId="460">
    <w:name w:val="lfu正文 Char Char"/>
    <w:link w:val="461"/>
    <w:semiHidden/>
    <w:qFormat/>
    <w:locked/>
    <w:uiPriority w:val="0"/>
    <w:rPr>
      <w:rFonts w:ascii="宋体" w:hAnsi="宋体" w:eastAsia="宋体"/>
      <w:color w:val="000000"/>
      <w:sz w:val="24"/>
      <w:szCs w:val="24"/>
    </w:rPr>
  </w:style>
  <w:style w:type="paragraph" w:customStyle="1" w:styleId="461">
    <w:name w:val="lfu正文"/>
    <w:basedOn w:val="1"/>
    <w:link w:val="460"/>
    <w:semiHidden/>
    <w:qFormat/>
    <w:uiPriority w:val="0"/>
    <w:rPr>
      <w:rFonts w:ascii="宋体" w:hAnsi="宋体"/>
      <w:color w:val="000000"/>
      <w:szCs w:val="24"/>
    </w:rPr>
  </w:style>
  <w:style w:type="paragraph" w:customStyle="1" w:styleId="462">
    <w:name w:val="Char Char Char Char Char Char Char Char Char Char Char Char Char Char Char Char Char Char Char Char Char Char Char Char1"/>
    <w:basedOn w:val="5"/>
    <w:semiHidden/>
    <w:qFormat/>
    <w:uiPriority w:val="0"/>
    <w:pPr>
      <w:tabs>
        <w:tab w:val="left" w:pos="360"/>
        <w:tab w:val="left" w:pos="900"/>
      </w:tabs>
      <w:snapToGrid w:val="0"/>
      <w:spacing w:before="120" w:after="120"/>
      <w:ind w:left="542" w:leftChars="-12" w:firstLine="200" w:firstLineChars="200"/>
      <w:jc w:val="left"/>
    </w:pPr>
    <w:rPr>
      <w:b w:val="0"/>
      <w:bCs w:val="0"/>
      <w:sz w:val="24"/>
      <w:szCs w:val="24"/>
    </w:rPr>
  </w:style>
  <w:style w:type="paragraph" w:customStyle="1" w:styleId="463">
    <w:name w:val="1标题3级"/>
    <w:basedOn w:val="1"/>
    <w:qFormat/>
    <w:uiPriority w:val="0"/>
    <w:pPr>
      <w:keepNext/>
      <w:snapToGrid w:val="0"/>
      <w:spacing w:beforeLines="50" w:afterLines="50" w:line="440" w:lineRule="exact"/>
      <w:jc w:val="left"/>
      <w:outlineLvl w:val="2"/>
    </w:pPr>
    <w:rPr>
      <w:rFonts w:eastAsia="黑体" w:cs="Times New Roman"/>
      <w:b/>
      <w:szCs w:val="20"/>
    </w:rPr>
  </w:style>
  <w:style w:type="paragraph" w:customStyle="1" w:styleId="464">
    <w:name w:val="连续正文文字"/>
    <w:basedOn w:val="34"/>
    <w:semiHidden/>
    <w:qFormat/>
    <w:uiPriority w:val="0"/>
    <w:pPr>
      <w:keepNext/>
      <w:widowControl/>
      <w:spacing w:after="220" w:line="180" w:lineRule="atLeast"/>
      <w:ind w:firstLine="0" w:firstLineChars="0"/>
    </w:pPr>
    <w:rPr>
      <w:rFonts w:ascii="Arial" w:hAnsi="Arial" w:cs="Times New Roman"/>
      <w:spacing w:val="-5"/>
      <w:kern w:val="0"/>
      <w:sz w:val="21"/>
      <w:szCs w:val="20"/>
    </w:rPr>
  </w:style>
  <w:style w:type="paragraph" w:customStyle="1" w:styleId="465">
    <w:name w:val="Char Char Char Char Char Char Char Char Char Char Char Char Char Char Char Char"/>
    <w:basedOn w:val="5"/>
    <w:qFormat/>
    <w:uiPriority w:val="0"/>
    <w:pPr>
      <w:tabs>
        <w:tab w:val="left" w:pos="360"/>
        <w:tab w:val="left" w:pos="900"/>
      </w:tabs>
      <w:snapToGrid w:val="0"/>
      <w:spacing w:before="120" w:after="120"/>
      <w:ind w:left="542" w:leftChars="-12" w:firstLine="200" w:firstLineChars="200"/>
      <w:jc w:val="left"/>
    </w:pPr>
    <w:rPr>
      <w:rFonts w:ascii="Verdana" w:hAnsi="Verdana" w:cs="宋体"/>
      <w:b w:val="0"/>
      <w:bCs w:val="0"/>
      <w:kern w:val="0"/>
      <w:sz w:val="24"/>
      <w:szCs w:val="24"/>
    </w:rPr>
  </w:style>
  <w:style w:type="paragraph" w:customStyle="1" w:styleId="466">
    <w:name w:val="Char Char1 Char"/>
    <w:basedOn w:val="1"/>
    <w:next w:val="1"/>
    <w:qFormat/>
    <w:uiPriority w:val="0"/>
    <w:rPr>
      <w:rFonts w:ascii="宋体" w:hAnsi="宋体" w:cs="宋体"/>
      <w:szCs w:val="24"/>
    </w:rPr>
  </w:style>
  <w:style w:type="paragraph" w:customStyle="1" w:styleId="467">
    <w:name w:val="Char2 Char Char Char Char Char Char"/>
    <w:basedOn w:val="1"/>
    <w:qFormat/>
    <w:uiPriority w:val="0"/>
    <w:pPr>
      <w:spacing w:line="240" w:lineRule="auto"/>
      <w:ind w:firstLine="0" w:firstLineChars="0"/>
    </w:pPr>
    <w:rPr>
      <w:rFonts w:cs="Times New Roman"/>
      <w:sz w:val="21"/>
      <w:szCs w:val="24"/>
    </w:rPr>
  </w:style>
  <w:style w:type="paragraph" w:customStyle="1" w:styleId="468">
    <w:name w:val="公式样式1"/>
    <w:basedOn w:val="1"/>
    <w:qFormat/>
    <w:uiPriority w:val="0"/>
    <w:pPr>
      <w:spacing w:line="240" w:lineRule="auto"/>
      <w:ind w:firstLine="0" w:firstLineChars="0"/>
      <w:jc w:val="center"/>
    </w:pPr>
    <w:rPr>
      <w:rFonts w:ascii="宋体" w:hAnsi="宋体" w:cs="Times New Roman"/>
      <w:color w:val="FF0000"/>
      <w:sz w:val="21"/>
      <w:szCs w:val="24"/>
    </w:rPr>
  </w:style>
  <w:style w:type="paragraph" w:customStyle="1" w:styleId="469">
    <w:name w:val="列表 41"/>
    <w:basedOn w:val="1"/>
    <w:qFormat/>
    <w:uiPriority w:val="0"/>
    <w:pPr>
      <w:spacing w:line="440" w:lineRule="exact"/>
      <w:ind w:left="100" w:leftChars="600" w:hanging="200" w:hangingChars="200"/>
    </w:pPr>
    <w:rPr>
      <w:rFonts w:ascii="Tahoma" w:hAnsi="Tahoma" w:cs="Garamond"/>
      <w:kern w:val="0"/>
      <w:szCs w:val="24"/>
    </w:rPr>
  </w:style>
  <w:style w:type="paragraph" w:customStyle="1" w:styleId="470">
    <w:name w:val="table"/>
    <w:basedOn w:val="1"/>
    <w:qFormat/>
    <w:uiPriority w:val="0"/>
    <w:pPr>
      <w:adjustRightInd w:val="0"/>
      <w:spacing w:line="240" w:lineRule="atLeast"/>
      <w:ind w:firstLine="0" w:firstLineChars="0"/>
    </w:pPr>
    <w:rPr>
      <w:rFonts w:ascii="Arial" w:hAnsi="Arial" w:cs="Times New Roman"/>
      <w:spacing w:val="-2"/>
      <w:kern w:val="0"/>
      <w:sz w:val="21"/>
      <w:szCs w:val="20"/>
    </w:rPr>
  </w:style>
  <w:style w:type="paragraph" w:customStyle="1" w:styleId="471">
    <w:name w:val="xl22"/>
    <w:basedOn w:val="1"/>
    <w:qFormat/>
    <w:uiPriority w:val="0"/>
    <w:pPr>
      <w:widowControl/>
      <w:spacing w:before="100" w:beforeAutospacing="1" w:after="100" w:afterAutospacing="1" w:line="240" w:lineRule="auto"/>
      <w:ind w:firstLine="0" w:firstLineChars="0"/>
      <w:jc w:val="center"/>
    </w:pPr>
    <w:rPr>
      <w:rFonts w:ascii="Arial Unicode MS" w:hAnsi="Arial Unicode MS" w:cs="Times New Roman"/>
      <w:kern w:val="0"/>
      <w:sz w:val="21"/>
      <w:szCs w:val="20"/>
    </w:rPr>
  </w:style>
  <w:style w:type="paragraph" w:customStyle="1" w:styleId="472">
    <w:name w:val="xl26 Char"/>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Times New Roman"/>
      <w:kern w:val="0"/>
      <w:sz w:val="20"/>
      <w:szCs w:val="20"/>
    </w:rPr>
  </w:style>
  <w:style w:type="paragraph" w:customStyle="1" w:styleId="473">
    <w:name w:val="样式 标题 3 + 行距: 1.5 倍行距"/>
    <w:basedOn w:val="5"/>
    <w:semiHidden/>
    <w:qFormat/>
    <w:uiPriority w:val="0"/>
    <w:pPr>
      <w:adjustRightInd w:val="0"/>
      <w:spacing w:line="520" w:lineRule="exact"/>
      <w:jc w:val="left"/>
    </w:pPr>
    <w:rPr>
      <w:rFonts w:ascii="Gungsuh" w:hAnsi="Gungsuh" w:cs="宋体"/>
      <w:sz w:val="24"/>
      <w:szCs w:val="20"/>
    </w:rPr>
  </w:style>
  <w:style w:type="paragraph" w:customStyle="1" w:styleId="474">
    <w:name w:val="样式 首行缩进:  2 字符14"/>
    <w:basedOn w:val="1"/>
    <w:qFormat/>
    <w:uiPriority w:val="0"/>
    <w:pPr>
      <w:spacing w:line="520" w:lineRule="exact"/>
      <w:ind w:firstLine="560"/>
    </w:pPr>
    <w:rPr>
      <w:rFonts w:cs="宋体"/>
      <w:szCs w:val="20"/>
    </w:rPr>
  </w:style>
  <w:style w:type="paragraph" w:customStyle="1" w:styleId="475">
    <w:name w:val="Char Char Char Char Char Char Char"/>
    <w:basedOn w:val="1"/>
    <w:qFormat/>
    <w:uiPriority w:val="0"/>
    <w:rPr>
      <w:rFonts w:ascii="宋体" w:hAnsi="宋体" w:cs="宋体"/>
      <w:szCs w:val="24"/>
    </w:rPr>
  </w:style>
  <w:style w:type="character" w:customStyle="1" w:styleId="476">
    <w:name w:val="0905正文样式 Char"/>
    <w:link w:val="477"/>
    <w:qFormat/>
    <w:locked/>
    <w:uiPriority w:val="0"/>
    <w:rPr>
      <w:sz w:val="28"/>
      <w:szCs w:val="28"/>
    </w:rPr>
  </w:style>
  <w:style w:type="paragraph" w:customStyle="1" w:styleId="477">
    <w:name w:val="0905正文样式"/>
    <w:basedOn w:val="1"/>
    <w:link w:val="476"/>
    <w:qFormat/>
    <w:uiPriority w:val="0"/>
    <w:pPr>
      <w:adjustRightInd w:val="0"/>
      <w:snapToGrid w:val="0"/>
      <w:spacing w:line="336" w:lineRule="auto"/>
    </w:pPr>
    <w:rPr>
      <w:rFonts w:asciiTheme="minorHAnsi" w:hAnsiTheme="minorHAnsi" w:eastAsiaTheme="minorEastAsia"/>
      <w:sz w:val="28"/>
      <w:szCs w:val="28"/>
    </w:rPr>
  </w:style>
  <w:style w:type="paragraph" w:customStyle="1" w:styleId="478">
    <w:name w:val="默认段落字体 Para Char"/>
    <w:basedOn w:val="1"/>
    <w:next w:val="1"/>
    <w:qFormat/>
    <w:uiPriority w:val="0"/>
    <w:rPr>
      <w:rFonts w:ascii="宋体" w:hAnsi="宋体" w:cs="Times New Roman"/>
      <w:szCs w:val="20"/>
    </w:rPr>
  </w:style>
  <w:style w:type="paragraph" w:customStyle="1" w:styleId="479">
    <w:name w:val="5正文形式"/>
    <w:basedOn w:val="1"/>
    <w:qFormat/>
    <w:uiPriority w:val="0"/>
    <w:pPr>
      <w:adjustRightInd w:val="0"/>
      <w:snapToGrid w:val="0"/>
      <w:spacing w:line="240" w:lineRule="auto"/>
      <w:ind w:left="84" w:leftChars="40" w:right="-10498" w:rightChars="-4999" w:firstLine="562"/>
    </w:pPr>
    <w:rPr>
      <w:rFonts w:ascii="仿宋_GB2312" w:eastAsia="仿宋_GB2312" w:cs="Times New Roman"/>
      <w:b/>
      <w:sz w:val="28"/>
      <w:szCs w:val="28"/>
    </w:rPr>
  </w:style>
  <w:style w:type="paragraph" w:customStyle="1" w:styleId="480">
    <w:name w:val="正文-中宋 小4"/>
    <w:qFormat/>
    <w:uiPriority w:val="0"/>
    <w:pPr>
      <w:overflowPunct w:val="0"/>
      <w:autoSpaceDE w:val="0"/>
      <w:autoSpaceDN w:val="0"/>
      <w:adjustRightInd w:val="0"/>
      <w:snapToGrid w:val="0"/>
      <w:spacing w:line="500" w:lineRule="exact"/>
      <w:ind w:firstLine="480" w:firstLineChars="200"/>
    </w:pPr>
    <w:rPr>
      <w:rFonts w:ascii="Times New Roman" w:hAnsi="Times New Roman" w:eastAsia="华文中宋" w:cs="Times New Roman"/>
      <w:sz w:val="24"/>
      <w:szCs w:val="24"/>
      <w:lang w:val="en-US" w:eastAsia="zh-CN" w:bidi="ar-SA"/>
    </w:rPr>
  </w:style>
  <w:style w:type="paragraph" w:customStyle="1" w:styleId="481">
    <w:name w:val="Char Char5 Char Char Char Char Char Char Char Char Char2"/>
    <w:basedOn w:val="5"/>
    <w:qFormat/>
    <w:uiPriority w:val="0"/>
    <w:pPr>
      <w:tabs>
        <w:tab w:val="left" w:pos="360"/>
        <w:tab w:val="left" w:pos="900"/>
      </w:tabs>
      <w:snapToGrid w:val="0"/>
      <w:spacing w:before="120" w:after="120" w:line="440" w:lineRule="atLeast"/>
      <w:ind w:left="542" w:leftChars="-12" w:firstLine="200" w:firstLineChars="200"/>
      <w:jc w:val="left"/>
    </w:pPr>
    <w:rPr>
      <w:rFonts w:ascii="FLGPEK+TimesNewRoman,Italic" w:hAnsi="FLGPEK+TimesNewRoman,Italic" w:eastAsia="宋体" w:cs="Garamond"/>
      <w:b w:val="0"/>
      <w:color w:val="000000"/>
      <w:sz w:val="30"/>
      <w:szCs w:val="24"/>
    </w:rPr>
  </w:style>
  <w:style w:type="paragraph" w:customStyle="1" w:styleId="482">
    <w:name w:val="样式9"/>
    <w:basedOn w:val="1"/>
    <w:semiHidden/>
    <w:qFormat/>
    <w:uiPriority w:val="0"/>
    <w:pPr>
      <w:widowControl/>
      <w:spacing w:before="100" w:beforeAutospacing="1" w:after="100" w:afterAutospacing="1" w:line="240" w:lineRule="auto"/>
      <w:ind w:firstLine="0" w:firstLineChars="0"/>
      <w:jc w:val="left"/>
    </w:pPr>
    <w:rPr>
      <w:rFonts w:ascii="宋体" w:hAnsi="宋体" w:cs="宋体"/>
      <w:b/>
      <w:bCs/>
      <w:color w:val="FF0000"/>
      <w:kern w:val="0"/>
      <w:sz w:val="27"/>
      <w:szCs w:val="27"/>
    </w:rPr>
  </w:style>
  <w:style w:type="paragraph" w:customStyle="1" w:styleId="483">
    <w:name w:val="Char Char Char Char Char Char"/>
    <w:basedOn w:val="1"/>
    <w:next w:val="1"/>
    <w:semiHidden/>
    <w:qFormat/>
    <w:uiPriority w:val="0"/>
    <w:rPr>
      <w:rFonts w:ascii="宋体" w:hAnsi="宋体" w:cs="宋体"/>
      <w:szCs w:val="28"/>
    </w:rPr>
  </w:style>
  <w:style w:type="paragraph" w:customStyle="1" w:styleId="484">
    <w:name w:val="样式 标题 1H1NMP Heading 1 + (中文) 黑体 小一 居中 段前: 0 磅 段后: 0 磅 行距..."/>
    <w:basedOn w:val="3"/>
    <w:qFormat/>
    <w:uiPriority w:val="0"/>
    <w:pPr>
      <w:spacing w:afterLines="100"/>
      <w:jc w:val="center"/>
    </w:pPr>
    <w:rPr>
      <w:b w:val="0"/>
      <w:bCs w:val="0"/>
      <w:sz w:val="52"/>
      <w:szCs w:val="20"/>
    </w:rPr>
  </w:style>
  <w:style w:type="paragraph" w:customStyle="1" w:styleId="485">
    <w:name w:val="Address 2"/>
    <w:basedOn w:val="1"/>
    <w:qFormat/>
    <w:uiPriority w:val="0"/>
    <w:pPr>
      <w:framePr w:w="2405" w:wrap="notBeside" w:vAnchor="page" w:hAnchor="page" w:x="5761" w:y="1009" w:anchorLock="1"/>
      <w:widowControl/>
      <w:spacing w:line="200" w:lineRule="atLeast"/>
      <w:ind w:firstLine="0" w:firstLineChars="0"/>
      <w:jc w:val="left"/>
    </w:pPr>
    <w:rPr>
      <w:rFonts w:cs="Times New Roman"/>
      <w:kern w:val="0"/>
      <w:sz w:val="16"/>
      <w:szCs w:val="20"/>
    </w:rPr>
  </w:style>
  <w:style w:type="paragraph" w:customStyle="1" w:styleId="486">
    <w:name w:val="1标题4级"/>
    <w:basedOn w:val="463"/>
    <w:qFormat/>
    <w:uiPriority w:val="0"/>
    <w:pPr>
      <w:spacing w:beforeLines="0" w:afterLines="0"/>
      <w:jc w:val="both"/>
    </w:pPr>
  </w:style>
  <w:style w:type="paragraph" w:customStyle="1" w:styleId="487">
    <w:name w:val="Normal Char"/>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488">
    <w:name w:val="表格内正文"/>
    <w:qFormat/>
    <w:uiPriority w:val="0"/>
    <w:pPr>
      <w:widowControl w:val="0"/>
      <w:spacing w:line="360" w:lineRule="exact"/>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489">
    <w:name w:val="正文dh"/>
    <w:basedOn w:val="1"/>
    <w:qFormat/>
    <w:uiPriority w:val="0"/>
    <w:pPr>
      <w:spacing w:line="520" w:lineRule="exact"/>
      <w:ind w:firstLine="482" w:firstLineChars="0"/>
    </w:pPr>
    <w:rPr>
      <w:rFonts w:cs="Times New Roman"/>
      <w:sz w:val="21"/>
      <w:szCs w:val="24"/>
    </w:rPr>
  </w:style>
  <w:style w:type="paragraph" w:customStyle="1" w:styleId="490">
    <w:name w:val="Char Char Char Char Char Char1 Char Char Char Char"/>
    <w:basedOn w:val="1"/>
    <w:semiHidden/>
    <w:qFormat/>
    <w:uiPriority w:val="0"/>
    <w:rPr>
      <w:rFonts w:ascii="宋体" w:hAnsi="宋体" w:cs="宋体"/>
      <w:szCs w:val="24"/>
    </w:rPr>
  </w:style>
  <w:style w:type="paragraph" w:customStyle="1" w:styleId="491">
    <w:name w:val="样式 首行缩进:  0.85 厘米"/>
    <w:basedOn w:val="1"/>
    <w:qFormat/>
    <w:uiPriority w:val="0"/>
    <w:pPr>
      <w:snapToGrid w:val="0"/>
      <w:spacing w:line="240" w:lineRule="auto"/>
    </w:pPr>
    <w:rPr>
      <w:rFonts w:cs="Times New Roman"/>
      <w:szCs w:val="20"/>
    </w:rPr>
  </w:style>
  <w:style w:type="paragraph" w:customStyle="1" w:styleId="492">
    <w:name w:val="样式 表格文字 + 首行缩进:  2 字符"/>
    <w:basedOn w:val="390"/>
    <w:qFormat/>
    <w:uiPriority w:val="0"/>
    <w:pPr>
      <w:tabs>
        <w:tab w:val="left" w:pos="1960"/>
      </w:tabs>
      <w:snapToGrid/>
      <w:spacing w:line="400" w:lineRule="exact"/>
      <w:ind w:firstLine="0"/>
      <w:jc w:val="both"/>
    </w:pPr>
    <w:rPr>
      <w:rFonts w:eastAsia="仿宋_GB2312"/>
      <w:bCs w:val="0"/>
      <w:kern w:val="24"/>
      <w:sz w:val="24"/>
    </w:rPr>
  </w:style>
  <w:style w:type="paragraph" w:customStyle="1" w:styleId="493">
    <w:name w:val="s16qcsl240slmult0nowidct"/>
    <w:qFormat/>
    <w:uiPriority w:val="0"/>
    <w:pPr>
      <w:widowControl w:val="0"/>
      <w:adjustRightInd w:val="0"/>
    </w:pPr>
    <w:rPr>
      <w:rFonts w:ascii="Times New Roman" w:hAnsi="Times New Roman" w:eastAsia="宋体" w:cs="Times New Roman"/>
      <w:sz w:val="21"/>
      <w:lang w:val="en-US" w:eastAsia="zh-CN" w:bidi="ar-SA"/>
    </w:rPr>
  </w:style>
  <w:style w:type="paragraph" w:customStyle="1" w:styleId="494">
    <w:name w:val="样式 正文文字 + 首行缩进:  2 字符"/>
    <w:basedOn w:val="34"/>
    <w:qFormat/>
    <w:uiPriority w:val="0"/>
    <w:pPr>
      <w:widowControl/>
      <w:spacing w:after="0" w:line="420" w:lineRule="atLeast"/>
      <w:jc w:val="left"/>
    </w:pPr>
    <w:rPr>
      <w:rFonts w:cs="Times New Roman"/>
      <w:color w:val="FF0000"/>
      <w:kern w:val="0"/>
      <w:szCs w:val="24"/>
    </w:rPr>
  </w:style>
  <w:style w:type="paragraph" w:customStyle="1" w:styleId="495">
    <w:name w:val="表内式样"/>
    <w:qFormat/>
    <w:uiPriority w:val="0"/>
    <w:pPr>
      <w:keepLines/>
      <w:widowControl w:val="0"/>
      <w:kinsoku w:val="0"/>
      <w:overflowPunct w:val="0"/>
      <w:adjustRightInd w:val="0"/>
      <w:spacing w:line="360" w:lineRule="atLeast"/>
      <w:jc w:val="center"/>
    </w:pPr>
    <w:rPr>
      <w:rFonts w:ascii="宋体" w:hAnsi="Times New Roman" w:eastAsia="宋体" w:cs="Times New Roman"/>
      <w:kern w:val="21"/>
      <w:sz w:val="21"/>
      <w:lang w:val="en-US" w:eastAsia="zh-CN" w:bidi="ar-SA"/>
    </w:rPr>
  </w:style>
  <w:style w:type="paragraph" w:customStyle="1" w:styleId="496">
    <w:name w:val="T正文"/>
    <w:semiHidden/>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497">
    <w:name w:val="样式 样式1 + 五号 黑色 段前: 4 磅 段后: 4 磅 行距: 单倍行距"/>
    <w:basedOn w:val="1"/>
    <w:qFormat/>
    <w:uiPriority w:val="0"/>
    <w:pPr>
      <w:spacing w:before="80" w:after="80" w:line="240" w:lineRule="auto"/>
      <w:ind w:firstLine="0" w:firstLineChars="0"/>
    </w:pPr>
    <w:rPr>
      <w:rFonts w:cs="Times New Roman"/>
      <w:sz w:val="21"/>
    </w:rPr>
  </w:style>
  <w:style w:type="character" w:customStyle="1" w:styleId="498">
    <w:name w:val="xl35 Char"/>
    <w:link w:val="499"/>
    <w:locked/>
    <w:uiPriority w:val="0"/>
    <w:rPr>
      <w:rFonts w:ascii="Arial Unicode MS" w:hAnsi="Arial Unicode MS" w:eastAsia="Arial Unicode MS" w:cs="Arial Unicode MS"/>
      <w:sz w:val="18"/>
      <w:szCs w:val="18"/>
    </w:rPr>
  </w:style>
  <w:style w:type="paragraph" w:customStyle="1" w:styleId="499">
    <w:name w:val="xl35"/>
    <w:basedOn w:val="1"/>
    <w:link w:val="498"/>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sz w:val="18"/>
      <w:szCs w:val="18"/>
    </w:rPr>
  </w:style>
  <w:style w:type="paragraph" w:customStyle="1" w:styleId="500">
    <w:name w:val="main"/>
    <w:basedOn w:val="1"/>
    <w:qFormat/>
    <w:uiPriority w:val="0"/>
    <w:pPr>
      <w:widowControl/>
      <w:spacing w:before="100" w:beforeAutospacing="1" w:after="100" w:afterAutospacing="1" w:line="240" w:lineRule="auto"/>
      <w:ind w:firstLine="400" w:firstLineChars="0"/>
      <w:jc w:val="left"/>
    </w:pPr>
    <w:rPr>
      <w:rFonts w:eastAsia="Arial Unicode MS" w:cs="Arial Unicode MS"/>
      <w:color w:val="0033CC"/>
      <w:kern w:val="0"/>
      <w:sz w:val="18"/>
      <w:szCs w:val="18"/>
    </w:rPr>
  </w:style>
  <w:style w:type="paragraph" w:customStyle="1" w:styleId="501">
    <w:name w:val="样式 标题 2 + (符号) Times New Roman"/>
    <w:basedOn w:val="4"/>
    <w:qFormat/>
    <w:uiPriority w:val="0"/>
    <w:rPr>
      <w:b w:val="0"/>
      <w:bCs w:val="0"/>
      <w:sz w:val="30"/>
      <w:szCs w:val="30"/>
    </w:rPr>
  </w:style>
  <w:style w:type="paragraph" w:customStyle="1" w:styleId="502">
    <w:name w:val="【表头】"/>
    <w:basedOn w:val="1"/>
    <w:qFormat/>
    <w:uiPriority w:val="0"/>
    <w:pPr>
      <w:spacing w:beforeLines="10" w:line="440" w:lineRule="exact"/>
      <w:ind w:firstLine="480"/>
      <w:jc w:val="center"/>
    </w:pPr>
    <w:rPr>
      <w:rFonts w:eastAsia="黑体" w:cs="Times New Roman"/>
      <w:b/>
      <w:kern w:val="0"/>
      <w:sz w:val="20"/>
      <w:szCs w:val="24"/>
    </w:rPr>
  </w:style>
  <w:style w:type="character" w:customStyle="1" w:styleId="503">
    <w:name w:val="gy-4 Char"/>
    <w:basedOn w:val="133"/>
    <w:link w:val="504"/>
    <w:qFormat/>
    <w:locked/>
    <w:uiPriority w:val="0"/>
    <w:rPr>
      <w:rFonts w:ascii="宋体" w:hAnsi="宋体" w:eastAsia="宋体" w:cs="Arial"/>
      <w:sz w:val="24"/>
      <w:szCs w:val="24"/>
    </w:rPr>
  </w:style>
  <w:style w:type="paragraph" w:customStyle="1" w:styleId="504">
    <w:name w:val="gy-4"/>
    <w:basedOn w:val="1"/>
    <w:link w:val="503"/>
    <w:qFormat/>
    <w:uiPriority w:val="0"/>
    <w:pPr>
      <w:widowControl/>
      <w:adjustRightInd w:val="0"/>
      <w:snapToGrid w:val="0"/>
      <w:spacing w:line="400" w:lineRule="atLeast"/>
      <w:ind w:firstLine="480"/>
    </w:pPr>
    <w:rPr>
      <w:rFonts w:ascii="宋体" w:hAnsi="宋体" w:cs="Arial"/>
      <w:szCs w:val="24"/>
    </w:rPr>
  </w:style>
  <w:style w:type="paragraph" w:customStyle="1" w:styleId="505">
    <w:name w:val="表小4"/>
    <w:basedOn w:val="1"/>
    <w:qFormat/>
    <w:uiPriority w:val="0"/>
    <w:pPr>
      <w:tabs>
        <w:tab w:val="left" w:pos="0"/>
        <w:tab w:val="left" w:pos="2619"/>
      </w:tabs>
      <w:adjustRightInd w:val="0"/>
      <w:snapToGrid w:val="0"/>
      <w:spacing w:line="0" w:lineRule="atLeast"/>
      <w:ind w:firstLine="0" w:firstLineChars="0"/>
      <w:jc w:val="center"/>
    </w:pPr>
    <w:rPr>
      <w:rFonts w:ascii="宋体" w:hAnsi="宋体" w:cs="Times New Roman"/>
      <w:sz w:val="28"/>
      <w:szCs w:val="20"/>
    </w:rPr>
  </w:style>
  <w:style w:type="character" w:customStyle="1" w:styleId="506">
    <w:name w:val="文章正文 Char"/>
    <w:basedOn w:val="133"/>
    <w:link w:val="507"/>
    <w:qFormat/>
    <w:locked/>
    <w:uiPriority w:val="0"/>
    <w:rPr>
      <w:rFonts w:ascii="仿宋_GB2312" w:eastAsia="仿宋_GB2312"/>
      <w:sz w:val="24"/>
      <w:szCs w:val="24"/>
    </w:rPr>
  </w:style>
  <w:style w:type="paragraph" w:customStyle="1" w:styleId="507">
    <w:name w:val="文章正文"/>
    <w:next w:val="1"/>
    <w:link w:val="506"/>
    <w:qFormat/>
    <w:uiPriority w:val="0"/>
    <w:pPr>
      <w:spacing w:line="360" w:lineRule="auto"/>
      <w:ind w:firstLine="482"/>
      <w:jc w:val="both"/>
    </w:pPr>
    <w:rPr>
      <w:rFonts w:ascii="仿宋_GB2312" w:eastAsia="仿宋_GB2312" w:hAnsiTheme="minorHAnsi" w:cstheme="minorBidi"/>
      <w:kern w:val="2"/>
      <w:sz w:val="24"/>
      <w:szCs w:val="24"/>
      <w:lang w:val="en-US" w:eastAsia="zh-CN" w:bidi="ar-SA"/>
    </w:rPr>
  </w:style>
  <w:style w:type="paragraph" w:customStyle="1" w:styleId="508">
    <w:name w:val="样式 题注 + 首行缩进:  2 字符"/>
    <w:basedOn w:val="1"/>
    <w:qFormat/>
    <w:uiPriority w:val="0"/>
    <w:pPr>
      <w:spacing w:before="100" w:beforeAutospacing="1" w:after="100" w:afterAutospacing="1"/>
    </w:pPr>
    <w:rPr>
      <w:rFonts w:ascii="Arial" w:hAnsi="Arial" w:eastAsia="黑体" w:cs="宋体"/>
      <w:szCs w:val="20"/>
    </w:rPr>
  </w:style>
  <w:style w:type="paragraph" w:customStyle="1" w:styleId="509">
    <w:name w:val="Char Char Char2 Char Char Char Char Char Char Char"/>
    <w:basedOn w:val="1"/>
    <w:qFormat/>
    <w:uiPriority w:val="0"/>
    <w:rPr>
      <w:rFonts w:ascii="宋体" w:hAnsi="宋体" w:cs="宋体"/>
      <w:szCs w:val="24"/>
    </w:rPr>
  </w:style>
  <w:style w:type="paragraph" w:customStyle="1" w:styleId="510">
    <w:name w:val="Char Char Char"/>
    <w:basedOn w:val="1"/>
    <w:qFormat/>
    <w:uiPriority w:val="0"/>
    <w:pPr>
      <w:spacing w:line="240" w:lineRule="auto"/>
      <w:ind w:firstLine="0" w:firstLineChars="0"/>
    </w:pPr>
    <w:rPr>
      <w:rFonts w:cs="Times New Roman"/>
      <w:sz w:val="21"/>
      <w:szCs w:val="24"/>
    </w:rPr>
  </w:style>
  <w:style w:type="character" w:customStyle="1" w:styleId="511">
    <w:name w:val="流程图 Char"/>
    <w:link w:val="512"/>
    <w:qFormat/>
    <w:locked/>
    <w:uiPriority w:val="0"/>
    <w:rPr>
      <w:rFonts w:ascii="宋体" w:hAnsi="宋体" w:eastAsia="宋体"/>
    </w:rPr>
  </w:style>
  <w:style w:type="paragraph" w:customStyle="1" w:styleId="512">
    <w:name w:val="流程图"/>
    <w:basedOn w:val="1"/>
    <w:link w:val="511"/>
    <w:qFormat/>
    <w:uiPriority w:val="0"/>
    <w:pPr>
      <w:tabs>
        <w:tab w:val="left" w:pos="0"/>
      </w:tabs>
      <w:autoSpaceDE w:val="0"/>
      <w:autoSpaceDN w:val="0"/>
      <w:adjustRightInd w:val="0"/>
      <w:spacing w:line="240" w:lineRule="atLeast"/>
      <w:ind w:firstLine="0" w:firstLineChars="0"/>
      <w:jc w:val="center"/>
    </w:pPr>
    <w:rPr>
      <w:rFonts w:ascii="宋体" w:hAnsi="宋体"/>
      <w:sz w:val="21"/>
    </w:rPr>
  </w:style>
  <w:style w:type="character" w:customStyle="1" w:styleId="513">
    <w:name w:val="正文 小丹 Char1"/>
    <w:basedOn w:val="133"/>
    <w:link w:val="514"/>
    <w:semiHidden/>
    <w:qFormat/>
    <w:locked/>
    <w:uiPriority w:val="0"/>
    <w:rPr>
      <w:rFonts w:ascii="宋体" w:hAnsi="宋体" w:eastAsia="宋体"/>
      <w:color w:val="000000"/>
      <w:spacing w:val="6"/>
      <w:sz w:val="24"/>
      <w:szCs w:val="24"/>
    </w:rPr>
  </w:style>
  <w:style w:type="paragraph" w:customStyle="1" w:styleId="514">
    <w:name w:val="正文 小丹"/>
    <w:basedOn w:val="86"/>
    <w:link w:val="513"/>
    <w:semiHidden/>
    <w:qFormat/>
    <w:uiPriority w:val="0"/>
    <w:pPr>
      <w:adjustRightInd w:val="0"/>
      <w:snapToGrid w:val="0"/>
      <w:spacing w:after="0" w:line="360" w:lineRule="auto"/>
      <w:ind w:firstLine="200" w:firstLineChars="200"/>
    </w:pPr>
    <w:rPr>
      <w:rFonts w:ascii="宋体" w:hAnsi="宋体" w:cstheme="minorBidi"/>
      <w:color w:val="000000"/>
      <w:spacing w:val="6"/>
      <w:sz w:val="24"/>
    </w:rPr>
  </w:style>
  <w:style w:type="paragraph" w:customStyle="1" w:styleId="515">
    <w:name w:val="正文表格"/>
    <w:basedOn w:val="1"/>
    <w:qFormat/>
    <w:uiPriority w:val="0"/>
    <w:pPr>
      <w:keepNext/>
      <w:keepLines/>
      <w:tabs>
        <w:tab w:val="center" w:pos="6804"/>
      </w:tabs>
      <w:overflowPunct w:val="0"/>
      <w:adjustRightInd w:val="0"/>
      <w:spacing w:before="80" w:line="240" w:lineRule="auto"/>
      <w:ind w:firstLine="0" w:firstLineChars="0"/>
      <w:jc w:val="center"/>
    </w:pPr>
    <w:rPr>
      <w:rFonts w:cs="Times New Roman"/>
      <w:kern w:val="0"/>
      <w:sz w:val="28"/>
      <w:szCs w:val="20"/>
    </w:rPr>
  </w:style>
  <w:style w:type="paragraph" w:customStyle="1" w:styleId="516">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17">
    <w:name w:val="head"/>
    <w:basedOn w:val="1"/>
    <w:qFormat/>
    <w:uiPriority w:val="0"/>
    <w:pPr>
      <w:widowControl/>
      <w:spacing w:before="100" w:beforeAutospacing="1" w:after="100" w:afterAutospacing="1" w:line="240" w:lineRule="auto"/>
      <w:ind w:firstLine="0" w:firstLineChars="0"/>
      <w:jc w:val="left"/>
    </w:pPr>
    <w:rPr>
      <w:rFonts w:ascii="Arial" w:hAnsi="Arial" w:cs="Arial"/>
      <w:b/>
      <w:bCs/>
      <w:kern w:val="0"/>
      <w:sz w:val="21"/>
    </w:rPr>
  </w:style>
  <w:style w:type="character" w:customStyle="1" w:styleId="518">
    <w:name w:val="标题3 Char"/>
    <w:basedOn w:val="133"/>
    <w:link w:val="519"/>
    <w:qFormat/>
    <w:locked/>
    <w:uiPriority w:val="0"/>
    <w:rPr>
      <w:b/>
      <w:sz w:val="24"/>
    </w:rPr>
  </w:style>
  <w:style w:type="paragraph" w:customStyle="1" w:styleId="519">
    <w:name w:val="标题3"/>
    <w:basedOn w:val="1"/>
    <w:next w:val="1"/>
    <w:link w:val="518"/>
    <w:qFormat/>
    <w:uiPriority w:val="0"/>
    <w:pPr>
      <w:snapToGrid w:val="0"/>
      <w:spacing w:line="440" w:lineRule="atLeast"/>
      <w:ind w:firstLine="567" w:firstLineChars="0"/>
      <w:outlineLvl w:val="2"/>
    </w:pPr>
    <w:rPr>
      <w:rFonts w:asciiTheme="minorHAnsi" w:hAnsiTheme="minorHAnsi" w:eastAsiaTheme="minorEastAsia"/>
      <w:b/>
    </w:rPr>
  </w:style>
  <w:style w:type="character" w:customStyle="1" w:styleId="520">
    <w:name w:val="正文格式 Char"/>
    <w:basedOn w:val="133"/>
    <w:link w:val="521"/>
    <w:semiHidden/>
    <w:qFormat/>
    <w:locked/>
    <w:uiPriority w:val="0"/>
    <w:rPr>
      <w:rFonts w:ascii="宋体" w:hAnsi="宋体" w:eastAsia="宋体" w:cs="宋体"/>
      <w:sz w:val="24"/>
      <w:szCs w:val="24"/>
    </w:rPr>
  </w:style>
  <w:style w:type="paragraph" w:customStyle="1" w:styleId="521">
    <w:name w:val="正文格式"/>
    <w:basedOn w:val="1"/>
    <w:link w:val="520"/>
    <w:semiHidden/>
    <w:qFormat/>
    <w:uiPriority w:val="0"/>
    <w:pPr>
      <w:ind w:firstLine="544"/>
    </w:pPr>
    <w:rPr>
      <w:rFonts w:ascii="宋体" w:hAnsi="宋体" w:cs="宋体"/>
      <w:szCs w:val="24"/>
    </w:rPr>
  </w:style>
  <w:style w:type="paragraph" w:customStyle="1" w:styleId="522">
    <w:name w:val="样式 标题 2h2l22nd levelTitre22Header 2节标题 1.1 + 宋体 四号 左 段..."/>
    <w:basedOn w:val="4"/>
    <w:semiHidden/>
    <w:qFormat/>
    <w:uiPriority w:val="0"/>
    <w:pPr>
      <w:tabs>
        <w:tab w:val="left" w:pos="840"/>
      </w:tabs>
      <w:adjustRightInd w:val="0"/>
      <w:snapToGrid w:val="0"/>
      <w:spacing w:line="300" w:lineRule="exact"/>
      <w:ind w:firstLine="17"/>
      <w:jc w:val="left"/>
    </w:pPr>
    <w:rPr>
      <w:rFonts w:ascii="黑体" w:hAnsi="宋体" w:eastAsia="宋体"/>
      <w:kern w:val="44"/>
      <w:sz w:val="28"/>
      <w:szCs w:val="20"/>
    </w:rPr>
  </w:style>
  <w:style w:type="character" w:customStyle="1" w:styleId="523">
    <w:name w:val="FU2 Char"/>
    <w:basedOn w:val="133"/>
    <w:link w:val="524"/>
    <w:qFormat/>
    <w:locked/>
    <w:uiPriority w:val="0"/>
    <w:rPr>
      <w:rFonts w:ascii="黑体" w:hAnsi="宋体" w:eastAsia="黑体"/>
      <w:b/>
      <w:bCs/>
      <w:color w:val="000000"/>
      <w:sz w:val="24"/>
      <w:szCs w:val="24"/>
    </w:rPr>
  </w:style>
  <w:style w:type="paragraph" w:customStyle="1" w:styleId="524">
    <w:name w:val="FU2"/>
    <w:basedOn w:val="4"/>
    <w:link w:val="523"/>
    <w:qFormat/>
    <w:uiPriority w:val="0"/>
    <w:pPr>
      <w:spacing w:before="120" w:after="260" w:line="460" w:lineRule="exact"/>
    </w:pPr>
    <w:rPr>
      <w:rFonts w:ascii="黑体" w:hAnsi="宋体" w:cstheme="minorBidi"/>
      <w:color w:val="000000"/>
      <w:sz w:val="24"/>
      <w:szCs w:val="24"/>
    </w:rPr>
  </w:style>
  <w:style w:type="paragraph" w:customStyle="1" w:styleId="525">
    <w:name w:val="xl40"/>
    <w:basedOn w:val="1"/>
    <w:qFormat/>
    <w:uiPriority w:val="0"/>
    <w:pPr>
      <w:widowControl/>
      <w:pBdr>
        <w:bottom w:val="single" w:color="auto" w:sz="4" w:space="0"/>
        <w:right w:val="single" w:color="auto" w:sz="4" w:space="0"/>
      </w:pBdr>
      <w:spacing w:before="100" w:beforeAutospacing="1" w:after="100" w:afterAutospacing="1"/>
      <w:ind w:firstLine="0" w:firstLineChars="0"/>
      <w:jc w:val="center"/>
    </w:pPr>
    <w:rPr>
      <w:rFonts w:ascii="宋体" w:cs="Times New Roman"/>
      <w:color w:val="FF0000"/>
      <w:kern w:val="0"/>
    </w:rPr>
  </w:style>
  <w:style w:type="character" w:customStyle="1" w:styleId="526">
    <w:name w:val="正文(首行缩进) Char"/>
    <w:basedOn w:val="133"/>
    <w:link w:val="527"/>
    <w:qFormat/>
    <w:locked/>
    <w:uiPriority w:val="0"/>
    <w:rPr>
      <w:snapToGrid w:val="0"/>
      <w:sz w:val="24"/>
    </w:rPr>
  </w:style>
  <w:style w:type="paragraph" w:customStyle="1" w:styleId="527">
    <w:name w:val="正文(首行缩进)"/>
    <w:basedOn w:val="1"/>
    <w:link w:val="526"/>
    <w:qFormat/>
    <w:uiPriority w:val="0"/>
    <w:pPr>
      <w:adjustRightInd w:val="0"/>
      <w:snapToGrid w:val="0"/>
    </w:pPr>
    <w:rPr>
      <w:rFonts w:asciiTheme="minorHAnsi" w:hAnsiTheme="minorHAnsi" w:eastAsiaTheme="minorEastAsia"/>
      <w:snapToGrid w:val="0"/>
    </w:rPr>
  </w:style>
  <w:style w:type="paragraph" w:customStyle="1" w:styleId="528">
    <w:name w:val="南郊正文"/>
    <w:basedOn w:val="1"/>
    <w:next w:val="1"/>
    <w:qFormat/>
    <w:uiPriority w:val="0"/>
    <w:pPr>
      <w:spacing w:line="240" w:lineRule="auto"/>
      <w:ind w:firstLine="0" w:firstLineChars="0"/>
    </w:pPr>
    <w:rPr>
      <w:rFonts w:cs="Times New Roman"/>
      <w:szCs w:val="24"/>
    </w:rPr>
  </w:style>
  <w:style w:type="paragraph" w:customStyle="1" w:styleId="529">
    <w:name w:val="表格样式3"/>
    <w:basedOn w:val="1"/>
    <w:qFormat/>
    <w:uiPriority w:val="0"/>
    <w:pPr>
      <w:spacing w:line="320" w:lineRule="exact"/>
      <w:ind w:left="-105" w:leftChars="-50" w:right="-105" w:rightChars="-50" w:firstLine="0" w:firstLineChars="0"/>
      <w:jc w:val="center"/>
    </w:pPr>
    <w:rPr>
      <w:rFonts w:hAnsi="宋体" w:cs="Times New Roman"/>
      <w:szCs w:val="24"/>
    </w:rPr>
  </w:style>
  <w:style w:type="paragraph" w:customStyle="1" w:styleId="530">
    <w:name w:val="样式 红色 首行缩进:  2 字符"/>
    <w:basedOn w:val="1"/>
    <w:qFormat/>
    <w:uiPriority w:val="0"/>
    <w:pPr>
      <w:spacing w:line="480" w:lineRule="exact"/>
      <w:ind w:firstLine="480"/>
    </w:pPr>
    <w:rPr>
      <w:rFonts w:cs="宋体"/>
      <w:color w:val="FF0000"/>
      <w:szCs w:val="20"/>
    </w:rPr>
  </w:style>
  <w:style w:type="paragraph" w:customStyle="1" w:styleId="531">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532">
    <w:name w:val="标题二"/>
    <w:basedOn w:val="84"/>
    <w:next w:val="84"/>
    <w:semiHidden/>
    <w:qFormat/>
    <w:uiPriority w:val="0"/>
    <w:pPr>
      <w:spacing w:before="0" w:after="0" w:line="560" w:lineRule="exact"/>
      <w:ind w:left="0" w:firstLine="0"/>
      <w:jc w:val="left"/>
    </w:pPr>
    <w:rPr>
      <w:rFonts w:ascii="宋体" w:hAnsi="宋体" w:cs="Arial"/>
      <w:bCs/>
      <w:sz w:val="24"/>
      <w:szCs w:val="32"/>
    </w:rPr>
  </w:style>
  <w:style w:type="character" w:customStyle="1" w:styleId="533">
    <w:name w:val="自定义正文 Char"/>
    <w:basedOn w:val="133"/>
    <w:link w:val="534"/>
    <w:semiHidden/>
    <w:qFormat/>
    <w:locked/>
    <w:uiPriority w:val="0"/>
    <w:rPr>
      <w:position w:val="-28"/>
      <w:sz w:val="28"/>
      <w:szCs w:val="28"/>
    </w:rPr>
  </w:style>
  <w:style w:type="paragraph" w:customStyle="1" w:styleId="534">
    <w:name w:val="自定义正文"/>
    <w:link w:val="533"/>
    <w:semiHidden/>
    <w:qFormat/>
    <w:uiPriority w:val="0"/>
    <w:pPr>
      <w:widowControl w:val="0"/>
      <w:topLinePunct/>
      <w:adjustRightInd w:val="0"/>
      <w:snapToGrid w:val="0"/>
      <w:spacing w:line="360" w:lineRule="auto"/>
      <w:ind w:firstLine="510"/>
      <w:jc w:val="both"/>
    </w:pPr>
    <w:rPr>
      <w:rFonts w:asciiTheme="minorHAnsi" w:hAnsiTheme="minorHAnsi" w:eastAsiaTheme="minorEastAsia" w:cstheme="minorBidi"/>
      <w:kern w:val="2"/>
      <w:position w:val="-28"/>
      <w:sz w:val="28"/>
      <w:szCs w:val="28"/>
      <w:lang w:val="en-US" w:eastAsia="zh-CN" w:bidi="ar-SA"/>
    </w:rPr>
  </w:style>
  <w:style w:type="character" w:customStyle="1" w:styleId="535">
    <w:name w:val="正文1 Char"/>
    <w:basedOn w:val="133"/>
    <w:link w:val="536"/>
    <w:qFormat/>
    <w:locked/>
    <w:uiPriority w:val="0"/>
    <w:rPr>
      <w:rFonts w:ascii="宋体" w:hAnsi="宋体" w:eastAsia="宋体"/>
      <w:spacing w:val="14"/>
      <w:sz w:val="24"/>
    </w:rPr>
  </w:style>
  <w:style w:type="paragraph" w:customStyle="1" w:styleId="536">
    <w:name w:val="正文1"/>
    <w:basedOn w:val="1"/>
    <w:link w:val="535"/>
    <w:qFormat/>
    <w:uiPriority w:val="0"/>
    <w:pPr>
      <w:snapToGrid w:val="0"/>
      <w:spacing w:line="500" w:lineRule="atLeast"/>
      <w:ind w:firstLine="539" w:firstLineChars="0"/>
    </w:pPr>
    <w:rPr>
      <w:rFonts w:ascii="宋体" w:hAnsi="宋体"/>
      <w:spacing w:val="14"/>
    </w:rPr>
  </w:style>
  <w:style w:type="paragraph" w:customStyle="1" w:styleId="537">
    <w:name w:val="Char1 Char Char Char3"/>
    <w:basedOn w:val="1"/>
    <w:qFormat/>
    <w:uiPriority w:val="0"/>
    <w:pPr>
      <w:widowControl/>
      <w:spacing w:after="160" w:line="240" w:lineRule="exact"/>
      <w:jc w:val="left"/>
    </w:pPr>
    <w:rPr>
      <w:rFonts w:ascii="仿宋_GB2312" w:hAnsi="仿宋_GB2312" w:cs="Batang"/>
      <w:kern w:val="0"/>
      <w:sz w:val="20"/>
      <w:szCs w:val="24"/>
      <w:lang w:eastAsia="en-US"/>
    </w:rPr>
  </w:style>
  <w:style w:type="paragraph" w:customStyle="1" w:styleId="538">
    <w:name w:val="注×："/>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539">
    <w:name w:val="font6"/>
    <w:basedOn w:val="1"/>
    <w:qFormat/>
    <w:uiPriority w:val="0"/>
    <w:pPr>
      <w:widowControl/>
      <w:spacing w:before="100" w:beforeAutospacing="1" w:after="100" w:afterAutospacing="1" w:line="240" w:lineRule="auto"/>
      <w:ind w:firstLine="0" w:firstLineChars="0"/>
      <w:jc w:val="left"/>
    </w:pPr>
    <w:rPr>
      <w:rFonts w:ascii="宋体" w:hAnsi="宋体" w:cs="Arial Unicode MS"/>
      <w:kern w:val="0"/>
      <w:sz w:val="18"/>
      <w:szCs w:val="18"/>
    </w:rPr>
  </w:style>
  <w:style w:type="paragraph" w:customStyle="1" w:styleId="540">
    <w:name w:val="样式 标题 3 + 段前: 0.5 行"/>
    <w:basedOn w:val="5"/>
    <w:qFormat/>
    <w:uiPriority w:val="0"/>
    <w:pPr>
      <w:keepNext w:val="0"/>
      <w:keepLines w:val="0"/>
      <w:widowControl/>
      <w:spacing w:line="240" w:lineRule="exact"/>
      <w:jc w:val="center"/>
      <w:outlineLvl w:val="9"/>
    </w:pPr>
    <w:rPr>
      <w:rFonts w:eastAsia="宋体"/>
      <w:b w:val="0"/>
      <w:color w:val="000000"/>
      <w:sz w:val="21"/>
      <w:szCs w:val="24"/>
    </w:rPr>
  </w:style>
  <w:style w:type="paragraph" w:customStyle="1" w:styleId="541">
    <w:name w:val="xl48"/>
    <w:basedOn w:val="1"/>
    <w:semiHidden/>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Times New Roman"/>
      <w:kern w:val="0"/>
      <w:sz w:val="21"/>
    </w:rPr>
  </w:style>
  <w:style w:type="paragraph" w:customStyle="1" w:styleId="542">
    <w:name w:val="xl38"/>
    <w:basedOn w:val="1"/>
    <w:semiHidden/>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ascii="宋体" w:hAnsi="宋体" w:cs="Times New Roman"/>
      <w:kern w:val="0"/>
      <w:sz w:val="22"/>
    </w:rPr>
  </w:style>
  <w:style w:type="paragraph" w:customStyle="1" w:styleId="543">
    <w:name w:val="正正文"/>
    <w:basedOn w:val="1"/>
    <w:qFormat/>
    <w:uiPriority w:val="0"/>
    <w:pPr>
      <w:spacing w:afterLines="50" w:line="240" w:lineRule="auto"/>
      <w:jc w:val="left"/>
    </w:pPr>
    <w:rPr>
      <w:rFonts w:eastAsia="仿宋_GB2312" w:cs="Times New Roman"/>
      <w:szCs w:val="24"/>
    </w:rPr>
  </w:style>
  <w:style w:type="paragraph" w:customStyle="1" w:styleId="544">
    <w:name w:val="xl46"/>
    <w:basedOn w:val="1"/>
    <w:semiHidden/>
    <w:qFormat/>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b/>
      <w:bCs/>
      <w:color w:val="800080"/>
      <w:kern w:val="0"/>
      <w:sz w:val="28"/>
      <w:szCs w:val="28"/>
    </w:rPr>
  </w:style>
  <w:style w:type="paragraph" w:customStyle="1" w:styleId="545">
    <w:name w:val="::"/>
    <w:basedOn w:val="1"/>
    <w:qFormat/>
    <w:uiPriority w:val="0"/>
    <w:pPr>
      <w:adjustRightInd w:val="0"/>
      <w:spacing w:line="310" w:lineRule="atLeast"/>
      <w:ind w:firstLine="0" w:firstLineChars="0"/>
    </w:pPr>
    <w:rPr>
      <w:rFonts w:cs="Times New Roman"/>
      <w:kern w:val="0"/>
      <w:szCs w:val="20"/>
    </w:rPr>
  </w:style>
  <w:style w:type="character" w:customStyle="1" w:styleId="546">
    <w:name w:val="建设单位 Char"/>
    <w:link w:val="547"/>
    <w:qFormat/>
    <w:locked/>
    <w:uiPriority w:val="0"/>
    <w:rPr>
      <w:b/>
      <w:color w:val="000000"/>
      <w:sz w:val="30"/>
      <w:szCs w:val="30"/>
    </w:rPr>
  </w:style>
  <w:style w:type="paragraph" w:customStyle="1" w:styleId="547">
    <w:name w:val="建设单位"/>
    <w:basedOn w:val="1"/>
    <w:link w:val="546"/>
    <w:qFormat/>
    <w:uiPriority w:val="0"/>
    <w:pPr>
      <w:spacing w:line="240" w:lineRule="auto"/>
      <w:ind w:firstLine="500" w:firstLineChars="500"/>
    </w:pPr>
    <w:rPr>
      <w:rFonts w:asciiTheme="minorHAnsi" w:hAnsiTheme="minorHAnsi" w:eastAsiaTheme="minorEastAsia"/>
      <w:b/>
      <w:color w:val="000000"/>
      <w:sz w:val="30"/>
      <w:szCs w:val="30"/>
    </w:rPr>
  </w:style>
  <w:style w:type="paragraph" w:customStyle="1" w:styleId="548">
    <w:name w:val="font8"/>
    <w:basedOn w:val="1"/>
    <w:qFormat/>
    <w:uiPriority w:val="0"/>
    <w:pPr>
      <w:widowControl/>
      <w:spacing w:before="100" w:beforeAutospacing="1" w:after="100" w:afterAutospacing="1"/>
      <w:ind w:firstLine="0" w:firstLineChars="0"/>
      <w:jc w:val="left"/>
    </w:pPr>
    <w:rPr>
      <w:rFonts w:ascii="宋体" w:eastAsia="Arial Unicode MS" w:cs="Times New Roman"/>
      <w:kern w:val="0"/>
      <w:sz w:val="22"/>
    </w:rPr>
  </w:style>
  <w:style w:type="paragraph" w:customStyle="1" w:styleId="549">
    <w:name w:val="样式 标题 4 + 宋体 Char"/>
    <w:basedOn w:val="6"/>
    <w:qFormat/>
    <w:uiPriority w:val="0"/>
    <w:pPr>
      <w:tabs>
        <w:tab w:val="left" w:pos="720"/>
      </w:tabs>
      <w:spacing w:line="440" w:lineRule="exact"/>
    </w:pPr>
    <w:rPr>
      <w:rFonts w:eastAsia="宋体" w:cs="Times New Roman"/>
      <w:b w:val="0"/>
      <w:sz w:val="28"/>
    </w:rPr>
  </w:style>
  <w:style w:type="paragraph" w:customStyle="1" w:styleId="550">
    <w:name w:val="样式 Times New Roman 行距: 固定值 22 磅"/>
    <w:basedOn w:val="1"/>
    <w:qFormat/>
    <w:uiPriority w:val="0"/>
    <w:pPr>
      <w:widowControl/>
      <w:spacing w:line="440" w:lineRule="exact"/>
      <w:ind w:firstLine="480"/>
    </w:pPr>
    <w:rPr>
      <w:rFonts w:cs="Times New Roman"/>
      <w:kern w:val="0"/>
      <w:szCs w:val="20"/>
    </w:rPr>
  </w:style>
  <w:style w:type="character" w:customStyle="1" w:styleId="551">
    <w:name w:val="Char Char"/>
    <w:basedOn w:val="133"/>
    <w:link w:val="552"/>
    <w:qFormat/>
    <w:uiPriority w:val="0"/>
    <w:rPr>
      <w:rFonts w:ascii="宋体" w:hAnsi="宋体" w:eastAsia="宋体"/>
      <w:szCs w:val="24"/>
    </w:rPr>
  </w:style>
  <w:style w:type="paragraph" w:customStyle="1" w:styleId="552">
    <w:name w:val="Char"/>
    <w:basedOn w:val="1"/>
    <w:next w:val="1"/>
    <w:link w:val="551"/>
    <w:qFormat/>
    <w:uiPriority w:val="0"/>
    <w:rPr>
      <w:rFonts w:ascii="宋体" w:hAnsi="宋体"/>
      <w:sz w:val="21"/>
      <w:szCs w:val="24"/>
    </w:rPr>
  </w:style>
  <w:style w:type="paragraph" w:customStyle="1" w:styleId="553">
    <w:name w:val="简单回函地址"/>
    <w:basedOn w:val="1"/>
    <w:qFormat/>
    <w:uiPriority w:val="0"/>
    <w:pPr>
      <w:spacing w:line="240" w:lineRule="auto"/>
      <w:ind w:firstLine="0" w:firstLineChars="0"/>
    </w:pPr>
    <w:rPr>
      <w:rFonts w:ascii="宋体" w:hAnsi="宋体" w:cs="Times New Roman"/>
      <w:sz w:val="21"/>
      <w:szCs w:val="24"/>
    </w:rPr>
  </w:style>
  <w:style w:type="paragraph" w:customStyle="1" w:styleId="554">
    <w:name w:val="图样式"/>
    <w:basedOn w:val="1"/>
    <w:next w:val="1"/>
    <w:qFormat/>
    <w:uiPriority w:val="0"/>
    <w:pPr>
      <w:spacing w:line="240" w:lineRule="auto"/>
      <w:ind w:firstLine="0" w:firstLineChars="0"/>
      <w:jc w:val="center"/>
    </w:pPr>
    <w:rPr>
      <w:rFonts w:eastAsia="仿宋_GB2312" w:cs="Times New Roman"/>
      <w:sz w:val="28"/>
      <w:szCs w:val="28"/>
    </w:rPr>
  </w:style>
  <w:style w:type="paragraph" w:customStyle="1" w:styleId="555">
    <w:name w:val="样式 表格文字 + 居中 首行缩进:  2 字符"/>
    <w:basedOn w:val="390"/>
    <w:qFormat/>
    <w:uiPriority w:val="0"/>
    <w:pPr>
      <w:tabs>
        <w:tab w:val="left" w:pos="1960"/>
      </w:tabs>
      <w:snapToGrid/>
      <w:spacing w:line="400" w:lineRule="exact"/>
      <w:ind w:firstLine="0"/>
    </w:pPr>
    <w:rPr>
      <w:rFonts w:eastAsia="仿宋_GB2312"/>
      <w:bCs w:val="0"/>
      <w:kern w:val="24"/>
      <w:sz w:val="24"/>
    </w:rPr>
  </w:style>
  <w:style w:type="character" w:customStyle="1" w:styleId="556">
    <w:name w:val="表头 Char"/>
    <w:basedOn w:val="133"/>
    <w:link w:val="557"/>
    <w:qFormat/>
    <w:locked/>
    <w:uiPriority w:val="0"/>
    <w:rPr>
      <w:rFonts w:ascii="宋体" w:hAnsi="宋体" w:eastAsia="宋体"/>
      <w:kern w:val="24"/>
      <w:sz w:val="24"/>
    </w:rPr>
  </w:style>
  <w:style w:type="paragraph" w:customStyle="1" w:styleId="557">
    <w:name w:val="表头"/>
    <w:basedOn w:val="1"/>
    <w:next w:val="1"/>
    <w:link w:val="556"/>
    <w:qFormat/>
    <w:uiPriority w:val="0"/>
    <w:pPr>
      <w:tabs>
        <w:tab w:val="left" w:pos="6840"/>
      </w:tabs>
      <w:topLinePunct/>
      <w:snapToGrid w:val="0"/>
      <w:spacing w:line="440" w:lineRule="exact"/>
      <w:ind w:firstLine="470" w:firstLineChars="196"/>
    </w:pPr>
    <w:rPr>
      <w:rFonts w:ascii="宋体" w:hAnsi="宋体"/>
      <w:kern w:val="24"/>
    </w:rPr>
  </w:style>
  <w:style w:type="paragraph" w:customStyle="1" w:styleId="558">
    <w:name w:val="表样1"/>
    <w:basedOn w:val="1"/>
    <w:semiHidden/>
    <w:qFormat/>
    <w:uiPriority w:val="0"/>
    <w:pPr>
      <w:widowControl/>
      <w:spacing w:line="240" w:lineRule="auto"/>
      <w:ind w:firstLine="0" w:firstLineChars="0"/>
      <w:jc w:val="center"/>
    </w:pPr>
    <w:rPr>
      <w:rFonts w:cs="宋体"/>
      <w:kern w:val="0"/>
      <w:sz w:val="21"/>
    </w:rPr>
  </w:style>
  <w:style w:type="paragraph" w:customStyle="1" w:styleId="559">
    <w:name w:val="标题 B"/>
    <w:basedOn w:val="4"/>
    <w:qFormat/>
    <w:uiPriority w:val="0"/>
    <w:pPr>
      <w:tabs>
        <w:tab w:val="left" w:pos="927"/>
        <w:tab w:val="left" w:pos="1134"/>
      </w:tabs>
      <w:adjustRightInd w:val="0"/>
      <w:spacing w:beforeLines="50" w:after="240" w:line="400" w:lineRule="exact"/>
      <w:jc w:val="center"/>
      <w:outlineLvl w:val="9"/>
    </w:pPr>
    <w:rPr>
      <w:rFonts w:ascii="Arial Rounded MT Bold" w:hAnsi="Arial Rounded MT Bold"/>
      <w:b w:val="0"/>
      <w:bCs w:val="0"/>
      <w:color w:val="000000"/>
      <w:spacing w:val="8"/>
      <w:kern w:val="0"/>
      <w:szCs w:val="20"/>
    </w:rPr>
  </w:style>
  <w:style w:type="character" w:customStyle="1" w:styleId="560">
    <w:name w:val="正文样式11 Char1"/>
    <w:basedOn w:val="133"/>
    <w:link w:val="561"/>
    <w:qFormat/>
    <w:locked/>
    <w:uiPriority w:val="0"/>
    <w:rPr>
      <w:bCs/>
      <w:sz w:val="24"/>
      <w:szCs w:val="24"/>
      <w:shd w:val="clear" w:color="auto" w:fill="FFFFFF"/>
    </w:rPr>
  </w:style>
  <w:style w:type="paragraph" w:customStyle="1" w:styleId="561">
    <w:name w:val="正文样式11"/>
    <w:basedOn w:val="1"/>
    <w:link w:val="560"/>
    <w:qFormat/>
    <w:uiPriority w:val="0"/>
    <w:pPr>
      <w:shd w:val="clear" w:color="auto" w:fill="FFFFFF"/>
      <w:spacing w:line="440" w:lineRule="exact"/>
      <w:ind w:firstLine="480"/>
    </w:pPr>
    <w:rPr>
      <w:rFonts w:asciiTheme="minorHAnsi" w:hAnsiTheme="minorHAnsi" w:eastAsiaTheme="minorEastAsia"/>
      <w:bCs/>
      <w:szCs w:val="24"/>
    </w:rPr>
  </w:style>
  <w:style w:type="character" w:customStyle="1" w:styleId="562">
    <w:name w:val="我的正文 Char"/>
    <w:basedOn w:val="133"/>
    <w:link w:val="563"/>
    <w:qFormat/>
    <w:locked/>
    <w:uiPriority w:val="0"/>
    <w:rPr>
      <w:rFonts w:ascii="Arial" w:hAnsi="Arial" w:eastAsia="楷体_GB2312" w:cs="宋体"/>
      <w:sz w:val="24"/>
    </w:rPr>
  </w:style>
  <w:style w:type="paragraph" w:customStyle="1" w:styleId="563">
    <w:name w:val="我的正文"/>
    <w:basedOn w:val="1"/>
    <w:link w:val="562"/>
    <w:qFormat/>
    <w:uiPriority w:val="0"/>
    <w:pPr>
      <w:spacing w:line="312" w:lineRule="auto"/>
    </w:pPr>
    <w:rPr>
      <w:rFonts w:ascii="Arial" w:hAnsi="Arial" w:eastAsia="楷体_GB2312" w:cs="宋体"/>
    </w:rPr>
  </w:style>
  <w:style w:type="paragraph" w:customStyle="1" w:styleId="564">
    <w:name w:val="样式 小四 行距: 固定值 24 磅 首行缩进:  2 字符"/>
    <w:basedOn w:val="1"/>
    <w:qFormat/>
    <w:uiPriority w:val="0"/>
    <w:pPr>
      <w:spacing w:line="440" w:lineRule="exact"/>
    </w:pPr>
    <w:rPr>
      <w:rFonts w:cs="Times New Roman"/>
      <w:szCs w:val="24"/>
    </w:rPr>
  </w:style>
  <w:style w:type="paragraph" w:customStyle="1" w:styleId="565">
    <w:name w:val="标题3样式"/>
    <w:basedOn w:val="5"/>
    <w:qFormat/>
    <w:uiPriority w:val="0"/>
    <w:pPr>
      <w:widowControl/>
      <w:jc w:val="left"/>
    </w:pPr>
    <w:rPr>
      <w:rFonts w:ascii="黑体"/>
      <w:kern w:val="0"/>
      <w:sz w:val="24"/>
    </w:rPr>
  </w:style>
  <w:style w:type="paragraph" w:customStyle="1" w:styleId="566">
    <w:name w:val="标-7"/>
    <w:basedOn w:val="1"/>
    <w:qFormat/>
    <w:uiPriority w:val="0"/>
    <w:pPr>
      <w:tabs>
        <w:tab w:val="left" w:pos="420"/>
      </w:tabs>
      <w:spacing w:before="120"/>
      <w:ind w:left="1701" w:hanging="425" w:firstLineChars="0"/>
    </w:pPr>
    <w:rPr>
      <w:rFonts w:ascii="宋体" w:cs="Times New Roman"/>
      <w:szCs w:val="20"/>
    </w:rPr>
  </w:style>
  <w:style w:type="paragraph" w:customStyle="1" w:styleId="567">
    <w:name w:val="三级条标题"/>
    <w:basedOn w:val="301"/>
    <w:next w:val="1"/>
    <w:qFormat/>
    <w:uiPriority w:val="0"/>
    <w:pPr>
      <w:outlineLvl w:val="4"/>
    </w:pPr>
  </w:style>
  <w:style w:type="character" w:customStyle="1" w:styleId="568">
    <w:name w:val="表1 Char"/>
    <w:basedOn w:val="133"/>
    <w:link w:val="569"/>
    <w:qFormat/>
    <w:locked/>
    <w:uiPriority w:val="0"/>
    <w:rPr>
      <w:rFonts w:ascii="宋体" w:hAnsi="宋体" w:eastAsia="宋体"/>
    </w:rPr>
  </w:style>
  <w:style w:type="paragraph" w:customStyle="1" w:styleId="569">
    <w:name w:val="表1"/>
    <w:next w:val="1"/>
    <w:link w:val="568"/>
    <w:qFormat/>
    <w:uiPriority w:val="0"/>
    <w:pPr>
      <w:adjustRightInd w:val="0"/>
      <w:snapToGrid w:val="0"/>
      <w:jc w:val="center"/>
    </w:pPr>
    <w:rPr>
      <w:rFonts w:ascii="宋体" w:hAnsi="宋体" w:eastAsia="宋体" w:cstheme="minorBidi"/>
      <w:kern w:val="2"/>
      <w:sz w:val="21"/>
      <w:szCs w:val="21"/>
      <w:lang w:val="en-US" w:eastAsia="zh-CN" w:bidi="ar-SA"/>
    </w:rPr>
  </w:style>
  <w:style w:type="paragraph" w:customStyle="1" w:styleId="570">
    <w:name w:val="模型公式-居中"/>
    <w:next w:val="1"/>
    <w:qFormat/>
    <w:uiPriority w:val="0"/>
    <w:pPr>
      <w:spacing w:line="360" w:lineRule="auto"/>
      <w:jc w:val="center"/>
    </w:pPr>
    <w:rPr>
      <w:rFonts w:ascii="Times New Roman" w:hAnsi="Times New Roman" w:eastAsia="仿宋_GB2312" w:cs="Times New Roman"/>
      <w:bCs/>
      <w:kern w:val="2"/>
      <w:sz w:val="24"/>
      <w:szCs w:val="24"/>
      <w:lang w:val="en-US" w:eastAsia="zh-CN" w:bidi="ar-SA"/>
    </w:rPr>
  </w:style>
  <w:style w:type="paragraph" w:customStyle="1" w:styleId="571">
    <w:name w:val="样式 段落样式 Char + 字符缩放: 100% 加宽量  1 磅"/>
    <w:basedOn w:val="1"/>
    <w:qFormat/>
    <w:uiPriority w:val="0"/>
    <w:pPr>
      <w:keepNext/>
      <w:suppressLineNumbers/>
      <w:suppressAutoHyphens/>
      <w:topLinePunct/>
      <w:adjustRightInd w:val="0"/>
      <w:snapToGrid w:val="0"/>
      <w:spacing w:line="480" w:lineRule="atLeast"/>
      <w:ind w:firstLine="482" w:firstLineChars="0"/>
    </w:pPr>
    <w:rPr>
      <w:rFonts w:ascii="宋体" w:cs="Times New Roman"/>
      <w:kern w:val="0"/>
      <w:sz w:val="28"/>
      <w:szCs w:val="28"/>
    </w:rPr>
  </w:style>
  <w:style w:type="paragraph" w:customStyle="1" w:styleId="572">
    <w:name w:val="Address 1"/>
    <w:basedOn w:val="1"/>
    <w:qFormat/>
    <w:uiPriority w:val="0"/>
    <w:pPr>
      <w:framePr w:w="2400" w:wrap="notBeside" w:vAnchor="page" w:hAnchor="page" w:x="8065" w:y="1009" w:anchorLock="1"/>
      <w:widowControl/>
      <w:spacing w:line="200" w:lineRule="atLeast"/>
      <w:ind w:firstLine="0" w:firstLineChars="0"/>
      <w:jc w:val="left"/>
    </w:pPr>
    <w:rPr>
      <w:rFonts w:cs="Times New Roman"/>
      <w:kern w:val="0"/>
      <w:sz w:val="16"/>
      <w:szCs w:val="20"/>
    </w:rPr>
  </w:style>
  <w:style w:type="paragraph" w:customStyle="1" w:styleId="573">
    <w:name w:val="注："/>
    <w:next w:val="6"/>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574">
    <w:name w:val="封面落款"/>
    <w:basedOn w:val="1"/>
    <w:qFormat/>
    <w:uiPriority w:val="0"/>
    <w:pPr>
      <w:tabs>
        <w:tab w:val="center" w:pos="6804"/>
        <w:tab w:val="right" w:pos="7371"/>
      </w:tabs>
      <w:overflowPunct w:val="0"/>
      <w:adjustRightInd w:val="0"/>
      <w:ind w:firstLine="0" w:firstLineChars="0"/>
      <w:jc w:val="center"/>
    </w:pPr>
    <w:rPr>
      <w:rFonts w:eastAsia="黑体" w:cs="Times New Roman"/>
      <w:color w:val="0000FF"/>
      <w:spacing w:val="20"/>
      <w:kern w:val="0"/>
      <w:sz w:val="44"/>
      <w:szCs w:val="20"/>
    </w:rPr>
  </w:style>
  <w:style w:type="character" w:customStyle="1" w:styleId="575">
    <w:name w:val="cucd-0 Char"/>
    <w:link w:val="576"/>
    <w:qFormat/>
    <w:locked/>
    <w:uiPriority w:val="0"/>
    <w:rPr>
      <w:sz w:val="24"/>
      <w:szCs w:val="24"/>
    </w:rPr>
  </w:style>
  <w:style w:type="paragraph" w:customStyle="1" w:styleId="576">
    <w:name w:val="cucd-0"/>
    <w:link w:val="575"/>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paragraph" w:customStyle="1" w:styleId="577">
    <w:name w:val="表头右"/>
    <w:basedOn w:val="1"/>
    <w:qFormat/>
    <w:uiPriority w:val="0"/>
    <w:pPr>
      <w:ind w:firstLine="448"/>
      <w:jc w:val="right"/>
    </w:pPr>
    <w:rPr>
      <w:rFonts w:cs="Times New Roman"/>
      <w:szCs w:val="24"/>
    </w:rPr>
  </w:style>
  <w:style w:type="character" w:customStyle="1" w:styleId="578">
    <w:name w:val="图片 Char"/>
    <w:link w:val="579"/>
    <w:semiHidden/>
    <w:qFormat/>
    <w:locked/>
    <w:uiPriority w:val="0"/>
    <w:rPr>
      <w:rFonts w:ascii="宋体" w:hAnsi="宋体" w:eastAsia="宋体"/>
      <w:sz w:val="28"/>
    </w:rPr>
  </w:style>
  <w:style w:type="paragraph" w:customStyle="1" w:styleId="579">
    <w:name w:val="图片"/>
    <w:link w:val="578"/>
    <w:semiHidden/>
    <w:qFormat/>
    <w:uiPriority w:val="0"/>
    <w:pPr>
      <w:adjustRightInd w:val="0"/>
      <w:snapToGrid w:val="0"/>
      <w:jc w:val="center"/>
    </w:pPr>
    <w:rPr>
      <w:rFonts w:ascii="宋体" w:hAnsi="宋体" w:eastAsia="宋体" w:cstheme="minorBidi"/>
      <w:kern w:val="2"/>
      <w:sz w:val="28"/>
      <w:szCs w:val="21"/>
      <w:lang w:val="en-US" w:eastAsia="zh-CN" w:bidi="ar-SA"/>
    </w:rPr>
  </w:style>
  <w:style w:type="character" w:customStyle="1" w:styleId="580">
    <w:name w:val="图表标题 Char"/>
    <w:semiHidden/>
    <w:qFormat/>
    <w:locked/>
    <w:uiPriority w:val="0"/>
    <w:rPr>
      <w:rFonts w:ascii="宋体" w:hAnsi="宋体" w:eastAsia="宋体"/>
      <w:szCs w:val="21"/>
    </w:rPr>
  </w:style>
  <w:style w:type="paragraph" w:customStyle="1" w:styleId="581">
    <w:name w:val="三级正文"/>
    <w:basedOn w:val="1"/>
    <w:qFormat/>
    <w:uiPriority w:val="0"/>
    <w:pPr>
      <w:widowControl/>
      <w:adjustRightInd w:val="0"/>
      <w:spacing w:line="300" w:lineRule="auto"/>
      <w:ind w:firstLine="567" w:firstLineChars="0"/>
    </w:pPr>
    <w:rPr>
      <w:rFonts w:cs="Times New Roman"/>
      <w:kern w:val="28"/>
      <w:sz w:val="28"/>
      <w:szCs w:val="20"/>
    </w:rPr>
  </w:style>
  <w:style w:type="paragraph" w:customStyle="1" w:styleId="582">
    <w:name w:val="封面标准号1"/>
    <w:qFormat/>
    <w:uiPriority w:val="0"/>
    <w:pPr>
      <w:widowControl w:val="0"/>
      <w:kinsoku w:val="0"/>
      <w:overflowPunct w:val="0"/>
      <w:autoSpaceDE w:val="0"/>
      <w:autoSpaceDN w:val="0"/>
      <w:spacing w:before="308"/>
      <w:jc w:val="right"/>
    </w:pPr>
    <w:rPr>
      <w:rFonts w:ascii="Times New Roman" w:hAnsi="Times New Roman" w:eastAsia="宋体" w:cs="Times New Roman"/>
      <w:sz w:val="28"/>
      <w:lang w:val="en-US" w:eastAsia="zh-CN" w:bidi="ar-SA"/>
    </w:rPr>
  </w:style>
  <w:style w:type="paragraph" w:customStyle="1" w:styleId="583">
    <w:name w:val="text3"/>
    <w:basedOn w:val="1"/>
    <w:qFormat/>
    <w:uiPriority w:val="0"/>
    <w:pPr>
      <w:widowControl/>
      <w:spacing w:before="100" w:beforeAutospacing="1" w:after="100" w:afterAutospacing="1"/>
      <w:ind w:firstLine="480"/>
      <w:jc w:val="left"/>
    </w:pPr>
    <w:rPr>
      <w:rFonts w:ascii="宋体" w:hAnsi="宋体" w:cs="Times New Roman"/>
      <w:kern w:val="0"/>
      <w:sz w:val="18"/>
      <w:szCs w:val="20"/>
    </w:rPr>
  </w:style>
  <w:style w:type="paragraph" w:customStyle="1" w:styleId="584">
    <w:name w:val="Char8"/>
    <w:basedOn w:val="1"/>
    <w:qFormat/>
    <w:uiPriority w:val="0"/>
    <w:pPr>
      <w:spacing w:line="240" w:lineRule="auto"/>
      <w:ind w:firstLine="0" w:firstLineChars="0"/>
    </w:pPr>
    <w:rPr>
      <w:rFonts w:cs="Times New Roman"/>
      <w:sz w:val="21"/>
      <w:szCs w:val="24"/>
    </w:rPr>
  </w:style>
  <w:style w:type="paragraph" w:customStyle="1" w:styleId="585">
    <w:name w:val="xl60"/>
    <w:basedOn w:val="1"/>
    <w:qFormat/>
    <w:uiPriority w:val="0"/>
    <w:pPr>
      <w:widowControl/>
      <w:pBdr>
        <w:left w:val="single" w:color="auto" w:sz="8" w:space="0"/>
        <w:right w:val="single" w:color="auto" w:sz="4" w:space="0"/>
      </w:pBdr>
      <w:spacing w:before="100" w:after="100"/>
      <w:ind w:firstLine="0" w:firstLineChars="0"/>
      <w:jc w:val="center"/>
    </w:pPr>
    <w:rPr>
      <w:rFonts w:ascii="宋体" w:cs="Times New Roman"/>
      <w:kern w:val="0"/>
      <w:szCs w:val="24"/>
    </w:rPr>
  </w:style>
  <w:style w:type="paragraph" w:customStyle="1" w:styleId="586">
    <w:name w:val="Char Char1 Char Char Char Char Char Char Char1"/>
    <w:basedOn w:val="1"/>
    <w:qFormat/>
    <w:uiPriority w:val="0"/>
    <w:pPr>
      <w:spacing w:line="440" w:lineRule="exact"/>
      <w:ind w:firstLine="720"/>
    </w:pPr>
    <w:rPr>
      <w:rFonts w:cs="Times New Roman"/>
      <w:kern w:val="0"/>
      <w:szCs w:val="24"/>
    </w:rPr>
  </w:style>
  <w:style w:type="paragraph" w:customStyle="1" w:styleId="587">
    <w:name w:val="xl115"/>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588">
    <w:name w:val="CM80"/>
    <w:basedOn w:val="1"/>
    <w:next w:val="1"/>
    <w:qFormat/>
    <w:uiPriority w:val="0"/>
    <w:pPr>
      <w:autoSpaceDE w:val="0"/>
      <w:autoSpaceDN w:val="0"/>
      <w:adjustRightInd w:val="0"/>
      <w:spacing w:after="155" w:line="240" w:lineRule="auto"/>
      <w:ind w:firstLine="0" w:firstLineChars="0"/>
      <w:jc w:val="left"/>
    </w:pPr>
    <w:rPr>
      <w:rFonts w:cs="Times New Roman"/>
      <w:kern w:val="0"/>
      <w:szCs w:val="24"/>
    </w:rPr>
  </w:style>
  <w:style w:type="paragraph" w:customStyle="1" w:styleId="589">
    <w:name w:val="五级标题王"/>
    <w:basedOn w:val="1"/>
    <w:semiHidden/>
    <w:qFormat/>
    <w:uiPriority w:val="0"/>
    <w:pPr>
      <w:adjustRightInd w:val="0"/>
      <w:snapToGrid w:val="0"/>
      <w:ind w:firstLine="0" w:firstLineChars="0"/>
      <w:outlineLvl w:val="4"/>
    </w:pPr>
    <w:rPr>
      <w:rFonts w:ascii="黑体" w:hAnsi="宋体" w:eastAsia="黑体" w:cs="Times New Roman"/>
      <w:color w:val="0000FF"/>
      <w:szCs w:val="24"/>
    </w:rPr>
  </w:style>
  <w:style w:type="paragraph" w:customStyle="1" w:styleId="590">
    <w:name w:val="xl41"/>
    <w:basedOn w:val="1"/>
    <w:semiHidden/>
    <w:qFormat/>
    <w:uiPriority w:val="0"/>
    <w:pPr>
      <w:widowControl/>
      <w:pBdr>
        <w:bottom w:val="single" w:color="auto" w:sz="4" w:space="0"/>
      </w:pBdr>
      <w:spacing w:before="100" w:beforeAutospacing="1" w:after="100" w:afterAutospacing="1" w:line="240" w:lineRule="auto"/>
      <w:ind w:firstLine="0" w:firstLineChars="0"/>
      <w:jc w:val="center"/>
    </w:pPr>
    <w:rPr>
      <w:rFonts w:cs="Times New Roman"/>
      <w:kern w:val="0"/>
      <w:sz w:val="21"/>
    </w:rPr>
  </w:style>
  <w:style w:type="paragraph" w:customStyle="1" w:styleId="591">
    <w:name w:val="标题8"/>
    <w:basedOn w:val="1"/>
    <w:next w:val="1"/>
    <w:qFormat/>
    <w:uiPriority w:val="0"/>
    <w:pPr>
      <w:tabs>
        <w:tab w:val="left" w:pos="425"/>
        <w:tab w:val="left" w:leader="dot" w:pos="851"/>
      </w:tabs>
      <w:spacing w:after="120" w:line="400" w:lineRule="exact"/>
      <w:ind w:left="851" w:hanging="851" w:firstLineChars="0"/>
    </w:pPr>
    <w:rPr>
      <w:rFonts w:ascii="Arial" w:hAnsi="Arial" w:cs="Times New Roman"/>
      <w:sz w:val="21"/>
      <w:szCs w:val="20"/>
    </w:rPr>
  </w:style>
  <w:style w:type="character" w:customStyle="1" w:styleId="592">
    <w:name w:val="晓丹 Char"/>
    <w:basedOn w:val="133"/>
    <w:link w:val="593"/>
    <w:qFormat/>
    <w:locked/>
    <w:uiPriority w:val="0"/>
    <w:rPr>
      <w:rFonts w:ascii="宋体" w:hAnsi="宋体" w:eastAsia="宋体"/>
      <w:color w:val="000000"/>
      <w:spacing w:val="6"/>
      <w:sz w:val="24"/>
      <w:szCs w:val="24"/>
    </w:rPr>
  </w:style>
  <w:style w:type="paragraph" w:customStyle="1" w:styleId="593">
    <w:name w:val="晓丹"/>
    <w:basedOn w:val="86"/>
    <w:link w:val="592"/>
    <w:qFormat/>
    <w:uiPriority w:val="0"/>
    <w:pPr>
      <w:adjustRightInd w:val="0"/>
      <w:snapToGrid w:val="0"/>
      <w:spacing w:after="0" w:line="360" w:lineRule="auto"/>
      <w:ind w:firstLine="200" w:firstLineChars="200"/>
    </w:pPr>
    <w:rPr>
      <w:rFonts w:ascii="宋体" w:hAnsi="宋体" w:cstheme="minorBidi"/>
      <w:color w:val="000000"/>
      <w:spacing w:val="6"/>
      <w:sz w:val="24"/>
    </w:rPr>
  </w:style>
  <w:style w:type="paragraph" w:customStyle="1" w:styleId="594">
    <w:name w:val="正文2"/>
    <w:qFormat/>
    <w:uiPriority w:val="0"/>
    <w:pPr>
      <w:widowControl w:val="0"/>
      <w:adjustRightInd w:val="0"/>
      <w:spacing w:line="0" w:lineRule="atLeast"/>
    </w:pPr>
    <w:rPr>
      <w:rFonts w:ascii="宋体" w:hAnsi="Times New Roman" w:eastAsia="宋体" w:cs="Times New Roman"/>
      <w:sz w:val="34"/>
      <w:lang w:val="en-US" w:eastAsia="zh-CN" w:bidi="ar-SA"/>
    </w:rPr>
  </w:style>
  <w:style w:type="paragraph" w:customStyle="1" w:styleId="595">
    <w:name w:val="Char Char3 Char Char Char Char Char Char1"/>
    <w:basedOn w:val="1"/>
    <w:qFormat/>
    <w:uiPriority w:val="0"/>
    <w:pPr>
      <w:widowControl/>
      <w:spacing w:after="160" w:line="240" w:lineRule="exact"/>
      <w:ind w:firstLine="0" w:firstLineChars="0"/>
      <w:jc w:val="left"/>
    </w:pPr>
    <w:rPr>
      <w:rFonts w:cs="Times New Roman"/>
      <w:sz w:val="18"/>
      <w:szCs w:val="24"/>
    </w:rPr>
  </w:style>
  <w:style w:type="character" w:customStyle="1" w:styleId="596">
    <w:name w:val="表文字 Char"/>
    <w:basedOn w:val="133"/>
    <w:link w:val="597"/>
    <w:locked/>
    <w:uiPriority w:val="0"/>
  </w:style>
  <w:style w:type="paragraph" w:customStyle="1" w:styleId="597">
    <w:name w:val="表文字"/>
    <w:basedOn w:val="1"/>
    <w:link w:val="596"/>
    <w:qFormat/>
    <w:uiPriority w:val="0"/>
    <w:pPr>
      <w:topLinePunct/>
      <w:adjustRightInd w:val="0"/>
      <w:spacing w:line="240" w:lineRule="exact"/>
      <w:ind w:firstLine="0" w:firstLineChars="0"/>
    </w:pPr>
    <w:rPr>
      <w:rFonts w:asciiTheme="minorHAnsi" w:hAnsiTheme="minorHAnsi" w:eastAsiaTheme="minorEastAsia"/>
      <w:sz w:val="21"/>
    </w:rPr>
  </w:style>
  <w:style w:type="paragraph" w:customStyle="1" w:styleId="598">
    <w:name w:val="正文3"/>
    <w:basedOn w:val="1"/>
    <w:next w:val="1"/>
    <w:qFormat/>
    <w:uiPriority w:val="0"/>
    <w:pPr>
      <w:spacing w:line="529" w:lineRule="exact"/>
    </w:pPr>
    <w:rPr>
      <w:rFonts w:ascii="宋体" w:hAnsi="宋体" w:cs="宋体"/>
      <w:szCs w:val="24"/>
    </w:rPr>
  </w:style>
  <w:style w:type="paragraph" w:customStyle="1" w:styleId="599">
    <w:name w:val="样式标准"/>
    <w:basedOn w:val="5"/>
    <w:qFormat/>
    <w:uiPriority w:val="0"/>
    <w:pPr>
      <w:tabs>
        <w:tab w:val="left" w:pos="1050"/>
      </w:tabs>
      <w:ind w:firstLine="470" w:firstLineChars="196"/>
      <w:jc w:val="left"/>
    </w:pPr>
    <w:rPr>
      <w:rFonts w:ascii="黑体" w:hAnsi="宋体"/>
      <w:b w:val="0"/>
      <w:bCs w:val="0"/>
      <w:color w:val="000000"/>
      <w:kern w:val="0"/>
      <w:sz w:val="24"/>
      <w:szCs w:val="28"/>
    </w:rPr>
  </w:style>
  <w:style w:type="character" w:customStyle="1" w:styleId="600">
    <w:name w:val="Char Char Char Char Char Char Char Char Char Char Char Char Char Char"/>
    <w:basedOn w:val="133"/>
    <w:link w:val="601"/>
    <w:locked/>
    <w:uiPriority w:val="0"/>
    <w:rPr>
      <w:rFonts w:ascii="宋体" w:hAnsi="宋体" w:eastAsia="宋体" w:cs="宋体"/>
      <w:sz w:val="24"/>
      <w:szCs w:val="24"/>
    </w:rPr>
  </w:style>
  <w:style w:type="paragraph" w:customStyle="1" w:styleId="601">
    <w:name w:val="Char Char Char Char Char Char Char Char Char Char Char Char Char"/>
    <w:basedOn w:val="1"/>
    <w:link w:val="600"/>
    <w:qFormat/>
    <w:uiPriority w:val="0"/>
    <w:rPr>
      <w:rFonts w:ascii="宋体" w:hAnsi="宋体" w:cs="宋体"/>
      <w:szCs w:val="24"/>
    </w:rPr>
  </w:style>
  <w:style w:type="paragraph" w:customStyle="1" w:styleId="602">
    <w:name w:val="Char Char Char1 Char Char Char Char Char Char Char Char Char Char"/>
    <w:basedOn w:val="1"/>
    <w:qFormat/>
    <w:uiPriority w:val="0"/>
    <w:pPr>
      <w:adjustRightInd w:val="0"/>
      <w:snapToGrid w:val="0"/>
    </w:pPr>
    <w:rPr>
      <w:rFonts w:cs="宋体"/>
      <w:sz w:val="21"/>
    </w:rPr>
  </w:style>
  <w:style w:type="paragraph" w:customStyle="1" w:styleId="603">
    <w:name w:val="xl3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Times New Roman"/>
      <w:kern w:val="0"/>
      <w:szCs w:val="24"/>
    </w:rPr>
  </w:style>
  <w:style w:type="paragraph" w:customStyle="1" w:styleId="604">
    <w:name w:val="目录 2 Char Char"/>
    <w:basedOn w:val="1"/>
    <w:next w:val="1"/>
    <w:qFormat/>
    <w:uiPriority w:val="0"/>
    <w:pPr>
      <w:spacing w:line="460" w:lineRule="auto"/>
      <w:ind w:left="420"/>
    </w:pPr>
    <w:rPr>
      <w:rFonts w:ascii="Tahoma" w:hAnsi="Tahoma" w:cs="Garamond"/>
      <w:color w:val="000000"/>
      <w:kern w:val="0"/>
      <w:szCs w:val="24"/>
    </w:rPr>
  </w:style>
  <w:style w:type="paragraph" w:customStyle="1" w:styleId="605">
    <w:name w:val="3标题(治)"/>
    <w:basedOn w:val="5"/>
    <w:qFormat/>
    <w:uiPriority w:val="0"/>
    <w:pPr>
      <w:widowControl/>
      <w:tabs>
        <w:tab w:val="left" w:pos="1260"/>
        <w:tab w:val="left" w:pos="1800"/>
      </w:tabs>
      <w:adjustRightInd w:val="0"/>
      <w:jc w:val="left"/>
    </w:pPr>
    <w:rPr>
      <w:kern w:val="0"/>
      <w:szCs w:val="24"/>
    </w:rPr>
  </w:style>
  <w:style w:type="paragraph" w:customStyle="1" w:styleId="606">
    <w:name w:val="样式 首行缩进:  0.77 厘米 行距: 固定值 20 磅"/>
    <w:basedOn w:val="1"/>
    <w:semiHidden/>
    <w:qFormat/>
    <w:uiPriority w:val="0"/>
    <w:pPr>
      <w:ind w:firstLine="435" w:firstLineChars="0"/>
    </w:pPr>
    <w:rPr>
      <w:rFonts w:cs="Times New Roman"/>
      <w:szCs w:val="20"/>
    </w:rPr>
  </w:style>
  <w:style w:type="paragraph" w:customStyle="1" w:styleId="607">
    <w:name w:val="char"/>
    <w:basedOn w:val="1"/>
    <w:qFormat/>
    <w:uiPriority w:val="0"/>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608">
    <w:name w:val="样式 生物附录 + 小四 段前: 6 磅 段后: 6 磅 非加宽量 / 紧缩量  行距: 1.5 倍行距"/>
    <w:basedOn w:val="1"/>
    <w:qFormat/>
    <w:uiPriority w:val="0"/>
    <w:pPr>
      <w:widowControl/>
      <w:spacing w:before="100" w:beforeAutospacing="1" w:after="100" w:afterAutospacing="1"/>
    </w:pPr>
    <w:rPr>
      <w:rFonts w:cs="Times New Roman"/>
      <w:b/>
      <w:bCs/>
      <w:szCs w:val="20"/>
    </w:rPr>
  </w:style>
  <w:style w:type="character" w:customStyle="1" w:styleId="609">
    <w:name w:val="表题 Char"/>
    <w:basedOn w:val="133"/>
    <w:link w:val="610"/>
    <w:locked/>
    <w:uiPriority w:val="0"/>
    <w:rPr>
      <w:rFonts w:ascii="宋体" w:hAnsi="宋体" w:eastAsia="宋体"/>
      <w:sz w:val="24"/>
      <w:szCs w:val="28"/>
    </w:rPr>
  </w:style>
  <w:style w:type="paragraph" w:customStyle="1" w:styleId="610">
    <w:name w:val="表题"/>
    <w:basedOn w:val="21"/>
    <w:link w:val="609"/>
    <w:qFormat/>
    <w:uiPriority w:val="0"/>
    <w:pPr>
      <w:spacing w:line="100" w:lineRule="atLeast"/>
      <w:ind w:firstLine="0" w:firstLineChars="0"/>
      <w:jc w:val="center"/>
    </w:pPr>
    <w:rPr>
      <w:rFonts w:ascii="宋体" w:hAnsi="宋体" w:cstheme="minorBidi"/>
      <w:sz w:val="24"/>
      <w:szCs w:val="28"/>
    </w:rPr>
  </w:style>
  <w:style w:type="paragraph" w:customStyle="1" w:styleId="611">
    <w:name w:val="ljw正文"/>
    <w:basedOn w:val="1"/>
    <w:semiHidden/>
    <w:qFormat/>
    <w:uiPriority w:val="0"/>
    <w:pPr>
      <w:adjustRightInd w:val="0"/>
      <w:snapToGrid w:val="0"/>
      <w:spacing w:line="300" w:lineRule="auto"/>
      <w:ind w:firstLine="480"/>
    </w:pPr>
    <w:rPr>
      <w:rFonts w:ascii="宋体" w:hAnsi="宋体" w:cs="宋体"/>
      <w:szCs w:val="24"/>
    </w:rPr>
  </w:style>
  <w:style w:type="paragraph" w:customStyle="1" w:styleId="612">
    <w:name w:val="文中说明"/>
    <w:basedOn w:val="1"/>
    <w:qFormat/>
    <w:uiPriority w:val="0"/>
    <w:pPr>
      <w:spacing w:line="240" w:lineRule="auto"/>
    </w:pPr>
    <w:rPr>
      <w:rFonts w:ascii="宋体" w:hAnsi="宋体" w:cs="Times New Roman"/>
      <w:kern w:val="28"/>
      <w:sz w:val="28"/>
      <w:szCs w:val="20"/>
    </w:rPr>
  </w:style>
  <w:style w:type="paragraph" w:customStyle="1" w:styleId="613">
    <w:name w:val="表格样式4"/>
    <w:basedOn w:val="1"/>
    <w:semiHidden/>
    <w:qFormat/>
    <w:uiPriority w:val="0"/>
    <w:pPr>
      <w:spacing w:line="260" w:lineRule="exact"/>
      <w:ind w:left="-50" w:leftChars="-50" w:right="-50" w:rightChars="-50" w:firstLine="0" w:firstLineChars="0"/>
      <w:jc w:val="center"/>
    </w:pPr>
    <w:rPr>
      <w:rFonts w:ascii="宋体" w:hAnsi="宋体" w:cs="Times New Roman"/>
      <w:color w:val="FF0000"/>
      <w:sz w:val="18"/>
    </w:rPr>
  </w:style>
  <w:style w:type="character" w:customStyle="1" w:styleId="614">
    <w:name w:val="表 Char"/>
    <w:link w:val="615"/>
    <w:locked/>
    <w:uiPriority w:val="0"/>
  </w:style>
  <w:style w:type="paragraph" w:customStyle="1" w:styleId="615">
    <w:name w:val="表"/>
    <w:basedOn w:val="1"/>
    <w:next w:val="1"/>
    <w:link w:val="614"/>
    <w:qFormat/>
    <w:uiPriority w:val="0"/>
    <w:pPr>
      <w:adjustRightInd w:val="0"/>
      <w:spacing w:before="120" w:line="240" w:lineRule="auto"/>
      <w:ind w:firstLine="0" w:firstLineChars="0"/>
      <w:jc w:val="center"/>
    </w:pPr>
    <w:rPr>
      <w:rFonts w:asciiTheme="minorHAnsi" w:hAnsiTheme="minorHAnsi" w:eastAsiaTheme="minorEastAsia"/>
      <w:sz w:val="21"/>
    </w:rPr>
  </w:style>
  <w:style w:type="character" w:customStyle="1" w:styleId="616">
    <w:name w:val="样式 报告正文 + 首行缩进:  2 字符 Char"/>
    <w:link w:val="617"/>
    <w:locked/>
    <w:uiPriority w:val="0"/>
    <w:rPr>
      <w:sz w:val="24"/>
    </w:rPr>
  </w:style>
  <w:style w:type="paragraph" w:customStyle="1" w:styleId="617">
    <w:name w:val="样式 报告正文 + 首行缩进:  2 字符"/>
    <w:basedOn w:val="1"/>
    <w:link w:val="616"/>
    <w:qFormat/>
    <w:uiPriority w:val="0"/>
    <w:pPr>
      <w:autoSpaceDE w:val="0"/>
      <w:autoSpaceDN w:val="0"/>
    </w:pPr>
    <w:rPr>
      <w:rFonts w:asciiTheme="minorHAnsi" w:hAnsiTheme="minorHAnsi" w:eastAsiaTheme="minorEastAsia"/>
    </w:rPr>
  </w:style>
  <w:style w:type="paragraph" w:customStyle="1" w:styleId="618">
    <w:name w:val="xl55"/>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黑体" w:hAnsi="宋体" w:eastAsia="黑体" w:cs="Times New Roman"/>
      <w:kern w:val="0"/>
      <w:szCs w:val="24"/>
    </w:rPr>
  </w:style>
  <w:style w:type="paragraph" w:customStyle="1" w:styleId="619">
    <w:name w:val="±í"/>
    <w:basedOn w:val="1"/>
    <w:qFormat/>
    <w:uiPriority w:val="0"/>
    <w:pPr>
      <w:tabs>
        <w:tab w:val="left" w:pos="480"/>
      </w:tabs>
      <w:autoSpaceDE w:val="0"/>
      <w:autoSpaceDN w:val="0"/>
      <w:spacing w:line="440" w:lineRule="exact"/>
    </w:pPr>
    <w:rPr>
      <w:rFonts w:ascii="Tahoma" w:hAnsi="Tahoma" w:eastAsia="华文仿宋" w:cs="Garamond"/>
      <w:color w:val="000000"/>
      <w:kern w:val="0"/>
      <w:szCs w:val="24"/>
    </w:rPr>
  </w:style>
  <w:style w:type="paragraph" w:customStyle="1" w:styleId="620">
    <w:name w:val="table_note"/>
    <w:basedOn w:val="1"/>
    <w:qFormat/>
    <w:uiPriority w:val="0"/>
    <w:pPr>
      <w:widowControl/>
      <w:spacing w:before="100" w:beforeAutospacing="1" w:after="100" w:afterAutospacing="1" w:line="240" w:lineRule="auto"/>
      <w:ind w:firstLine="0" w:firstLineChars="0"/>
      <w:jc w:val="left"/>
    </w:pPr>
    <w:rPr>
      <w:rFonts w:ascii="宋体" w:hAnsi="宋体" w:cs="Times New Roman"/>
      <w:kern w:val="0"/>
      <w:szCs w:val="24"/>
    </w:rPr>
  </w:style>
  <w:style w:type="paragraph" w:customStyle="1" w:styleId="621">
    <w:name w:val="表标题hh Char"/>
    <w:qFormat/>
    <w:uiPriority w:val="0"/>
    <w:pPr>
      <w:spacing w:before="200"/>
      <w:jc w:val="center"/>
    </w:pPr>
    <w:rPr>
      <w:rFonts w:ascii="宋体" w:hAnsi="宋体" w:eastAsia="宋体" w:cs="Times New Roman"/>
      <w:sz w:val="28"/>
      <w:szCs w:val="28"/>
      <w:lang w:val="en-US" w:eastAsia="zh-CN" w:bidi="ar-SA"/>
    </w:rPr>
  </w:style>
  <w:style w:type="paragraph" w:customStyle="1" w:styleId="622">
    <w:name w:val="xl70"/>
    <w:basedOn w:val="1"/>
    <w:qFormat/>
    <w:uiPriority w:val="0"/>
    <w:pPr>
      <w:widowControl/>
      <w:spacing w:before="100" w:beforeAutospacing="1" w:after="100" w:afterAutospacing="1" w:line="240" w:lineRule="auto"/>
      <w:ind w:firstLine="0" w:firstLineChars="0"/>
      <w:jc w:val="center"/>
    </w:pPr>
    <w:rPr>
      <w:rFonts w:cs="Times New Roman"/>
      <w:kern w:val="0"/>
      <w:szCs w:val="20"/>
    </w:rPr>
  </w:style>
  <w:style w:type="character" w:customStyle="1" w:styleId="623">
    <w:name w:val="hb3 Char"/>
    <w:basedOn w:val="133"/>
    <w:link w:val="624"/>
    <w:locked/>
    <w:uiPriority w:val="0"/>
    <w:rPr>
      <w:rFonts w:ascii="宋体" w:hAnsi="宋体" w:eastAsia="宋体"/>
      <w:b/>
      <w:sz w:val="24"/>
    </w:rPr>
  </w:style>
  <w:style w:type="paragraph" w:customStyle="1" w:styleId="624">
    <w:name w:val="hb3"/>
    <w:basedOn w:val="5"/>
    <w:link w:val="623"/>
    <w:qFormat/>
    <w:uiPriority w:val="0"/>
    <w:pPr>
      <w:adjustRightInd w:val="0"/>
      <w:spacing w:before="260" w:after="260"/>
      <w:jc w:val="left"/>
    </w:pPr>
    <w:rPr>
      <w:rFonts w:ascii="宋体" w:hAnsi="宋体" w:eastAsia="宋体" w:cstheme="minorBidi"/>
      <w:bCs w:val="0"/>
      <w:sz w:val="24"/>
      <w:szCs w:val="22"/>
    </w:rPr>
  </w:style>
  <w:style w:type="paragraph" w:customStyle="1" w:styleId="625">
    <w:name w:val="正文文本 21"/>
    <w:basedOn w:val="1"/>
    <w:qFormat/>
    <w:uiPriority w:val="0"/>
    <w:pPr>
      <w:adjustRightInd w:val="0"/>
      <w:ind w:firstLine="480" w:firstLineChars="0"/>
    </w:pPr>
    <w:rPr>
      <w:rFonts w:cs="Times New Roman"/>
      <w:szCs w:val="20"/>
    </w:rPr>
  </w:style>
  <w:style w:type="paragraph" w:customStyle="1" w:styleId="626">
    <w:name w:val="段落标题"/>
    <w:basedOn w:val="1"/>
    <w:qFormat/>
    <w:uiPriority w:val="0"/>
    <w:pPr>
      <w:tabs>
        <w:tab w:val="left" w:pos="425"/>
      </w:tabs>
      <w:adjustRightInd w:val="0"/>
      <w:spacing w:line="400" w:lineRule="exact"/>
      <w:ind w:firstLine="720"/>
    </w:pPr>
    <w:rPr>
      <w:rFonts w:cs="Times New Roman"/>
      <w:b/>
      <w:kern w:val="0"/>
      <w:sz w:val="28"/>
      <w:szCs w:val="24"/>
    </w:rPr>
  </w:style>
  <w:style w:type="paragraph" w:customStyle="1" w:styleId="627">
    <w:name w:val="样式 正文首行缩进 + 首行缩进:  0 字符"/>
    <w:basedOn w:val="86"/>
    <w:qFormat/>
    <w:uiPriority w:val="0"/>
    <w:pPr>
      <w:adjustRightInd w:val="0"/>
      <w:snapToGrid w:val="0"/>
      <w:spacing w:after="0" w:line="360" w:lineRule="auto"/>
      <w:ind w:firstLine="567" w:firstLineChars="200"/>
    </w:pPr>
    <w:rPr>
      <w:rFonts w:eastAsia="Times New Roman"/>
      <w:color w:val="0000FF"/>
      <w:sz w:val="28"/>
      <w:szCs w:val="28"/>
    </w:rPr>
  </w:style>
  <w:style w:type="paragraph" w:customStyle="1" w:styleId="628">
    <w:name w:val="正文文本缩进 22"/>
    <w:basedOn w:val="1"/>
    <w:qFormat/>
    <w:uiPriority w:val="0"/>
    <w:pPr>
      <w:autoSpaceDE w:val="0"/>
      <w:autoSpaceDN w:val="0"/>
      <w:adjustRightInd w:val="0"/>
      <w:spacing w:line="240" w:lineRule="auto"/>
      <w:ind w:firstLine="680" w:firstLineChars="0"/>
    </w:pPr>
    <w:rPr>
      <w:rFonts w:cs="Times New Roman"/>
      <w:kern w:val="0"/>
      <w:sz w:val="28"/>
      <w:szCs w:val="20"/>
    </w:rPr>
  </w:style>
  <w:style w:type="paragraph" w:customStyle="1" w:styleId="629">
    <w:name w:val="样式 (中文) 黑体"/>
    <w:basedOn w:val="1"/>
    <w:qFormat/>
    <w:uiPriority w:val="0"/>
    <w:pPr>
      <w:spacing w:line="480" w:lineRule="exact"/>
      <w:ind w:firstLine="567" w:firstLineChars="0"/>
    </w:pPr>
    <w:rPr>
      <w:rFonts w:eastAsia="黑体" w:cs="宋体"/>
      <w:kern w:val="0"/>
      <w:szCs w:val="20"/>
    </w:rPr>
  </w:style>
  <w:style w:type="character" w:customStyle="1" w:styleId="630">
    <w:name w:val="样式 EIA正文 + Times New Roman Char"/>
    <w:basedOn w:val="133"/>
    <w:link w:val="631"/>
    <w:locked/>
    <w:uiPriority w:val="0"/>
    <w:rPr>
      <w:rFonts w:ascii="仿宋" w:hAnsi="仿宋" w:eastAsia="仿宋_GB2312"/>
      <w:b/>
      <w:spacing w:val="-20"/>
      <w:sz w:val="28"/>
      <w:lang w:val="zh-CN"/>
    </w:rPr>
  </w:style>
  <w:style w:type="paragraph" w:customStyle="1" w:styleId="631">
    <w:name w:val="样式 EIA正文 + Times New Roman"/>
    <w:basedOn w:val="1"/>
    <w:link w:val="630"/>
    <w:qFormat/>
    <w:uiPriority w:val="0"/>
    <w:pPr>
      <w:spacing w:line="580" w:lineRule="atLeast"/>
      <w:ind w:firstLine="560" w:firstLineChars="0"/>
    </w:pPr>
    <w:rPr>
      <w:rFonts w:ascii="仿宋" w:hAnsi="仿宋" w:eastAsia="仿宋_GB2312"/>
      <w:b/>
      <w:spacing w:val="-20"/>
      <w:sz w:val="28"/>
      <w:lang w:val="zh-CN"/>
    </w:rPr>
  </w:style>
  <w:style w:type="paragraph" w:customStyle="1" w:styleId="632">
    <w:name w:val="表12 Char Char"/>
    <w:basedOn w:val="3"/>
    <w:qFormat/>
    <w:uiPriority w:val="0"/>
    <w:pPr>
      <w:tabs>
        <w:tab w:val="left" w:pos="432"/>
      </w:tabs>
      <w:jc w:val="center"/>
    </w:pPr>
    <w:rPr>
      <w:rFonts w:ascii="宋体" w:hAnsi="宋体" w:eastAsia="宋体"/>
      <w:b w:val="0"/>
      <w:kern w:val="0"/>
      <w:sz w:val="21"/>
      <w:szCs w:val="21"/>
    </w:rPr>
  </w:style>
  <w:style w:type="paragraph" w:customStyle="1" w:styleId="633">
    <w:name w:val="CC Char Char Char"/>
    <w:basedOn w:val="51"/>
    <w:next w:val="51"/>
    <w:qFormat/>
    <w:uiPriority w:val="0"/>
    <w:pPr>
      <w:ind w:left="630" w:leftChars="100" w:right="100" w:rightChars="100" w:firstLine="0" w:firstLineChars="0"/>
    </w:pPr>
    <w:rPr>
      <w:rFonts w:cs="Times New Roman"/>
      <w:sz w:val="28"/>
      <w:szCs w:val="28"/>
    </w:rPr>
  </w:style>
  <w:style w:type="paragraph" w:customStyle="1" w:styleId="634">
    <w:name w:val="四级条标题"/>
    <w:basedOn w:val="567"/>
    <w:next w:val="1"/>
    <w:qFormat/>
    <w:uiPriority w:val="0"/>
    <w:pPr>
      <w:outlineLvl w:val="5"/>
    </w:pPr>
  </w:style>
  <w:style w:type="paragraph" w:customStyle="1" w:styleId="635">
    <w:name w:val="Char71"/>
    <w:basedOn w:val="1"/>
    <w:qFormat/>
    <w:uiPriority w:val="0"/>
    <w:pPr>
      <w:adjustRightInd w:val="0"/>
      <w:ind w:firstLine="0" w:firstLineChars="0"/>
    </w:pPr>
    <w:rPr>
      <w:rFonts w:cs="Times New Roman"/>
      <w:kern w:val="0"/>
      <w:szCs w:val="20"/>
    </w:rPr>
  </w:style>
  <w:style w:type="paragraph" w:customStyle="1" w:styleId="636">
    <w:name w:val="表内59"/>
    <w:basedOn w:val="1"/>
    <w:semiHidden/>
    <w:qFormat/>
    <w:uiPriority w:val="0"/>
    <w:pPr>
      <w:adjustRightInd w:val="0"/>
      <w:snapToGrid w:val="0"/>
      <w:spacing w:line="300" w:lineRule="auto"/>
      <w:ind w:left="-89" w:leftChars="-37" w:firstLine="0" w:firstLineChars="0"/>
      <w:jc w:val="center"/>
    </w:pPr>
    <w:rPr>
      <w:rFonts w:ascii="宋体" w:cs="Times New Roman"/>
      <w:sz w:val="21"/>
    </w:rPr>
  </w:style>
  <w:style w:type="paragraph" w:customStyle="1" w:styleId="637">
    <w:name w:val="xl101"/>
    <w:basedOn w:val="1"/>
    <w:semiHidden/>
    <w:qFormat/>
    <w:uiPriority w:val="0"/>
    <w:pPr>
      <w:widowControl/>
      <w:pBdr>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character" w:customStyle="1" w:styleId="638">
    <w:name w:val="正文新 Char"/>
    <w:basedOn w:val="133"/>
    <w:link w:val="639"/>
    <w:locked/>
    <w:uiPriority w:val="0"/>
    <w:rPr>
      <w:rFonts w:ascii="宋体" w:hAnsi="宋体" w:eastAsia="宋体"/>
      <w:sz w:val="24"/>
    </w:rPr>
  </w:style>
  <w:style w:type="paragraph" w:customStyle="1" w:styleId="639">
    <w:name w:val="正文新"/>
    <w:basedOn w:val="1"/>
    <w:link w:val="638"/>
    <w:qFormat/>
    <w:uiPriority w:val="0"/>
    <w:pPr>
      <w:spacing w:line="460" w:lineRule="exact"/>
      <w:ind w:firstLine="482" w:firstLineChars="0"/>
    </w:pPr>
    <w:rPr>
      <w:rFonts w:ascii="宋体" w:hAnsi="宋体"/>
    </w:rPr>
  </w:style>
  <w:style w:type="paragraph" w:customStyle="1" w:styleId="640">
    <w:name w:val="word"/>
    <w:basedOn w:val="1"/>
    <w:qFormat/>
    <w:uiPriority w:val="0"/>
    <w:pPr>
      <w:adjustRightInd w:val="0"/>
      <w:snapToGrid w:val="0"/>
      <w:ind w:firstLine="480"/>
    </w:pPr>
    <w:rPr>
      <w:rFonts w:ascii="宋体" w:hAnsi="宋体" w:cs="Times New Roman"/>
      <w:szCs w:val="24"/>
    </w:rPr>
  </w:style>
  <w:style w:type="paragraph" w:customStyle="1" w:styleId="641">
    <w:name w:val="title 01"/>
    <w:basedOn w:val="1"/>
    <w:qFormat/>
    <w:uiPriority w:val="0"/>
    <w:pPr>
      <w:spacing w:line="440" w:lineRule="exact"/>
      <w:ind w:firstLine="480"/>
      <w:jc w:val="center"/>
    </w:pPr>
    <w:rPr>
      <w:rFonts w:cs="宋体"/>
      <w:sz w:val="44"/>
      <w:szCs w:val="20"/>
    </w:rPr>
  </w:style>
  <w:style w:type="character" w:customStyle="1" w:styleId="642">
    <w:name w:val="标题2-自建 Char Char"/>
    <w:link w:val="643"/>
    <w:locked/>
    <w:uiPriority w:val="0"/>
    <w:rPr>
      <w:rFonts w:ascii="Arial" w:hAnsi="Arial" w:cs="Arial"/>
      <w:b/>
      <w:sz w:val="28"/>
    </w:rPr>
  </w:style>
  <w:style w:type="paragraph" w:customStyle="1" w:styleId="643">
    <w:name w:val="标题2-自建"/>
    <w:basedOn w:val="4"/>
    <w:link w:val="642"/>
    <w:qFormat/>
    <w:uiPriority w:val="0"/>
    <w:pPr>
      <w:spacing w:line="600" w:lineRule="exact"/>
      <w:jc w:val="left"/>
    </w:pPr>
    <w:rPr>
      <w:rFonts w:ascii="Arial" w:hAnsi="Arial" w:cs="Arial" w:eastAsiaTheme="minorEastAsia"/>
      <w:bCs w:val="0"/>
      <w:sz w:val="28"/>
      <w:szCs w:val="22"/>
    </w:rPr>
  </w:style>
  <w:style w:type="paragraph" w:customStyle="1" w:styleId="644">
    <w:name w:val="表格001"/>
    <w:basedOn w:val="1"/>
    <w:semiHidden/>
    <w:qFormat/>
    <w:uiPriority w:val="0"/>
    <w:pPr>
      <w:spacing w:line="240" w:lineRule="auto"/>
      <w:ind w:firstLine="0" w:firstLineChars="0"/>
      <w:jc w:val="center"/>
    </w:pPr>
    <w:rPr>
      <w:rFonts w:cs="Times New Roman"/>
      <w:szCs w:val="24"/>
    </w:rPr>
  </w:style>
  <w:style w:type="paragraph" w:customStyle="1" w:styleId="645">
    <w:name w:val="yy标题2"/>
    <w:basedOn w:val="1"/>
    <w:next w:val="183"/>
    <w:semiHidden/>
    <w:qFormat/>
    <w:uiPriority w:val="0"/>
    <w:pPr>
      <w:keepNext/>
      <w:ind w:firstLine="0" w:firstLineChars="0"/>
      <w:outlineLvl w:val="1"/>
    </w:pPr>
    <w:rPr>
      <w:rFonts w:ascii="宋体" w:hAnsi="宋体" w:eastAsia="黑体" w:cs="Times New Roman"/>
      <w:b/>
      <w:bCs/>
      <w:sz w:val="28"/>
      <w:szCs w:val="32"/>
    </w:rPr>
  </w:style>
  <w:style w:type="paragraph" w:customStyle="1" w:styleId="646">
    <w:name w:val="ZW Char"/>
    <w:basedOn w:val="1"/>
    <w:semiHidden/>
    <w:qFormat/>
    <w:uiPriority w:val="0"/>
    <w:pPr>
      <w:spacing w:beforeLines="20" w:line="240" w:lineRule="auto"/>
    </w:pPr>
    <w:rPr>
      <w:rFonts w:cs="Times New Roman"/>
      <w:szCs w:val="24"/>
    </w:rPr>
  </w:style>
  <w:style w:type="paragraph" w:customStyle="1" w:styleId="647">
    <w:name w:val="xl27"/>
    <w:basedOn w:val="1"/>
    <w:qFormat/>
    <w:uiPriority w:val="0"/>
    <w:pPr>
      <w:widowControl/>
      <w:pBdr>
        <w:left w:val="single" w:color="auto" w:sz="4" w:space="0"/>
        <w:bottom w:val="single" w:color="auto" w:sz="4" w:space="0"/>
        <w:right w:val="single" w:color="auto" w:sz="4" w:space="0"/>
      </w:pBdr>
      <w:spacing w:before="100" w:after="100" w:line="240" w:lineRule="auto"/>
      <w:ind w:firstLine="0" w:firstLineChars="0"/>
      <w:jc w:val="center"/>
    </w:pPr>
    <w:rPr>
      <w:rFonts w:cs="Times New Roman"/>
      <w:kern w:val="0"/>
      <w:szCs w:val="20"/>
    </w:rPr>
  </w:style>
  <w:style w:type="paragraph" w:customStyle="1" w:styleId="648">
    <w:name w:val="正文001"/>
    <w:basedOn w:val="1"/>
    <w:qFormat/>
    <w:uiPriority w:val="0"/>
    <w:pPr>
      <w:spacing w:before="60" w:line="460" w:lineRule="exact"/>
      <w:ind w:firstLine="482" w:firstLineChars="0"/>
    </w:pPr>
    <w:rPr>
      <w:rFonts w:cs="Times New Roman"/>
      <w:szCs w:val="20"/>
    </w:rPr>
  </w:style>
  <w:style w:type="paragraph" w:customStyle="1" w:styleId="649">
    <w:name w:val="样式 标题 2标题2二级 标题 2H2h2第一层条标题 2 Char节标题节11 Char标题 2 Cha...2"/>
    <w:basedOn w:val="4"/>
    <w:qFormat/>
    <w:uiPriority w:val="0"/>
    <w:pPr>
      <w:keepNext w:val="0"/>
      <w:keepLines w:val="0"/>
      <w:adjustRightInd w:val="0"/>
      <w:spacing w:before="240" w:after="240" w:line="360" w:lineRule="exact"/>
      <w:ind w:left="578" w:hanging="578"/>
    </w:pPr>
    <w:rPr>
      <w:rFonts w:ascii="Tahoma" w:hAnsi="Tahoma" w:eastAsia="华文仿宋" w:cs="Garamond"/>
      <w:smallCaps/>
      <w:kern w:val="0"/>
      <w:sz w:val="24"/>
      <w:szCs w:val="21"/>
    </w:rPr>
  </w:style>
  <w:style w:type="paragraph" w:customStyle="1" w:styleId="650">
    <w:name w:val="font23"/>
    <w:basedOn w:val="1"/>
    <w:semiHidden/>
    <w:qFormat/>
    <w:uiPriority w:val="0"/>
    <w:pPr>
      <w:widowControl/>
      <w:spacing w:before="100" w:beforeAutospacing="1" w:after="100" w:afterAutospacing="1" w:line="240" w:lineRule="auto"/>
      <w:ind w:firstLine="0" w:firstLineChars="0"/>
      <w:jc w:val="left"/>
    </w:pPr>
    <w:rPr>
      <w:rFonts w:cs="Times New Roman"/>
      <w:color w:val="99CCFF"/>
      <w:kern w:val="0"/>
      <w:sz w:val="21"/>
    </w:rPr>
  </w:style>
  <w:style w:type="paragraph" w:customStyle="1" w:styleId="651">
    <w:name w:val="样式 表头6 + 居中"/>
    <w:basedOn w:val="1"/>
    <w:qFormat/>
    <w:uiPriority w:val="0"/>
    <w:pPr>
      <w:tabs>
        <w:tab w:val="left" w:pos="1800"/>
      </w:tabs>
      <w:spacing w:before="40" w:after="40"/>
      <w:ind w:left="1260" w:firstLine="0" w:firstLineChars="0"/>
      <w:jc w:val="center"/>
    </w:pPr>
    <w:rPr>
      <w:rFonts w:eastAsia="黑体" w:cs="宋体"/>
      <w:bCs/>
      <w:color w:val="000000"/>
      <w:szCs w:val="20"/>
    </w:rPr>
  </w:style>
  <w:style w:type="paragraph" w:customStyle="1" w:styleId="652">
    <w:name w:val="T表格"/>
    <w:qFormat/>
    <w:uiPriority w:val="0"/>
    <w:pPr>
      <w:jc w:val="center"/>
    </w:pPr>
    <w:rPr>
      <w:rFonts w:ascii="Times New Roman" w:hAnsi="Times New Roman" w:eastAsia="宋体" w:cs="Times New Roman"/>
      <w:sz w:val="21"/>
      <w:lang w:val="en-US" w:eastAsia="zh-CN" w:bidi="ar-SA"/>
    </w:rPr>
  </w:style>
  <w:style w:type="character" w:customStyle="1" w:styleId="653">
    <w:name w:val="样式2 Char"/>
    <w:basedOn w:val="133"/>
    <w:link w:val="654"/>
    <w:locked/>
    <w:uiPriority w:val="0"/>
  </w:style>
  <w:style w:type="paragraph" w:customStyle="1" w:styleId="654">
    <w:name w:val="样式2"/>
    <w:basedOn w:val="1"/>
    <w:link w:val="653"/>
    <w:qFormat/>
    <w:uiPriority w:val="0"/>
    <w:pPr>
      <w:spacing w:line="240" w:lineRule="auto"/>
      <w:ind w:firstLine="0" w:firstLineChars="0"/>
      <w:jc w:val="center"/>
    </w:pPr>
    <w:rPr>
      <w:rFonts w:asciiTheme="minorHAnsi" w:hAnsiTheme="minorHAnsi" w:eastAsiaTheme="minorEastAsia"/>
      <w:sz w:val="21"/>
    </w:rPr>
  </w:style>
  <w:style w:type="paragraph" w:customStyle="1" w:styleId="655">
    <w:name w:val="正文表标题"/>
    <w:next w:val="6"/>
    <w:qFormat/>
    <w:uiPriority w:val="0"/>
    <w:pPr>
      <w:jc w:val="center"/>
    </w:pPr>
    <w:rPr>
      <w:rFonts w:ascii="黑体" w:hAnsi="Times New Roman" w:eastAsia="黑体" w:cs="Times New Roman"/>
      <w:sz w:val="21"/>
      <w:lang w:val="en-US" w:eastAsia="zh-CN" w:bidi="ar-SA"/>
    </w:rPr>
  </w:style>
  <w:style w:type="paragraph" w:customStyle="1" w:styleId="656">
    <w:name w:val="正文文字2"/>
    <w:basedOn w:val="34"/>
    <w:next w:val="34"/>
    <w:qFormat/>
    <w:uiPriority w:val="0"/>
    <w:pPr>
      <w:adjustRightInd w:val="0"/>
      <w:snapToGrid w:val="0"/>
      <w:spacing w:after="0" w:line="240" w:lineRule="auto"/>
      <w:ind w:firstLine="0" w:firstLineChars="0"/>
    </w:pPr>
    <w:rPr>
      <w:rFonts w:cs="Times New Roman"/>
      <w:kern w:val="0"/>
      <w:szCs w:val="20"/>
    </w:rPr>
  </w:style>
  <w:style w:type="character" w:customStyle="1" w:styleId="657">
    <w:name w:val="图号 Char"/>
    <w:basedOn w:val="133"/>
    <w:link w:val="658"/>
    <w:locked/>
    <w:uiPriority w:val="0"/>
    <w:rPr>
      <w:b/>
      <w:kern w:val="32"/>
      <w:sz w:val="24"/>
    </w:rPr>
  </w:style>
  <w:style w:type="paragraph" w:customStyle="1" w:styleId="658">
    <w:name w:val="图号"/>
    <w:basedOn w:val="63"/>
    <w:link w:val="657"/>
    <w:qFormat/>
    <w:uiPriority w:val="0"/>
    <w:pPr>
      <w:ind w:left="198" w:hanging="210"/>
      <w:jc w:val="left"/>
    </w:pPr>
    <w:rPr>
      <w:rFonts w:asciiTheme="minorHAnsi" w:hAnsiTheme="minorHAnsi" w:eastAsiaTheme="minorEastAsia" w:cstheme="minorBidi"/>
      <w:b/>
      <w:kern w:val="32"/>
      <w:sz w:val="24"/>
      <w:szCs w:val="22"/>
    </w:rPr>
  </w:style>
  <w:style w:type="paragraph" w:customStyle="1" w:styleId="659">
    <w:name w:val="xl63"/>
    <w:basedOn w:val="1"/>
    <w:qFormat/>
    <w:uiPriority w:val="0"/>
    <w:pPr>
      <w:widowControl/>
      <w:spacing w:before="100" w:after="100" w:line="240" w:lineRule="auto"/>
      <w:ind w:firstLine="0" w:firstLineChars="0"/>
      <w:jc w:val="center"/>
    </w:pPr>
    <w:rPr>
      <w:rFonts w:ascii="黑体" w:hAnsi="宋体" w:eastAsia="黑体" w:cs="Times New Roman"/>
      <w:kern w:val="0"/>
      <w:szCs w:val="20"/>
    </w:rPr>
  </w:style>
  <w:style w:type="paragraph" w:customStyle="1" w:styleId="660">
    <w:name w:val="样式 首行缩进:  2 字符1"/>
    <w:basedOn w:val="1"/>
    <w:qFormat/>
    <w:uiPriority w:val="0"/>
    <w:pPr>
      <w:topLinePunct/>
      <w:spacing w:line="240" w:lineRule="exact"/>
      <w:ind w:firstLine="480"/>
    </w:pPr>
    <w:rPr>
      <w:rFonts w:cs="宋体"/>
      <w:szCs w:val="24"/>
    </w:rPr>
  </w:style>
  <w:style w:type="paragraph" w:customStyle="1" w:styleId="661">
    <w:name w:val="Char Char13 Char Char Char Char Char Char Char Char Char Char Char Char"/>
    <w:basedOn w:val="1"/>
    <w:qFormat/>
    <w:uiPriority w:val="0"/>
    <w:rPr>
      <w:rFonts w:ascii="宋体" w:hAnsi="宋体" w:cs="宋体"/>
      <w:szCs w:val="24"/>
    </w:rPr>
  </w:style>
  <w:style w:type="paragraph" w:customStyle="1" w:styleId="662">
    <w:name w:val="热电厂正文"/>
    <w:basedOn w:val="1"/>
    <w:qFormat/>
    <w:uiPriority w:val="0"/>
    <w:pPr>
      <w:spacing w:line="440" w:lineRule="exact"/>
      <w:ind w:firstLine="480"/>
    </w:pPr>
    <w:rPr>
      <w:rFonts w:cs="Times New Roman"/>
      <w:szCs w:val="24"/>
    </w:rPr>
  </w:style>
  <w:style w:type="paragraph" w:customStyle="1" w:styleId="663">
    <w:name w:val="表格样式11"/>
    <w:basedOn w:val="1"/>
    <w:semiHidden/>
    <w:qFormat/>
    <w:uiPriority w:val="0"/>
    <w:pPr>
      <w:spacing w:line="360" w:lineRule="exact"/>
      <w:ind w:firstLine="0" w:firstLineChars="0"/>
      <w:jc w:val="center"/>
    </w:pPr>
    <w:rPr>
      <w:rFonts w:ascii="宋体" w:hAnsi="宋体" w:cs="Arial"/>
      <w:sz w:val="21"/>
      <w:szCs w:val="24"/>
    </w:rPr>
  </w:style>
  <w:style w:type="paragraph" w:customStyle="1" w:styleId="664">
    <w:name w:val="示例"/>
    <w:next w:val="6"/>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665">
    <w:name w:val="目录2"/>
    <w:basedOn w:val="1"/>
    <w:next w:val="1"/>
    <w:qFormat/>
    <w:uiPriority w:val="0"/>
    <w:pPr>
      <w:widowControl/>
      <w:tabs>
        <w:tab w:val="left" w:leader="dot" w:pos="8503"/>
      </w:tabs>
      <w:spacing w:line="317" w:lineRule="atLeast"/>
      <w:ind w:left="419" w:firstLine="419" w:firstLineChars="0"/>
    </w:pPr>
    <w:rPr>
      <w:rFonts w:cs="Times New Roman"/>
      <w:color w:val="000000"/>
      <w:kern w:val="0"/>
      <w:sz w:val="21"/>
      <w:szCs w:val="20"/>
      <w:u w:color="000000"/>
    </w:rPr>
  </w:style>
  <w:style w:type="paragraph" w:customStyle="1" w:styleId="666">
    <w:name w:val="小四表文左齐"/>
    <w:basedOn w:val="1"/>
    <w:qFormat/>
    <w:uiPriority w:val="0"/>
    <w:pPr>
      <w:spacing w:line="240" w:lineRule="auto"/>
      <w:ind w:firstLine="0" w:firstLineChars="0"/>
      <w:jc w:val="center"/>
    </w:pPr>
    <w:rPr>
      <w:rFonts w:ascii="宋体" w:hAnsi="宋体" w:cs="Times New Roman"/>
      <w:sz w:val="21"/>
      <w:szCs w:val="24"/>
    </w:rPr>
  </w:style>
  <w:style w:type="paragraph" w:customStyle="1" w:styleId="667">
    <w:name w:val="c"/>
    <w:semiHidden/>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668">
    <w:name w:val="表内字"/>
    <w:basedOn w:val="45"/>
    <w:qFormat/>
    <w:uiPriority w:val="0"/>
    <w:pPr>
      <w:snapToGrid w:val="0"/>
      <w:spacing w:line="300" w:lineRule="auto"/>
      <w:jc w:val="center"/>
    </w:pPr>
    <w:rPr>
      <w:rFonts w:ascii="Arial" w:hAnsi="Arial" w:eastAsia="宋体" w:cs="Times New Roman"/>
      <w:kern w:val="0"/>
      <w:szCs w:val="20"/>
    </w:rPr>
  </w:style>
  <w:style w:type="paragraph" w:customStyle="1" w:styleId="669">
    <w:name w:val="正文缩"/>
    <w:basedOn w:val="1"/>
    <w:next w:val="1"/>
    <w:qFormat/>
    <w:uiPriority w:val="0"/>
    <w:pPr>
      <w:adjustRightInd w:val="0"/>
      <w:spacing w:line="480" w:lineRule="atLeast"/>
      <w:ind w:firstLine="567" w:firstLineChars="0"/>
      <w:jc w:val="left"/>
    </w:pPr>
    <w:rPr>
      <w:rFonts w:ascii="宋体" w:cs="Times New Roman"/>
      <w:spacing w:val="6"/>
      <w:kern w:val="0"/>
      <w:sz w:val="28"/>
      <w:szCs w:val="20"/>
    </w:rPr>
  </w:style>
  <w:style w:type="paragraph" w:customStyle="1" w:styleId="670">
    <w:name w:val="表号 Char"/>
    <w:basedOn w:val="1"/>
    <w:qFormat/>
    <w:uiPriority w:val="0"/>
    <w:pPr>
      <w:snapToGrid w:val="0"/>
      <w:spacing w:line="240" w:lineRule="auto"/>
      <w:ind w:firstLine="480" w:firstLineChars="0"/>
    </w:pPr>
    <w:rPr>
      <w:rFonts w:cs="Times New Roman"/>
      <w:kern w:val="32"/>
      <w:szCs w:val="20"/>
    </w:rPr>
  </w:style>
  <w:style w:type="paragraph" w:customStyle="1" w:styleId="671">
    <w:name w:val="xl58"/>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FF00FF"/>
      <w:kern w:val="0"/>
      <w:sz w:val="21"/>
    </w:rPr>
  </w:style>
  <w:style w:type="paragraph" w:customStyle="1" w:styleId="672">
    <w:name w:val="样式 Arial 行距: 多倍行距 1.45 字行"/>
    <w:basedOn w:val="1"/>
    <w:qFormat/>
    <w:uiPriority w:val="0"/>
    <w:pPr>
      <w:spacing w:line="480" w:lineRule="exact"/>
      <w:ind w:firstLine="480"/>
    </w:pPr>
    <w:rPr>
      <w:rFonts w:ascii="宋体" w:hAnsi="宋体" w:cs="Times New Roman"/>
      <w:kern w:val="0"/>
      <w:szCs w:val="20"/>
    </w:rPr>
  </w:style>
  <w:style w:type="character" w:customStyle="1" w:styleId="673">
    <w:name w:val="111111正文 Char Char"/>
    <w:basedOn w:val="133"/>
    <w:link w:val="674"/>
    <w:locked/>
    <w:uiPriority w:val="0"/>
    <w:rPr>
      <w:sz w:val="24"/>
      <w:szCs w:val="24"/>
    </w:rPr>
  </w:style>
  <w:style w:type="paragraph" w:customStyle="1" w:styleId="674">
    <w:name w:val="111111正文"/>
    <w:basedOn w:val="1"/>
    <w:link w:val="673"/>
    <w:qFormat/>
    <w:uiPriority w:val="0"/>
    <w:rPr>
      <w:rFonts w:asciiTheme="minorHAnsi" w:hAnsiTheme="minorHAnsi" w:eastAsiaTheme="minorEastAsia"/>
      <w:szCs w:val="24"/>
    </w:rPr>
  </w:style>
  <w:style w:type="character" w:customStyle="1" w:styleId="675">
    <w:name w:val="正文11 Char"/>
    <w:basedOn w:val="133"/>
    <w:link w:val="676"/>
    <w:semiHidden/>
    <w:locked/>
    <w:uiPriority w:val="0"/>
    <w:rPr>
      <w:rFonts w:ascii="宋体" w:hAnsi="宋体" w:eastAsia="宋体"/>
      <w:szCs w:val="21"/>
    </w:rPr>
  </w:style>
  <w:style w:type="paragraph" w:customStyle="1" w:styleId="676">
    <w:name w:val="正文11"/>
    <w:basedOn w:val="1"/>
    <w:next w:val="1"/>
    <w:link w:val="675"/>
    <w:semiHidden/>
    <w:qFormat/>
    <w:uiPriority w:val="0"/>
    <w:pPr>
      <w:spacing w:line="460" w:lineRule="exact"/>
    </w:pPr>
    <w:rPr>
      <w:rFonts w:ascii="宋体" w:hAnsi="宋体"/>
      <w:sz w:val="21"/>
    </w:rPr>
  </w:style>
  <w:style w:type="paragraph" w:customStyle="1" w:styleId="677">
    <w:name w:val="封面正文"/>
    <w:qFormat/>
    <w:uiPriority w:val="0"/>
    <w:pPr>
      <w:jc w:val="both"/>
    </w:pPr>
    <w:rPr>
      <w:rFonts w:ascii="Times New Roman" w:hAnsi="Times New Roman" w:eastAsia="宋体" w:cs="Times New Roman"/>
      <w:lang w:val="en-US" w:eastAsia="zh-CN" w:bidi="ar-SA"/>
    </w:rPr>
  </w:style>
  <w:style w:type="character" w:customStyle="1" w:styleId="678">
    <w:name w:val="表格 Char"/>
    <w:basedOn w:val="133"/>
    <w:link w:val="679"/>
    <w:locked/>
    <w:uiPriority w:val="0"/>
    <w:rPr>
      <w:rFonts w:ascii="宋体" w:hAnsi="宋体" w:eastAsia="宋体"/>
    </w:rPr>
  </w:style>
  <w:style w:type="paragraph" w:customStyle="1" w:styleId="679">
    <w:name w:val="表格"/>
    <w:basedOn w:val="1"/>
    <w:next w:val="1"/>
    <w:link w:val="678"/>
    <w:qFormat/>
    <w:uiPriority w:val="0"/>
    <w:pPr>
      <w:adjustRightInd w:val="0"/>
      <w:snapToGrid w:val="0"/>
      <w:spacing w:line="240" w:lineRule="auto"/>
      <w:ind w:firstLine="0" w:firstLineChars="0"/>
      <w:jc w:val="center"/>
    </w:pPr>
    <w:rPr>
      <w:rFonts w:ascii="宋体" w:hAnsi="宋体"/>
      <w:sz w:val="21"/>
    </w:rPr>
  </w:style>
  <w:style w:type="character" w:customStyle="1" w:styleId="680">
    <w:name w:val="投标文件三级标题 Char"/>
    <w:basedOn w:val="133"/>
    <w:link w:val="681"/>
    <w:locked/>
    <w:uiPriority w:val="0"/>
    <w:rPr>
      <w:rFonts w:ascii="宋体" w:hAnsi="宋体" w:eastAsia="黑体"/>
      <w:color w:val="000000"/>
      <w:sz w:val="26"/>
    </w:rPr>
  </w:style>
  <w:style w:type="paragraph" w:customStyle="1" w:styleId="681">
    <w:name w:val="投标文件三级标题"/>
    <w:basedOn w:val="5"/>
    <w:link w:val="680"/>
    <w:qFormat/>
    <w:uiPriority w:val="0"/>
    <w:pPr>
      <w:tabs>
        <w:tab w:val="left" w:pos="851"/>
      </w:tabs>
      <w:spacing w:before="240" w:after="120" w:line="400" w:lineRule="exact"/>
      <w:ind w:right="33"/>
      <w:jc w:val="left"/>
    </w:pPr>
    <w:rPr>
      <w:rFonts w:ascii="宋体" w:hAnsi="宋体" w:cstheme="minorBidi"/>
      <w:b w:val="0"/>
      <w:bCs w:val="0"/>
      <w:color w:val="000000"/>
      <w:sz w:val="26"/>
      <w:szCs w:val="22"/>
    </w:rPr>
  </w:style>
  <w:style w:type="paragraph" w:customStyle="1" w:styleId="682">
    <w:name w:val="xl78"/>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Arial Unicode MS" w:hAnsi="Arial Unicode MS" w:eastAsia="Arial Unicode MS" w:cs="Times New Roman"/>
      <w:kern w:val="0"/>
      <w:szCs w:val="24"/>
    </w:rPr>
  </w:style>
  <w:style w:type="paragraph" w:customStyle="1" w:styleId="683">
    <w:name w:val="Char4 Char Char Char Char Char Char1"/>
    <w:basedOn w:val="1"/>
    <w:semiHidden/>
    <w:qFormat/>
    <w:uiPriority w:val="0"/>
    <w:rPr>
      <w:rFonts w:ascii="宋体" w:hAnsi="宋体" w:cs="宋体"/>
      <w:szCs w:val="24"/>
    </w:rPr>
  </w:style>
  <w:style w:type="paragraph" w:customStyle="1" w:styleId="684">
    <w:name w:val="(1)"/>
    <w:basedOn w:val="1"/>
    <w:qFormat/>
    <w:uiPriority w:val="0"/>
    <w:pPr>
      <w:spacing w:line="240" w:lineRule="auto"/>
      <w:ind w:firstLine="0" w:firstLineChars="0"/>
    </w:pPr>
    <w:rPr>
      <w:rFonts w:cs="Times New Roman"/>
      <w:szCs w:val="20"/>
    </w:rPr>
  </w:style>
  <w:style w:type="paragraph" w:customStyle="1" w:styleId="685">
    <w:name w:val="xl4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cs="Times New Roman"/>
      <w:kern w:val="0"/>
      <w:sz w:val="18"/>
      <w:szCs w:val="18"/>
    </w:rPr>
  </w:style>
  <w:style w:type="paragraph" w:customStyle="1" w:styleId="686">
    <w:name w:val="样式 四号 首行缩进:  2 字符"/>
    <w:basedOn w:val="1"/>
    <w:semiHidden/>
    <w:qFormat/>
    <w:uiPriority w:val="0"/>
    <w:pPr>
      <w:spacing w:line="480" w:lineRule="atLeast"/>
    </w:pPr>
    <w:rPr>
      <w:rFonts w:cs="Times New Roman"/>
      <w:szCs w:val="24"/>
    </w:rPr>
  </w:style>
  <w:style w:type="paragraph" w:customStyle="1" w:styleId="687">
    <w:name w:val="表格样式5"/>
    <w:basedOn w:val="529"/>
    <w:qFormat/>
    <w:uiPriority w:val="0"/>
    <w:pPr>
      <w:spacing w:line="280" w:lineRule="exact"/>
    </w:pPr>
  </w:style>
  <w:style w:type="character" w:customStyle="1" w:styleId="688">
    <w:name w:val="正文首缩 Char Char"/>
    <w:link w:val="689"/>
    <w:locked/>
    <w:uiPriority w:val="0"/>
    <w:rPr>
      <w:sz w:val="24"/>
    </w:rPr>
  </w:style>
  <w:style w:type="paragraph" w:customStyle="1" w:styleId="689">
    <w:name w:val="正文首缩"/>
    <w:basedOn w:val="34"/>
    <w:link w:val="688"/>
    <w:qFormat/>
    <w:uiPriority w:val="0"/>
    <w:pPr>
      <w:snapToGrid w:val="0"/>
      <w:spacing w:after="80" w:line="288" w:lineRule="auto"/>
      <w:ind w:firstLine="454"/>
    </w:pPr>
    <w:rPr>
      <w:rFonts w:asciiTheme="minorHAnsi" w:hAnsiTheme="minorHAnsi" w:eastAsiaTheme="minorEastAsia"/>
    </w:rPr>
  </w:style>
  <w:style w:type="paragraph" w:customStyle="1" w:styleId="690">
    <w:name w:val="投标文件四级标题"/>
    <w:basedOn w:val="6"/>
    <w:qFormat/>
    <w:uiPriority w:val="0"/>
    <w:pPr>
      <w:tabs>
        <w:tab w:val="left" w:pos="964"/>
      </w:tabs>
      <w:spacing w:before="240" w:after="120" w:line="400" w:lineRule="exact"/>
      <w:ind w:left="1080" w:right="33" w:hanging="1080"/>
      <w:jc w:val="left"/>
    </w:pPr>
    <w:rPr>
      <w:rFonts w:ascii="Arial" w:hAnsi="Arial" w:cs="Times New Roman"/>
      <w:b w:val="0"/>
      <w:bCs w:val="0"/>
      <w:color w:val="000000"/>
      <w:szCs w:val="20"/>
    </w:rPr>
  </w:style>
  <w:style w:type="paragraph" w:customStyle="1" w:styleId="691">
    <w:name w:val="样式 黑色1"/>
    <w:basedOn w:val="1"/>
    <w:semiHidden/>
    <w:qFormat/>
    <w:uiPriority w:val="0"/>
    <w:pPr>
      <w:ind w:firstLine="480"/>
    </w:pPr>
    <w:rPr>
      <w:rFonts w:hAnsi="宋体" w:cs="Times New Roman"/>
      <w:color w:val="000000"/>
      <w:szCs w:val="24"/>
    </w:rPr>
  </w:style>
  <w:style w:type="character" w:customStyle="1" w:styleId="692">
    <w:name w:val="表格样式 Char"/>
    <w:link w:val="693"/>
    <w:locked/>
    <w:uiPriority w:val="0"/>
    <w:rPr>
      <w:rFonts w:ascii="宋体" w:hAnsi="宋体" w:eastAsia="宋体"/>
      <w:szCs w:val="21"/>
    </w:rPr>
  </w:style>
  <w:style w:type="paragraph" w:customStyle="1" w:styleId="693">
    <w:name w:val="表格样式"/>
    <w:basedOn w:val="1"/>
    <w:link w:val="692"/>
    <w:qFormat/>
    <w:uiPriority w:val="0"/>
    <w:pPr>
      <w:spacing w:line="360" w:lineRule="exact"/>
      <w:ind w:left="-105" w:leftChars="-50" w:right="-105" w:rightChars="-50" w:firstLine="0" w:firstLineChars="0"/>
      <w:jc w:val="center"/>
    </w:pPr>
    <w:rPr>
      <w:rFonts w:ascii="宋体" w:hAnsi="宋体"/>
      <w:sz w:val="21"/>
    </w:rPr>
  </w:style>
  <w:style w:type="paragraph" w:customStyle="1" w:styleId="694">
    <w:name w:val="Char6"/>
    <w:basedOn w:val="1"/>
    <w:qFormat/>
    <w:uiPriority w:val="0"/>
    <w:pPr>
      <w:spacing w:line="240" w:lineRule="auto"/>
      <w:ind w:firstLine="0" w:firstLineChars="0"/>
    </w:pPr>
    <w:rPr>
      <w:rFonts w:cs="Times New Roman"/>
      <w:sz w:val="21"/>
      <w:szCs w:val="24"/>
    </w:rPr>
  </w:style>
  <w:style w:type="paragraph" w:customStyle="1" w:styleId="695">
    <w:name w:val="三级标题"/>
    <w:basedOn w:val="45"/>
    <w:next w:val="581"/>
    <w:qFormat/>
    <w:uiPriority w:val="0"/>
    <w:pPr>
      <w:adjustRightInd w:val="0"/>
      <w:spacing w:before="120" w:after="120" w:line="300" w:lineRule="auto"/>
    </w:pPr>
    <w:rPr>
      <w:rFonts w:eastAsia="宋体" w:cs="Times New Roman"/>
      <w:b/>
      <w:kern w:val="28"/>
      <w:sz w:val="28"/>
      <w:szCs w:val="20"/>
    </w:rPr>
  </w:style>
  <w:style w:type="character" w:customStyle="1" w:styleId="696">
    <w:name w:val="hb2 Char"/>
    <w:basedOn w:val="133"/>
    <w:link w:val="697"/>
    <w:locked/>
    <w:uiPriority w:val="0"/>
    <w:rPr>
      <w:rFonts w:ascii="宋体" w:hAnsi="宋体" w:eastAsia="宋体"/>
      <w:b/>
      <w:sz w:val="28"/>
    </w:rPr>
  </w:style>
  <w:style w:type="paragraph" w:customStyle="1" w:styleId="697">
    <w:name w:val="hb2"/>
    <w:basedOn w:val="4"/>
    <w:link w:val="696"/>
    <w:qFormat/>
    <w:uiPriority w:val="0"/>
    <w:pPr>
      <w:topLinePunct/>
      <w:spacing w:before="260" w:after="260" w:line="416" w:lineRule="atLeast"/>
      <w:jc w:val="left"/>
    </w:pPr>
    <w:rPr>
      <w:rFonts w:ascii="宋体" w:hAnsi="宋体" w:eastAsia="宋体" w:cstheme="minorBidi"/>
      <w:bCs w:val="0"/>
      <w:sz w:val="28"/>
      <w:szCs w:val="22"/>
    </w:rPr>
  </w:style>
  <w:style w:type="character" w:customStyle="1" w:styleId="698">
    <w:name w:val="表格15 Char"/>
    <w:basedOn w:val="133"/>
    <w:link w:val="699"/>
    <w:qFormat/>
    <w:locked/>
    <w:uiPriority w:val="0"/>
    <w:rPr>
      <w:rFonts w:ascii="宋体" w:hAnsi="宋体" w:eastAsia="宋体"/>
      <w:color w:val="000000"/>
      <w:szCs w:val="21"/>
    </w:rPr>
  </w:style>
  <w:style w:type="paragraph" w:customStyle="1" w:styleId="699">
    <w:name w:val="表格15"/>
    <w:basedOn w:val="1"/>
    <w:link w:val="698"/>
    <w:qFormat/>
    <w:uiPriority w:val="0"/>
    <w:pPr>
      <w:widowControl/>
      <w:spacing w:line="300" w:lineRule="exact"/>
      <w:ind w:firstLine="0" w:firstLineChars="0"/>
      <w:jc w:val="center"/>
    </w:pPr>
    <w:rPr>
      <w:rFonts w:ascii="宋体" w:hAnsi="宋体"/>
      <w:color w:val="000000"/>
      <w:sz w:val="21"/>
    </w:rPr>
  </w:style>
  <w:style w:type="character" w:customStyle="1" w:styleId="700">
    <w:name w:val="样式 正文@ + 首行缩进:  2 字符2 Char"/>
    <w:link w:val="701"/>
    <w:locked/>
    <w:uiPriority w:val="0"/>
    <w:rPr>
      <w:rFonts w:ascii="宋体" w:hAnsi="宋体" w:eastAsia="宋体" w:cs="宋体"/>
      <w:sz w:val="24"/>
    </w:rPr>
  </w:style>
  <w:style w:type="paragraph" w:customStyle="1" w:styleId="701">
    <w:name w:val="样式 正文@ + 首行缩进:  2 字符2"/>
    <w:basedOn w:val="1"/>
    <w:link w:val="700"/>
    <w:qFormat/>
    <w:uiPriority w:val="0"/>
    <w:pPr>
      <w:ind w:firstLine="480"/>
    </w:pPr>
    <w:rPr>
      <w:rFonts w:ascii="宋体" w:hAnsi="宋体" w:cs="宋体"/>
    </w:rPr>
  </w:style>
  <w:style w:type="paragraph" w:customStyle="1" w:styleId="702">
    <w:name w:val="表文字5"/>
    <w:basedOn w:val="1"/>
    <w:qFormat/>
    <w:uiPriority w:val="0"/>
    <w:pPr>
      <w:adjustRightInd w:val="0"/>
      <w:spacing w:line="240" w:lineRule="auto"/>
      <w:ind w:firstLine="0" w:firstLineChars="0"/>
      <w:jc w:val="left"/>
    </w:pPr>
    <w:rPr>
      <w:rFonts w:ascii="宋体" w:cs="Times New Roman"/>
      <w:kern w:val="0"/>
      <w:sz w:val="21"/>
      <w:szCs w:val="20"/>
    </w:rPr>
  </w:style>
  <w:style w:type="paragraph" w:customStyle="1" w:styleId="703">
    <w:name w:val="Char Char Char Char Char Char Char Char Char Char Char Char Char Char Char Char Char Char Char1"/>
    <w:basedOn w:val="1"/>
    <w:qFormat/>
    <w:uiPriority w:val="0"/>
    <w:rPr>
      <w:rFonts w:ascii="宋体" w:hAnsi="宋体" w:cs="Times New Roman"/>
      <w:szCs w:val="20"/>
    </w:rPr>
  </w:style>
  <w:style w:type="paragraph" w:customStyle="1" w:styleId="704">
    <w:name w:val="样式 行距: 固定值 25 磅"/>
    <w:qFormat/>
    <w:uiPriority w:val="0"/>
    <w:pPr>
      <w:spacing w:line="360" w:lineRule="auto"/>
      <w:ind w:firstLine="560" w:firstLineChars="200"/>
    </w:pPr>
    <w:rPr>
      <w:rFonts w:ascii="Times New Roman" w:hAnsi="Times New Roman" w:eastAsia="宋体" w:cs="Times New Roman"/>
      <w:szCs w:val="28"/>
      <w:lang w:val="en-US" w:eastAsia="zh-CN" w:bidi="ar-SA"/>
    </w:rPr>
  </w:style>
  <w:style w:type="character" w:customStyle="1" w:styleId="705">
    <w:name w:val="yy标题3 Char"/>
    <w:basedOn w:val="133"/>
    <w:link w:val="706"/>
    <w:locked/>
    <w:uiPriority w:val="0"/>
    <w:rPr>
      <w:rFonts w:ascii="宋体" w:hAnsi="宋体" w:eastAsia="黑体"/>
      <w:b/>
      <w:bCs/>
      <w:sz w:val="24"/>
      <w:szCs w:val="28"/>
    </w:rPr>
  </w:style>
  <w:style w:type="paragraph" w:customStyle="1" w:styleId="706">
    <w:name w:val="yy标题3"/>
    <w:basedOn w:val="1"/>
    <w:next w:val="1"/>
    <w:link w:val="705"/>
    <w:qFormat/>
    <w:uiPriority w:val="0"/>
    <w:pPr>
      <w:keepNext/>
      <w:tabs>
        <w:tab w:val="left" w:pos="720"/>
        <w:tab w:val="left" w:pos="747"/>
      </w:tabs>
      <w:ind w:firstLine="0" w:firstLineChars="0"/>
      <w:outlineLvl w:val="2"/>
    </w:pPr>
    <w:rPr>
      <w:rFonts w:ascii="宋体" w:hAnsi="宋体" w:eastAsia="黑体"/>
      <w:b/>
      <w:bCs/>
      <w:szCs w:val="28"/>
    </w:rPr>
  </w:style>
  <w:style w:type="paragraph" w:customStyle="1" w:styleId="707">
    <w:name w:val="字元 字元 Char Char 字元 字元1 Char Char Char"/>
    <w:basedOn w:val="1"/>
    <w:qFormat/>
    <w:uiPriority w:val="0"/>
    <w:pPr>
      <w:spacing w:line="240" w:lineRule="auto"/>
      <w:ind w:firstLine="0" w:firstLineChars="0"/>
    </w:pPr>
    <w:rPr>
      <w:rFonts w:cs="Times New Roman"/>
      <w:szCs w:val="24"/>
    </w:rPr>
  </w:style>
  <w:style w:type="paragraph" w:customStyle="1" w:styleId="708">
    <w:name w:val="xl26"/>
    <w:basedOn w:val="1"/>
    <w:qFormat/>
    <w:uiPriority w:val="0"/>
    <w:pPr>
      <w:widowControl/>
      <w:pBdr>
        <w:bottom w:val="single" w:color="auto" w:sz="4" w:space="0"/>
        <w:right w:val="single" w:color="auto" w:sz="4" w:space="0"/>
      </w:pBdr>
      <w:spacing w:before="100" w:after="100" w:line="240" w:lineRule="auto"/>
      <w:ind w:firstLine="0" w:firstLineChars="0"/>
      <w:jc w:val="center"/>
    </w:pPr>
    <w:rPr>
      <w:rFonts w:ascii="宋体" w:hAnsi="宋体" w:cs="Times New Roman"/>
      <w:kern w:val="0"/>
      <w:sz w:val="21"/>
      <w:szCs w:val="20"/>
    </w:rPr>
  </w:style>
  <w:style w:type="paragraph" w:customStyle="1" w:styleId="709">
    <w:name w:val="Char Char Char Char"/>
    <w:basedOn w:val="1"/>
    <w:semiHidden/>
    <w:qFormat/>
    <w:uiPriority w:val="0"/>
    <w:rPr>
      <w:rFonts w:ascii="宋体" w:hAnsi="宋体" w:cs="宋体"/>
      <w:sz w:val="26"/>
      <w:szCs w:val="26"/>
    </w:rPr>
  </w:style>
  <w:style w:type="paragraph" w:customStyle="1" w:styleId="710">
    <w:name w:val="dandan6-13正文"/>
    <w:basedOn w:val="1"/>
    <w:next w:val="1"/>
    <w:semiHidden/>
    <w:qFormat/>
    <w:uiPriority w:val="0"/>
    <w:pPr>
      <w:keepNext/>
      <w:keepLines/>
      <w:widowControl/>
      <w:adjustRightInd w:val="0"/>
      <w:spacing w:before="40" w:after="40"/>
    </w:pPr>
    <w:rPr>
      <w:rFonts w:cs="宋体"/>
      <w:kern w:val="0"/>
      <w:szCs w:val="28"/>
    </w:rPr>
  </w:style>
  <w:style w:type="character" w:customStyle="1" w:styleId="711">
    <w:name w:val="新标题1x Char"/>
    <w:basedOn w:val="133"/>
    <w:link w:val="712"/>
    <w:locked/>
    <w:uiPriority w:val="0"/>
    <w:rPr>
      <w:rFonts w:ascii="黑体" w:hAnsi="Cambria" w:eastAsia="黑体"/>
      <w:bCs/>
      <w:kern w:val="44"/>
      <w:sz w:val="30"/>
      <w:szCs w:val="44"/>
    </w:rPr>
  </w:style>
  <w:style w:type="paragraph" w:customStyle="1" w:styleId="712">
    <w:name w:val="标题1x"/>
    <w:basedOn w:val="1"/>
    <w:link w:val="711"/>
    <w:qFormat/>
    <w:uiPriority w:val="0"/>
    <w:pPr>
      <w:keepNext/>
      <w:keepLines/>
      <w:spacing w:before="120"/>
      <w:ind w:firstLine="0" w:firstLineChars="0"/>
      <w:outlineLvl w:val="0"/>
    </w:pPr>
    <w:rPr>
      <w:rFonts w:ascii="黑体" w:hAnsi="Cambria" w:eastAsia="黑体"/>
      <w:bCs/>
      <w:kern w:val="44"/>
      <w:sz w:val="30"/>
      <w:szCs w:val="44"/>
    </w:rPr>
  </w:style>
  <w:style w:type="paragraph" w:customStyle="1" w:styleId="713">
    <w:name w:val="标题2xxx"/>
    <w:basedOn w:val="4"/>
    <w:qFormat/>
    <w:uiPriority w:val="0"/>
    <w:pPr>
      <w:keepNext w:val="0"/>
      <w:keepLines w:val="0"/>
      <w:adjustRightInd w:val="0"/>
      <w:snapToGrid w:val="0"/>
      <w:spacing w:beforeLines="50" w:afterLines="50"/>
    </w:pPr>
    <w:rPr>
      <w:rFonts w:cs="宋体"/>
      <w:b w:val="0"/>
      <w:bCs w:val="0"/>
      <w:sz w:val="28"/>
      <w:szCs w:val="20"/>
    </w:rPr>
  </w:style>
  <w:style w:type="paragraph" w:customStyle="1" w:styleId="714">
    <w:name w:val="前言、引言标题"/>
    <w:next w:val="1"/>
    <w:qFormat/>
    <w:uiPriority w:val="0"/>
    <w:pPr>
      <w:shd w:val="clear" w:color="auto"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715">
    <w:name w:val="Char2 Char Char Char Char Char Char Char1"/>
    <w:basedOn w:val="1"/>
    <w:qFormat/>
    <w:uiPriority w:val="0"/>
    <w:pPr>
      <w:autoSpaceDE w:val="0"/>
      <w:autoSpaceDN w:val="0"/>
      <w:adjustRightInd w:val="0"/>
      <w:snapToGrid w:val="0"/>
      <w:spacing w:before="50" w:after="50"/>
      <w:ind w:firstLine="560"/>
    </w:pPr>
    <w:rPr>
      <w:rFonts w:eastAsia="仿宋_GB2312" w:cs="Times New Roman"/>
      <w:color w:val="000000"/>
      <w:szCs w:val="20"/>
    </w:rPr>
  </w:style>
  <w:style w:type="paragraph" w:customStyle="1" w:styleId="716">
    <w:name w:val="Body Text 21"/>
    <w:basedOn w:val="1"/>
    <w:qFormat/>
    <w:uiPriority w:val="0"/>
    <w:pPr>
      <w:autoSpaceDE w:val="0"/>
      <w:autoSpaceDN w:val="0"/>
      <w:adjustRightInd w:val="0"/>
      <w:spacing w:line="500" w:lineRule="atLeast"/>
      <w:ind w:firstLine="480" w:firstLineChars="0"/>
      <w:jc w:val="left"/>
    </w:pPr>
    <w:rPr>
      <w:rFonts w:cs="Times New Roman"/>
      <w:sz w:val="28"/>
      <w:szCs w:val="28"/>
    </w:rPr>
  </w:style>
  <w:style w:type="paragraph" w:customStyle="1" w:styleId="717">
    <w:name w:val="样式 正文 + 首行缩进:  2 字符 段前: 0.5 行"/>
    <w:basedOn w:val="1"/>
    <w:semiHidden/>
    <w:qFormat/>
    <w:uiPriority w:val="0"/>
    <w:pPr>
      <w:snapToGrid w:val="0"/>
      <w:spacing w:beforeLines="50" w:line="360" w:lineRule="exact"/>
      <w:ind w:firstLine="420"/>
    </w:pPr>
    <w:rPr>
      <w:rFonts w:ascii="宋体" w:cs="宋体"/>
      <w:kern w:val="21"/>
      <w:sz w:val="21"/>
    </w:rPr>
  </w:style>
  <w:style w:type="character" w:customStyle="1" w:styleId="718">
    <w:name w:val="A样式 阜正文 + 首行缩进:  2 字符 Char"/>
    <w:link w:val="719"/>
    <w:locked/>
    <w:uiPriority w:val="0"/>
    <w:rPr>
      <w:rFonts w:ascii="宋体" w:hAnsi="宋体" w:eastAsia="宋体" w:cs="宋体"/>
      <w:color w:val="000000"/>
      <w:kern w:val="44"/>
      <w:sz w:val="24"/>
      <w:szCs w:val="24"/>
    </w:rPr>
  </w:style>
  <w:style w:type="paragraph" w:customStyle="1" w:styleId="719">
    <w:name w:val="A样式 阜正文 + 首行缩进:  2 字符"/>
    <w:basedOn w:val="1"/>
    <w:link w:val="718"/>
    <w:qFormat/>
    <w:uiPriority w:val="0"/>
    <w:pPr>
      <w:ind w:firstLine="480"/>
    </w:pPr>
    <w:rPr>
      <w:rFonts w:ascii="宋体" w:hAnsi="宋体" w:cs="宋体"/>
      <w:color w:val="000000"/>
      <w:kern w:val="44"/>
      <w:szCs w:val="24"/>
    </w:rPr>
  </w:style>
  <w:style w:type="paragraph" w:customStyle="1" w:styleId="720">
    <w:name w:val="表格字"/>
    <w:basedOn w:val="1"/>
    <w:semiHidden/>
    <w:qFormat/>
    <w:uiPriority w:val="0"/>
    <w:pPr>
      <w:spacing w:line="300" w:lineRule="atLeast"/>
      <w:ind w:firstLine="0" w:firstLineChars="0"/>
      <w:jc w:val="center"/>
    </w:pPr>
    <w:rPr>
      <w:rFonts w:ascii="宋体" w:hAnsi="宋体" w:cs="Times New Roman"/>
      <w:sz w:val="21"/>
      <w:szCs w:val="24"/>
    </w:rPr>
  </w:style>
  <w:style w:type="paragraph" w:customStyle="1" w:styleId="721">
    <w:name w:val="投标文件五级标题"/>
    <w:basedOn w:val="690"/>
    <w:qFormat/>
    <w:uiPriority w:val="0"/>
    <w:pPr>
      <w:tabs>
        <w:tab w:val="left" w:pos="1440"/>
        <w:tab w:val="clear" w:pos="964"/>
      </w:tabs>
      <w:adjustRightInd w:val="0"/>
      <w:spacing w:before="0" w:after="0"/>
      <w:ind w:left="1440" w:right="34" w:hanging="1440"/>
      <w:outlineLvl w:val="4"/>
    </w:pPr>
    <w:rPr>
      <w:rFonts w:hAnsi="宋体" w:eastAsia="宋体"/>
    </w:rPr>
  </w:style>
  <w:style w:type="character" w:customStyle="1" w:styleId="722">
    <w:name w:val="新标题3 Char"/>
    <w:basedOn w:val="723"/>
    <w:link w:val="725"/>
    <w:locked/>
    <w:uiPriority w:val="0"/>
  </w:style>
  <w:style w:type="character" w:customStyle="1" w:styleId="723">
    <w:name w:val="新标题2 Char"/>
    <w:basedOn w:val="254"/>
    <w:link w:val="724"/>
    <w:locked/>
    <w:uiPriority w:val="0"/>
    <w:rPr>
      <w:b/>
      <w:color w:val="000000"/>
      <w:sz w:val="24"/>
      <w:lang w:val="zh-CN"/>
    </w:rPr>
  </w:style>
  <w:style w:type="paragraph" w:customStyle="1" w:styleId="724">
    <w:name w:val="新标题2"/>
    <w:basedOn w:val="1"/>
    <w:link w:val="723"/>
    <w:qFormat/>
    <w:uiPriority w:val="0"/>
    <w:pPr>
      <w:keepNext/>
      <w:autoSpaceDE w:val="0"/>
      <w:autoSpaceDN w:val="0"/>
      <w:adjustRightInd w:val="0"/>
      <w:spacing w:before="120" w:after="120" w:line="460" w:lineRule="exact"/>
      <w:ind w:firstLine="0" w:firstLineChars="0"/>
      <w:outlineLvl w:val="1"/>
    </w:pPr>
    <w:rPr>
      <w:rFonts w:ascii="黑体" w:hAnsi="Cambria" w:eastAsia="黑体"/>
      <w:b/>
      <w:bCs/>
      <w:color w:val="000000"/>
      <w:kern w:val="44"/>
      <w:szCs w:val="44"/>
      <w:lang w:val="zh-CN"/>
    </w:rPr>
  </w:style>
  <w:style w:type="paragraph" w:customStyle="1" w:styleId="725">
    <w:name w:val="新标题3"/>
    <w:basedOn w:val="1"/>
    <w:link w:val="722"/>
    <w:qFormat/>
    <w:uiPriority w:val="0"/>
    <w:pPr>
      <w:keepNext/>
      <w:autoSpaceDE w:val="0"/>
      <w:autoSpaceDN w:val="0"/>
      <w:adjustRightInd w:val="0"/>
      <w:spacing w:before="120" w:after="120" w:line="460" w:lineRule="exact"/>
      <w:ind w:firstLine="0" w:firstLineChars="0"/>
      <w:outlineLvl w:val="2"/>
    </w:pPr>
    <w:rPr>
      <w:rFonts w:ascii="黑体" w:hAnsi="Cambria" w:eastAsia="黑体"/>
      <w:b/>
      <w:bCs/>
      <w:color w:val="000000"/>
      <w:kern w:val="44"/>
      <w:szCs w:val="44"/>
      <w:lang w:val="zh-CN"/>
    </w:rPr>
  </w:style>
  <w:style w:type="character" w:customStyle="1" w:styleId="726">
    <w:name w:val="环小四1.1.1（三级） Char"/>
    <w:link w:val="727"/>
    <w:locked/>
    <w:uiPriority w:val="0"/>
    <w:rPr>
      <w:rFonts w:ascii="宋体" w:hAnsi="宋体" w:eastAsia="楷体_GB2312"/>
      <w:b/>
      <w:bCs/>
      <w:color w:val="000000"/>
      <w:kern w:val="44"/>
      <w:sz w:val="24"/>
      <w:szCs w:val="24"/>
    </w:rPr>
  </w:style>
  <w:style w:type="paragraph" w:customStyle="1" w:styleId="727">
    <w:name w:val="环小四1.1.1（三级）"/>
    <w:link w:val="726"/>
    <w:qFormat/>
    <w:uiPriority w:val="0"/>
    <w:pPr>
      <w:widowControl w:val="0"/>
      <w:spacing w:line="500" w:lineRule="exact"/>
      <w:jc w:val="both"/>
      <w:outlineLvl w:val="2"/>
    </w:pPr>
    <w:rPr>
      <w:rFonts w:ascii="宋体" w:hAnsi="宋体" w:eastAsia="楷体_GB2312" w:cstheme="minorBidi"/>
      <w:b/>
      <w:bCs/>
      <w:color w:val="000000"/>
      <w:kern w:val="44"/>
      <w:sz w:val="24"/>
      <w:szCs w:val="24"/>
      <w:lang w:val="en-US" w:eastAsia="zh-CN" w:bidi="ar-SA"/>
    </w:rPr>
  </w:style>
  <w:style w:type="paragraph" w:customStyle="1" w:styleId="728">
    <w:name w:val="样式 标题 2 + 首行缩进:  2 字符"/>
    <w:basedOn w:val="4"/>
    <w:qFormat/>
    <w:uiPriority w:val="0"/>
    <w:pPr>
      <w:tabs>
        <w:tab w:val="left" w:pos="-2296"/>
        <w:tab w:val="left" w:pos="576"/>
        <w:tab w:val="left" w:pos="2242"/>
      </w:tabs>
      <w:spacing w:before="120" w:after="120"/>
      <w:ind w:left="-2296"/>
    </w:pPr>
    <w:rPr>
      <w:rFonts w:ascii="Arial" w:hAnsi="Arial" w:cs="宋体"/>
      <w:b w:val="0"/>
      <w:szCs w:val="20"/>
    </w:rPr>
  </w:style>
  <w:style w:type="paragraph" w:customStyle="1" w:styleId="729">
    <w:name w:val="xl34"/>
    <w:basedOn w:val="1"/>
    <w:qFormat/>
    <w:uiPriority w:val="0"/>
    <w:pPr>
      <w:widowControl/>
      <w:pBdr>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cs="Times New Roman"/>
      <w:color w:val="0000FF"/>
      <w:kern w:val="0"/>
      <w:szCs w:val="24"/>
    </w:rPr>
  </w:style>
  <w:style w:type="paragraph" w:customStyle="1" w:styleId="730">
    <w:name w:val="style39"/>
    <w:basedOn w:val="1"/>
    <w:qFormat/>
    <w:uiPriority w:val="0"/>
    <w:pPr>
      <w:widowControl/>
      <w:tabs>
        <w:tab w:val="left" w:pos="840"/>
      </w:tabs>
      <w:spacing w:before="100" w:beforeAutospacing="1" w:after="100" w:afterAutospacing="1" w:line="240" w:lineRule="auto"/>
      <w:ind w:firstLine="0" w:firstLineChars="0"/>
      <w:jc w:val="left"/>
    </w:pPr>
    <w:rPr>
      <w:rFonts w:ascii="宋体" w:hAnsi="宋体" w:cs="Times New Roman"/>
      <w:kern w:val="0"/>
      <w:sz w:val="18"/>
      <w:szCs w:val="18"/>
    </w:rPr>
  </w:style>
  <w:style w:type="paragraph" w:customStyle="1" w:styleId="731">
    <w:name w:val="标题1王"/>
    <w:basedOn w:val="1"/>
    <w:semiHidden/>
    <w:qFormat/>
    <w:uiPriority w:val="0"/>
    <w:pPr>
      <w:spacing w:before="50" w:after="50" w:line="440" w:lineRule="exact"/>
      <w:ind w:firstLine="0" w:firstLineChars="0"/>
      <w:jc w:val="left"/>
      <w:outlineLvl w:val="0"/>
    </w:pPr>
    <w:rPr>
      <w:rFonts w:ascii="Arial" w:hAnsi="Arial" w:cs="Times New Roman"/>
      <w:b/>
      <w:kern w:val="0"/>
      <w:sz w:val="21"/>
      <w:szCs w:val="20"/>
    </w:rPr>
  </w:style>
  <w:style w:type="paragraph" w:customStyle="1" w:styleId="732">
    <w:name w:val="Standard"/>
    <w:basedOn w:val="1"/>
    <w:next w:val="1"/>
    <w:qFormat/>
    <w:uiPriority w:val="0"/>
    <w:pPr>
      <w:autoSpaceDE w:val="0"/>
      <w:autoSpaceDN w:val="0"/>
      <w:adjustRightInd w:val="0"/>
      <w:spacing w:line="240" w:lineRule="auto"/>
      <w:ind w:firstLine="0" w:firstLineChars="0"/>
      <w:jc w:val="left"/>
    </w:pPr>
    <w:rPr>
      <w:rFonts w:ascii="Arial" w:hAnsi="Arial" w:cs="Times New Roman"/>
      <w:kern w:val="0"/>
      <w:szCs w:val="24"/>
    </w:rPr>
  </w:style>
  <w:style w:type="paragraph" w:customStyle="1" w:styleId="733">
    <w:name w:val="gb1"/>
    <w:basedOn w:val="1"/>
    <w:semiHidden/>
    <w:qFormat/>
    <w:uiPriority w:val="0"/>
    <w:pPr>
      <w:widowControl/>
      <w:tabs>
        <w:tab w:val="left" w:pos="227"/>
      </w:tabs>
      <w:overflowPunct w:val="0"/>
      <w:autoSpaceDE w:val="0"/>
      <w:autoSpaceDN w:val="0"/>
      <w:adjustRightInd w:val="0"/>
      <w:spacing w:before="120" w:after="120" w:line="240" w:lineRule="auto"/>
      <w:ind w:firstLine="0" w:firstLineChars="0"/>
    </w:pPr>
    <w:rPr>
      <w:rFonts w:ascii="Arial" w:hAnsi="Arial" w:eastAsia="仿宋体" w:cs="Times New Roman"/>
      <w:kern w:val="0"/>
      <w:sz w:val="21"/>
      <w:szCs w:val="20"/>
    </w:rPr>
  </w:style>
  <w:style w:type="paragraph" w:customStyle="1" w:styleId="734">
    <w:name w:val="正式文本"/>
    <w:basedOn w:val="1"/>
    <w:qFormat/>
    <w:uiPriority w:val="0"/>
    <w:pPr>
      <w:spacing w:line="540" w:lineRule="exact"/>
    </w:pPr>
    <w:rPr>
      <w:rFonts w:ascii="宋体" w:hAnsi="Arial Narrow" w:cs="Times New Roman"/>
      <w:sz w:val="28"/>
      <w:szCs w:val="24"/>
    </w:rPr>
  </w:style>
  <w:style w:type="paragraph" w:customStyle="1" w:styleId="735">
    <w:name w:val="文-5"/>
    <w:basedOn w:val="1"/>
    <w:qFormat/>
    <w:uiPriority w:val="0"/>
    <w:pPr>
      <w:tabs>
        <w:tab w:val="right" w:leader="dot" w:pos="8789"/>
      </w:tabs>
      <w:spacing w:before="120"/>
      <w:ind w:left="1276" w:firstLine="482" w:firstLineChars="0"/>
    </w:pPr>
    <w:rPr>
      <w:rFonts w:ascii="宋体" w:cs="Times New Roman"/>
      <w:szCs w:val="20"/>
    </w:rPr>
  </w:style>
  <w:style w:type="character" w:customStyle="1" w:styleId="736">
    <w:name w:val="新正文样式 Char"/>
    <w:link w:val="737"/>
    <w:locked/>
    <w:uiPriority w:val="0"/>
    <w:rPr>
      <w:spacing w:val="20"/>
      <w:sz w:val="24"/>
    </w:rPr>
  </w:style>
  <w:style w:type="paragraph" w:customStyle="1" w:styleId="737">
    <w:name w:val="新正文样式"/>
    <w:basedOn w:val="1"/>
    <w:link w:val="736"/>
    <w:qFormat/>
    <w:uiPriority w:val="0"/>
    <w:pPr>
      <w:tabs>
        <w:tab w:val="left" w:pos="567"/>
      </w:tabs>
      <w:ind w:firstLine="567" w:firstLineChars="0"/>
    </w:pPr>
    <w:rPr>
      <w:rFonts w:asciiTheme="minorHAnsi" w:hAnsiTheme="minorHAnsi" w:eastAsiaTheme="minorEastAsia"/>
      <w:spacing w:val="20"/>
    </w:rPr>
  </w:style>
  <w:style w:type="character" w:customStyle="1" w:styleId="738">
    <w:name w:val="AAA正文 Char"/>
    <w:link w:val="739"/>
    <w:locked/>
    <w:uiPriority w:val="0"/>
    <w:rPr>
      <w:rFonts w:ascii="Times New Roman" w:hAnsi="Times New Roman" w:eastAsia="宋体"/>
      <w:sz w:val="24"/>
      <w:szCs w:val="28"/>
    </w:rPr>
  </w:style>
  <w:style w:type="paragraph" w:customStyle="1" w:styleId="739">
    <w:name w:val="AAA正文"/>
    <w:basedOn w:val="1"/>
    <w:link w:val="738"/>
    <w:qFormat/>
    <w:uiPriority w:val="0"/>
    <w:rPr>
      <w:szCs w:val="28"/>
    </w:rPr>
  </w:style>
  <w:style w:type="paragraph" w:customStyle="1" w:styleId="740">
    <w:name w:val="样式 首行缩进:  2 字符"/>
    <w:basedOn w:val="1"/>
    <w:semiHidden/>
    <w:qFormat/>
    <w:uiPriority w:val="0"/>
    <w:pPr>
      <w:topLinePunct/>
      <w:spacing w:line="280" w:lineRule="exact"/>
      <w:ind w:firstLine="0" w:firstLineChars="0"/>
    </w:pPr>
    <w:rPr>
      <w:rFonts w:ascii="宋体" w:hAnsi="宋体" w:cs="Times New Roman"/>
      <w:sz w:val="21"/>
    </w:rPr>
  </w:style>
  <w:style w:type="paragraph" w:customStyle="1" w:styleId="741">
    <w:name w:val="目次、标准名称标题"/>
    <w:basedOn w:val="714"/>
    <w:next w:val="6"/>
    <w:qFormat/>
    <w:uiPriority w:val="0"/>
    <w:pPr>
      <w:tabs>
        <w:tab w:val="clear" w:pos="903"/>
      </w:tabs>
      <w:spacing w:line="460" w:lineRule="exact"/>
      <w:ind w:left="0" w:firstLine="0"/>
    </w:pPr>
  </w:style>
  <w:style w:type="character" w:customStyle="1" w:styleId="742">
    <w:name w:val="样式5 Char"/>
    <w:basedOn w:val="133"/>
    <w:link w:val="743"/>
    <w:locked/>
    <w:uiPriority w:val="0"/>
    <w:rPr>
      <w:sz w:val="24"/>
    </w:rPr>
  </w:style>
  <w:style w:type="paragraph" w:customStyle="1" w:styleId="743">
    <w:name w:val="样式5"/>
    <w:basedOn w:val="1"/>
    <w:link w:val="742"/>
    <w:qFormat/>
    <w:uiPriority w:val="0"/>
    <w:pPr>
      <w:snapToGrid w:val="0"/>
      <w:ind w:firstLine="510" w:firstLineChars="0"/>
    </w:pPr>
    <w:rPr>
      <w:rFonts w:asciiTheme="minorHAnsi" w:hAnsiTheme="minorHAnsi" w:eastAsiaTheme="minorEastAsia"/>
    </w:rPr>
  </w:style>
  <w:style w:type="paragraph" w:customStyle="1" w:styleId="744">
    <w:name w:val="xl24"/>
    <w:basedOn w:val="1"/>
    <w:qFormat/>
    <w:uiPriority w:val="0"/>
    <w:pPr>
      <w:widowControl/>
      <w:spacing w:before="100" w:beforeAutospacing="1" w:after="100" w:afterAutospacing="1" w:line="240" w:lineRule="auto"/>
      <w:ind w:firstLine="0" w:firstLineChars="0"/>
      <w:jc w:val="right"/>
    </w:pPr>
    <w:rPr>
      <w:rFonts w:ascii="Arial Unicode MS" w:hAnsi="Arial Unicode MS" w:eastAsia="Arial Unicode MS" w:cs="Times New Roman"/>
      <w:kern w:val="0"/>
      <w:szCs w:val="20"/>
    </w:rPr>
  </w:style>
  <w:style w:type="paragraph" w:customStyle="1" w:styleId="745">
    <w:name w:val="Char Char Char Char Char Char Char Char Char Char Char"/>
    <w:basedOn w:val="1"/>
    <w:qFormat/>
    <w:uiPriority w:val="0"/>
    <w:pPr>
      <w:spacing w:line="440" w:lineRule="exact"/>
      <w:ind w:firstLine="720"/>
    </w:pPr>
    <w:rPr>
      <w:rFonts w:cs="Times New Roman"/>
      <w:kern w:val="0"/>
      <w:szCs w:val="24"/>
    </w:rPr>
  </w:style>
  <w:style w:type="paragraph" w:customStyle="1" w:styleId="746">
    <w:name w:val="样式 样式 正文首行缩进正文首行缩进 Char + 首行缩进:  2 字符 + 首行缩进:  2 字符"/>
    <w:basedOn w:val="1"/>
    <w:semiHidden/>
    <w:qFormat/>
    <w:uiPriority w:val="0"/>
    <w:pPr>
      <w:adjustRightInd w:val="0"/>
      <w:snapToGrid w:val="0"/>
      <w:ind w:firstLine="480"/>
    </w:pPr>
    <w:rPr>
      <w:rFonts w:ascii="宋体" w:cs="宋体"/>
      <w:szCs w:val="20"/>
      <w:lang w:val="zh-CN"/>
    </w:rPr>
  </w:style>
  <w:style w:type="paragraph" w:customStyle="1" w:styleId="747">
    <w:name w:val="图片标题"/>
    <w:basedOn w:val="1"/>
    <w:qFormat/>
    <w:uiPriority w:val="0"/>
    <w:pPr>
      <w:ind w:firstLine="0" w:firstLineChars="0"/>
      <w:jc w:val="center"/>
    </w:pPr>
    <w:rPr>
      <w:rFonts w:cs="Times New Roman"/>
      <w:b/>
    </w:rPr>
  </w:style>
  <w:style w:type="paragraph" w:customStyle="1" w:styleId="748">
    <w:name w:val="正文样式一"/>
    <w:basedOn w:val="1"/>
    <w:semiHidden/>
    <w:qFormat/>
    <w:uiPriority w:val="0"/>
    <w:pPr>
      <w:adjustRightInd w:val="0"/>
      <w:spacing w:line="400" w:lineRule="atLeast"/>
      <w:ind w:firstLine="510" w:firstLineChars="0"/>
    </w:pPr>
    <w:rPr>
      <w:rFonts w:hAnsi="宋体" w:cs="Times New Roman"/>
      <w:kern w:val="0"/>
      <w:sz w:val="21"/>
      <w:szCs w:val="20"/>
    </w:rPr>
  </w:style>
  <w:style w:type="paragraph" w:customStyle="1" w:styleId="749">
    <w:name w:val="二级无标题条"/>
    <w:basedOn w:val="1"/>
    <w:qFormat/>
    <w:uiPriority w:val="0"/>
    <w:pPr>
      <w:ind w:firstLine="0" w:firstLineChars="0"/>
    </w:pPr>
    <w:rPr>
      <w:rFonts w:ascii="宋体" w:cs="Times New Roman"/>
      <w:szCs w:val="24"/>
    </w:rPr>
  </w:style>
  <w:style w:type="paragraph" w:customStyle="1" w:styleId="750">
    <w:name w:val="基准标题"/>
    <w:basedOn w:val="34"/>
    <w:next w:val="34"/>
    <w:qFormat/>
    <w:uiPriority w:val="0"/>
    <w:pPr>
      <w:widowControl/>
      <w:spacing w:after="0" w:line="240" w:lineRule="auto"/>
      <w:ind w:firstLine="0" w:firstLineChars="0"/>
      <w:jc w:val="center"/>
    </w:pPr>
    <w:rPr>
      <w:rFonts w:cs="Times New Roman"/>
      <w:sz w:val="18"/>
      <w:szCs w:val="18"/>
    </w:rPr>
  </w:style>
  <w:style w:type="paragraph" w:customStyle="1" w:styleId="751">
    <w:name w:val="列出段落2"/>
    <w:basedOn w:val="1"/>
    <w:qFormat/>
    <w:uiPriority w:val="0"/>
    <w:pPr>
      <w:ind w:firstLine="420"/>
    </w:pPr>
    <w:rPr>
      <w:rFonts w:ascii="Calibri" w:hAnsi="Calibri" w:cs="Times New Roman"/>
    </w:rPr>
  </w:style>
  <w:style w:type="paragraph" w:customStyle="1" w:styleId="752">
    <w:name w:val="样式 标题 2节标题1.1标题 2节标题 1.1H2节标题 1.1 Char第一层条H21 + 段前: 2.4 磅..."/>
    <w:basedOn w:val="4"/>
    <w:qFormat/>
    <w:uiPriority w:val="0"/>
    <w:pPr>
      <w:widowControl/>
      <w:tabs>
        <w:tab w:val="left" w:pos="927"/>
        <w:tab w:val="left" w:pos="1134"/>
      </w:tabs>
      <w:snapToGrid w:val="0"/>
      <w:spacing w:line="420" w:lineRule="atLeast"/>
      <w:jc w:val="left"/>
    </w:pPr>
    <w:rPr>
      <w:rFonts w:ascii="宋体" w:cs="宋体"/>
      <w:b w:val="0"/>
      <w:bCs w:val="0"/>
      <w:spacing w:val="-10"/>
      <w:kern w:val="28"/>
      <w:sz w:val="30"/>
      <w:szCs w:val="20"/>
    </w:rPr>
  </w:style>
  <w:style w:type="paragraph" w:customStyle="1" w:styleId="753">
    <w:name w:val="CM13"/>
    <w:basedOn w:val="1"/>
    <w:next w:val="1"/>
    <w:qFormat/>
    <w:uiPriority w:val="0"/>
    <w:pPr>
      <w:autoSpaceDE w:val="0"/>
      <w:autoSpaceDN w:val="0"/>
      <w:adjustRightInd w:val="0"/>
      <w:spacing w:line="240" w:lineRule="auto"/>
      <w:ind w:firstLine="0" w:firstLineChars="0"/>
      <w:jc w:val="left"/>
    </w:pPr>
    <w:rPr>
      <w:rFonts w:ascii="Verdana" w:hAnsi="Verdana" w:cs="Times New Roman"/>
      <w:kern w:val="0"/>
      <w:szCs w:val="24"/>
    </w:rPr>
  </w:style>
  <w:style w:type="paragraph" w:customStyle="1" w:styleId="754">
    <w:name w:val="四级无标题条"/>
    <w:basedOn w:val="1"/>
    <w:qFormat/>
    <w:uiPriority w:val="0"/>
    <w:pPr>
      <w:spacing w:line="240" w:lineRule="auto"/>
      <w:ind w:firstLine="0" w:firstLineChars="0"/>
    </w:pPr>
    <w:rPr>
      <w:rFonts w:cs="Times New Roman"/>
      <w:sz w:val="21"/>
      <w:szCs w:val="20"/>
    </w:rPr>
  </w:style>
  <w:style w:type="paragraph" w:customStyle="1" w:styleId="755">
    <w:name w:val="font20"/>
    <w:basedOn w:val="1"/>
    <w:semiHidden/>
    <w:qFormat/>
    <w:uiPriority w:val="0"/>
    <w:pPr>
      <w:widowControl/>
      <w:spacing w:before="100" w:beforeAutospacing="1" w:after="100" w:afterAutospacing="1" w:line="240" w:lineRule="auto"/>
      <w:ind w:firstLine="0" w:firstLineChars="0"/>
      <w:jc w:val="left"/>
    </w:pPr>
    <w:rPr>
      <w:rFonts w:cs="Times New Roman"/>
      <w:kern w:val="0"/>
      <w:sz w:val="21"/>
    </w:rPr>
  </w:style>
  <w:style w:type="paragraph" w:customStyle="1" w:styleId="756">
    <w:name w:val="Char Char Char Char Char2 Char"/>
    <w:basedOn w:val="1"/>
    <w:semiHidden/>
    <w:qFormat/>
    <w:uiPriority w:val="0"/>
    <w:pPr>
      <w:adjustRightInd w:val="0"/>
      <w:snapToGrid w:val="0"/>
    </w:pPr>
    <w:rPr>
      <w:rFonts w:ascii="宋体" w:hAnsi="宋体" w:eastAsia="仿宋_GB2312" w:cs="宋体"/>
      <w:b/>
      <w:bCs/>
      <w:kern w:val="44"/>
      <w:sz w:val="36"/>
      <w:szCs w:val="36"/>
    </w:rPr>
  </w:style>
  <w:style w:type="paragraph" w:customStyle="1" w:styleId="757">
    <w:name w:val="五级条"/>
    <w:basedOn w:val="1"/>
    <w:qFormat/>
    <w:uiPriority w:val="0"/>
    <w:pPr>
      <w:tabs>
        <w:tab w:val="left" w:pos="2520"/>
      </w:tabs>
      <w:spacing w:line="440" w:lineRule="exact"/>
      <w:ind w:left="2520" w:hanging="420" w:firstLineChars="0"/>
    </w:pPr>
    <w:rPr>
      <w:rFonts w:ascii="宋体" w:cs="Times New Roman"/>
      <w:szCs w:val="20"/>
    </w:rPr>
  </w:style>
  <w:style w:type="paragraph" w:customStyle="1" w:styleId="758">
    <w:name w:val="dan6-16正文"/>
    <w:basedOn w:val="1"/>
    <w:qFormat/>
    <w:uiPriority w:val="0"/>
    <w:pPr>
      <w:spacing w:before="40" w:after="40"/>
    </w:pPr>
    <w:rPr>
      <w:rFonts w:cs="Times New Roman"/>
      <w:szCs w:val="24"/>
    </w:rPr>
  </w:style>
  <w:style w:type="character" w:customStyle="1" w:styleId="759">
    <w:name w:val="Char3 Char"/>
    <w:link w:val="760"/>
    <w:semiHidden/>
    <w:locked/>
    <w:uiPriority w:val="0"/>
    <w:rPr>
      <w:rFonts w:ascii="宋体" w:hAnsi="宋体" w:eastAsia="汉鼎简书宋" w:cs="宋体"/>
      <w:szCs w:val="21"/>
    </w:rPr>
  </w:style>
  <w:style w:type="paragraph" w:customStyle="1" w:styleId="760">
    <w:name w:val="Char3"/>
    <w:basedOn w:val="1"/>
    <w:next w:val="1"/>
    <w:link w:val="759"/>
    <w:semiHidden/>
    <w:qFormat/>
    <w:uiPriority w:val="0"/>
    <w:rPr>
      <w:rFonts w:ascii="宋体" w:hAnsi="宋体" w:eastAsia="汉鼎简书宋" w:cs="宋体"/>
      <w:sz w:val="21"/>
    </w:rPr>
  </w:style>
  <w:style w:type="paragraph" w:customStyle="1" w:styleId="761">
    <w:name w:val="图、表头文字"/>
    <w:basedOn w:val="1"/>
    <w:semiHidden/>
    <w:qFormat/>
    <w:uiPriority w:val="0"/>
    <w:pPr>
      <w:autoSpaceDE w:val="0"/>
      <w:autoSpaceDN w:val="0"/>
      <w:adjustRightInd w:val="0"/>
      <w:spacing w:before="80" w:after="80" w:line="240" w:lineRule="auto"/>
      <w:ind w:firstLine="0" w:firstLineChars="0"/>
      <w:jc w:val="center"/>
    </w:pPr>
    <w:rPr>
      <w:rFonts w:ascii="黑体" w:eastAsia="黑体" w:cs="Times New Roman"/>
      <w:kern w:val="0"/>
      <w:sz w:val="21"/>
      <w:szCs w:val="20"/>
    </w:rPr>
  </w:style>
  <w:style w:type="paragraph" w:customStyle="1" w:styleId="762">
    <w:name w:val="Char Char Char Char Char Char Char Char Char Char Char Char Char Char Char Char Char Char Char Char Char Char Char Char Char Char Char Char Char Char Char Char Char Char Char Char Char Char Char Char"/>
    <w:basedOn w:val="1"/>
    <w:qFormat/>
    <w:uiPriority w:val="0"/>
    <w:pPr>
      <w:spacing w:line="240" w:lineRule="auto"/>
      <w:ind w:firstLine="0" w:firstLineChars="0"/>
    </w:pPr>
    <w:rPr>
      <w:rFonts w:cs="Times New Roman"/>
      <w:sz w:val="21"/>
      <w:szCs w:val="20"/>
    </w:rPr>
  </w:style>
  <w:style w:type="character" w:customStyle="1" w:styleId="763">
    <w:name w:val="hb4 Char"/>
    <w:basedOn w:val="133"/>
    <w:link w:val="764"/>
    <w:locked/>
    <w:uiPriority w:val="0"/>
    <w:rPr>
      <w:rFonts w:ascii="宋体" w:hAnsi="宋体" w:eastAsia="宋体"/>
      <w:sz w:val="24"/>
    </w:rPr>
  </w:style>
  <w:style w:type="paragraph" w:customStyle="1" w:styleId="764">
    <w:name w:val="hb4"/>
    <w:basedOn w:val="6"/>
    <w:link w:val="763"/>
    <w:qFormat/>
    <w:uiPriority w:val="0"/>
    <w:pPr>
      <w:topLinePunct/>
      <w:spacing w:beforeLines="50" w:afterLines="50" w:line="300" w:lineRule="exact"/>
    </w:pPr>
    <w:rPr>
      <w:rFonts w:ascii="宋体" w:hAnsi="宋体" w:eastAsia="宋体" w:cstheme="minorBidi"/>
      <w:b w:val="0"/>
      <w:bCs w:val="0"/>
      <w:szCs w:val="22"/>
    </w:rPr>
  </w:style>
  <w:style w:type="paragraph" w:customStyle="1" w:styleId="765">
    <w:name w:val="环评标题3"/>
    <w:basedOn w:val="1"/>
    <w:semiHidden/>
    <w:qFormat/>
    <w:uiPriority w:val="0"/>
    <w:pPr>
      <w:spacing w:line="560" w:lineRule="exact"/>
      <w:ind w:firstLine="480"/>
    </w:pPr>
    <w:rPr>
      <w:rFonts w:ascii="宋体" w:hAnsi="宋体" w:cs="Times New Roman"/>
      <w:color w:val="FF0000"/>
      <w:sz w:val="21"/>
    </w:rPr>
  </w:style>
  <w:style w:type="paragraph" w:customStyle="1" w:styleId="766">
    <w:name w:val="五级无标题条"/>
    <w:basedOn w:val="1"/>
    <w:qFormat/>
    <w:uiPriority w:val="0"/>
    <w:pPr>
      <w:spacing w:line="240" w:lineRule="auto"/>
      <w:ind w:firstLine="0" w:firstLineChars="0"/>
    </w:pPr>
    <w:rPr>
      <w:rFonts w:cs="Times New Roman"/>
      <w:sz w:val="21"/>
      <w:szCs w:val="20"/>
    </w:rPr>
  </w:style>
  <w:style w:type="paragraph" w:customStyle="1" w:styleId="767">
    <w:name w:val="样式 标题 2节H2节标题 1.11.1标题 21.1标题21SeHead wsa2标题节第一层条Hea...1"/>
    <w:basedOn w:val="4"/>
    <w:qFormat/>
    <w:uiPriority w:val="0"/>
    <w:pPr>
      <w:spacing w:before="260" w:after="260"/>
    </w:pPr>
    <w:rPr>
      <w:bCs w:val="0"/>
      <w:szCs w:val="20"/>
    </w:rPr>
  </w:style>
  <w:style w:type="paragraph" w:customStyle="1" w:styleId="768">
    <w:name w:val="样式13"/>
    <w:basedOn w:val="4"/>
    <w:qFormat/>
    <w:uiPriority w:val="0"/>
    <w:pPr>
      <w:tabs>
        <w:tab w:val="left" w:pos="-2296"/>
        <w:tab w:val="left" w:pos="560"/>
        <w:tab w:val="left" w:pos="927"/>
        <w:tab w:val="left" w:pos="1134"/>
      </w:tabs>
      <w:spacing w:before="60" w:after="60" w:line="480" w:lineRule="exact"/>
      <w:ind w:left="-2296"/>
    </w:pPr>
    <w:rPr>
      <w:rFonts w:hAnsi="Arial"/>
      <w:sz w:val="28"/>
    </w:rPr>
  </w:style>
  <w:style w:type="paragraph" w:customStyle="1" w:styleId="769">
    <w:name w:val="表格样式1"/>
    <w:basedOn w:val="1"/>
    <w:qFormat/>
    <w:uiPriority w:val="0"/>
    <w:pPr>
      <w:adjustRightInd w:val="0"/>
      <w:spacing w:line="20" w:lineRule="atLeast"/>
      <w:ind w:firstLine="0" w:firstLineChars="0"/>
      <w:jc w:val="center"/>
    </w:pPr>
    <w:rPr>
      <w:rFonts w:ascii="宋体" w:cs="Times New Roman"/>
      <w:kern w:val="0"/>
      <w:sz w:val="21"/>
      <w:szCs w:val="20"/>
    </w:rPr>
  </w:style>
  <w:style w:type="paragraph" w:customStyle="1" w:styleId="770">
    <w:name w:val="样式1－王鹏"/>
    <w:basedOn w:val="1"/>
    <w:semiHidden/>
    <w:qFormat/>
    <w:uiPriority w:val="0"/>
    <w:pPr>
      <w:adjustRightInd w:val="0"/>
      <w:snapToGrid w:val="0"/>
      <w:spacing w:beforeLines="50"/>
      <w:ind w:firstLine="627" w:firstLineChars="249"/>
    </w:pPr>
    <w:rPr>
      <w:rFonts w:ascii="宋体" w:hAnsi="宋体" w:cs="Arial"/>
      <w:bCs/>
      <w:spacing w:val="6"/>
      <w:szCs w:val="20"/>
    </w:rPr>
  </w:style>
  <w:style w:type="paragraph" w:customStyle="1" w:styleId="771">
    <w:name w:val="条文1"/>
    <w:basedOn w:val="1"/>
    <w:qFormat/>
    <w:uiPriority w:val="0"/>
    <w:pPr>
      <w:widowControl/>
      <w:autoSpaceDE w:val="0"/>
      <w:autoSpaceDN w:val="0"/>
      <w:adjustRightInd w:val="0"/>
      <w:spacing w:line="460" w:lineRule="exact"/>
      <w:ind w:left="907" w:hanging="425" w:firstLineChars="0"/>
    </w:pPr>
    <w:rPr>
      <w:rFonts w:ascii="宋体" w:hAnsi="Century Schoolbook" w:cs="Times New Roman"/>
      <w:spacing w:val="3"/>
      <w:kern w:val="24"/>
      <w:sz w:val="26"/>
      <w:szCs w:val="20"/>
    </w:rPr>
  </w:style>
  <w:style w:type="paragraph" w:customStyle="1" w:styleId="772">
    <w:name w:val="正文样式3"/>
    <w:basedOn w:val="1"/>
    <w:qFormat/>
    <w:uiPriority w:val="0"/>
    <w:pPr>
      <w:keepLines/>
      <w:adjustRightInd w:val="0"/>
      <w:spacing w:line="20" w:lineRule="atLeast"/>
      <w:ind w:firstLine="0" w:firstLineChars="0"/>
      <w:jc w:val="center"/>
    </w:pPr>
    <w:rPr>
      <w:rFonts w:cs="Times New Roman"/>
      <w:kern w:val="0"/>
      <w:szCs w:val="20"/>
    </w:rPr>
  </w:style>
  <w:style w:type="character" w:customStyle="1" w:styleId="773">
    <w:name w:val="杨正文 Char"/>
    <w:basedOn w:val="133"/>
    <w:link w:val="774"/>
    <w:semiHidden/>
    <w:locked/>
    <w:uiPriority w:val="0"/>
    <w:rPr>
      <w:sz w:val="24"/>
      <w:szCs w:val="21"/>
    </w:rPr>
  </w:style>
  <w:style w:type="paragraph" w:customStyle="1" w:styleId="774">
    <w:name w:val="杨正文"/>
    <w:basedOn w:val="1"/>
    <w:link w:val="773"/>
    <w:semiHidden/>
    <w:qFormat/>
    <w:uiPriority w:val="0"/>
    <w:pPr>
      <w:spacing w:line="460" w:lineRule="exact"/>
    </w:pPr>
    <w:rPr>
      <w:rFonts w:asciiTheme="minorHAnsi" w:hAnsiTheme="minorHAnsi" w:eastAsiaTheme="minorEastAsia"/>
    </w:rPr>
  </w:style>
  <w:style w:type="paragraph" w:customStyle="1" w:styleId="775">
    <w:name w:val="table_title"/>
    <w:basedOn w:val="1"/>
    <w:qFormat/>
    <w:uiPriority w:val="0"/>
    <w:pPr>
      <w:widowControl/>
      <w:spacing w:before="100" w:beforeAutospacing="1" w:after="100" w:afterAutospacing="1" w:line="240" w:lineRule="auto"/>
      <w:ind w:firstLine="0" w:firstLineChars="0"/>
      <w:jc w:val="center"/>
    </w:pPr>
    <w:rPr>
      <w:rFonts w:ascii="宋体" w:hAnsi="宋体" w:cs="Times New Roman"/>
      <w:b/>
      <w:bCs/>
      <w:kern w:val="0"/>
      <w:szCs w:val="24"/>
    </w:rPr>
  </w:style>
  <w:style w:type="paragraph" w:customStyle="1" w:styleId="776">
    <w:name w:val="胡"/>
    <w:basedOn w:val="1"/>
    <w:qFormat/>
    <w:uiPriority w:val="0"/>
    <w:pPr>
      <w:adjustRightInd w:val="0"/>
      <w:spacing w:line="360" w:lineRule="atLeast"/>
      <w:ind w:firstLine="0" w:firstLineChars="0"/>
      <w:jc w:val="left"/>
    </w:pPr>
    <w:rPr>
      <w:rFonts w:cs="Times New Roman"/>
      <w:kern w:val="0"/>
      <w:szCs w:val="20"/>
    </w:rPr>
  </w:style>
  <w:style w:type="paragraph" w:customStyle="1" w:styleId="777">
    <w:name w:val="zxl正文首行缩进  2 字符 行距: Char"/>
    <w:basedOn w:val="1"/>
    <w:qFormat/>
    <w:uiPriority w:val="0"/>
    <w:pPr>
      <w:widowControl/>
      <w:tabs>
        <w:tab w:val="left" w:pos="-1843"/>
        <w:tab w:val="left" w:pos="1727"/>
        <w:tab w:val="left" w:pos="1884"/>
      </w:tabs>
      <w:spacing w:line="336" w:lineRule="auto"/>
      <w:ind w:firstLine="560"/>
      <w:jc w:val="left"/>
      <w:outlineLvl w:val="0"/>
    </w:pPr>
    <w:rPr>
      <w:rFonts w:ascii="宋体" w:hAnsi="宋体" w:cs="Times New Roman"/>
      <w:sz w:val="28"/>
      <w:szCs w:val="28"/>
    </w:rPr>
  </w:style>
  <w:style w:type="character" w:customStyle="1" w:styleId="778">
    <w:name w:val="样式1 Char"/>
    <w:basedOn w:val="133"/>
    <w:link w:val="779"/>
    <w:locked/>
    <w:uiPriority w:val="0"/>
    <w:rPr>
      <w:rFonts w:ascii="宋体" w:hAnsi="宋体" w:eastAsia="宋体"/>
      <w:color w:val="000000"/>
    </w:rPr>
  </w:style>
  <w:style w:type="paragraph" w:customStyle="1" w:styleId="779">
    <w:name w:val="样式1"/>
    <w:basedOn w:val="1"/>
    <w:link w:val="778"/>
    <w:qFormat/>
    <w:uiPriority w:val="0"/>
    <w:pPr>
      <w:widowControl/>
      <w:snapToGrid w:val="0"/>
      <w:spacing w:line="240" w:lineRule="auto"/>
      <w:ind w:firstLine="0" w:firstLineChars="0"/>
      <w:jc w:val="center"/>
    </w:pPr>
    <w:rPr>
      <w:rFonts w:ascii="宋体" w:hAnsi="宋体"/>
      <w:color w:val="000000"/>
      <w:sz w:val="21"/>
    </w:rPr>
  </w:style>
  <w:style w:type="paragraph" w:customStyle="1" w:styleId="780">
    <w:name w:val="Char Char1 Char Char Char Char Char Char Char Char Char Char Char Char Char Char1 Char Char Char Char Char Char11"/>
    <w:basedOn w:val="1"/>
    <w:qFormat/>
    <w:uiPriority w:val="0"/>
    <w:pPr>
      <w:widowControl/>
      <w:spacing w:line="300" w:lineRule="auto"/>
    </w:pPr>
    <w:rPr>
      <w:rFonts w:cs="Times New Roman"/>
      <w:sz w:val="21"/>
      <w:szCs w:val="24"/>
    </w:rPr>
  </w:style>
  <w:style w:type="paragraph" w:customStyle="1" w:styleId="781">
    <w:name w:val="框图内容"/>
    <w:basedOn w:val="1"/>
    <w:semiHidden/>
    <w:qFormat/>
    <w:uiPriority w:val="0"/>
    <w:pPr>
      <w:spacing w:line="240" w:lineRule="auto"/>
      <w:ind w:firstLine="0" w:firstLineChars="0"/>
      <w:jc w:val="center"/>
    </w:pPr>
    <w:rPr>
      <w:rFonts w:ascii="宋体" w:cs="Times New Roman"/>
      <w:sz w:val="21"/>
      <w:szCs w:val="24"/>
      <w:lang w:val="en-GB"/>
    </w:rPr>
  </w:style>
  <w:style w:type="paragraph" w:customStyle="1" w:styleId="782">
    <w:name w:val="表格式"/>
    <w:basedOn w:val="66"/>
    <w:semiHidden/>
    <w:qFormat/>
    <w:uiPriority w:val="0"/>
    <w:pPr>
      <w:spacing w:line="340" w:lineRule="exact"/>
      <w:ind w:firstLine="0" w:firstLineChars="0"/>
      <w:jc w:val="center"/>
    </w:pPr>
    <w:rPr>
      <w:rFonts w:hint="eastAsia" w:hAnsi="宋体" w:cstheme="minorBidi"/>
    </w:rPr>
  </w:style>
  <w:style w:type="paragraph" w:customStyle="1" w:styleId="783">
    <w:name w:val="Bullet"/>
    <w:basedOn w:val="1"/>
    <w:next w:val="1"/>
    <w:qFormat/>
    <w:uiPriority w:val="0"/>
    <w:pPr>
      <w:widowControl/>
      <w:suppressLineNumbers/>
      <w:tabs>
        <w:tab w:val="left" w:pos="360"/>
      </w:tabs>
      <w:suppressAutoHyphens/>
      <w:spacing w:after="240" w:line="240" w:lineRule="auto"/>
      <w:ind w:left="720" w:firstLine="0" w:firstLineChars="0"/>
    </w:pPr>
    <w:rPr>
      <w:rFonts w:cs="Times New Roman"/>
      <w:kern w:val="0"/>
      <w:sz w:val="23"/>
      <w:szCs w:val="20"/>
      <w:lang w:eastAsia="en-US"/>
    </w:rPr>
  </w:style>
  <w:style w:type="character" w:customStyle="1" w:styleId="784">
    <w:name w:val="付正文 Char Char"/>
    <w:basedOn w:val="133"/>
    <w:link w:val="785"/>
    <w:semiHidden/>
    <w:locked/>
    <w:uiPriority w:val="0"/>
    <w:rPr>
      <w:rFonts w:ascii="宋体" w:hAnsi="宋体" w:eastAsia="宋体"/>
      <w:color w:val="000000"/>
      <w:sz w:val="24"/>
      <w:szCs w:val="21"/>
    </w:rPr>
  </w:style>
  <w:style w:type="paragraph" w:customStyle="1" w:styleId="785">
    <w:name w:val="付正文"/>
    <w:basedOn w:val="1"/>
    <w:link w:val="784"/>
    <w:semiHidden/>
    <w:qFormat/>
    <w:uiPriority w:val="0"/>
    <w:rPr>
      <w:rFonts w:ascii="宋体" w:hAnsi="宋体"/>
      <w:color w:val="000000"/>
    </w:rPr>
  </w:style>
  <w:style w:type="paragraph" w:customStyle="1" w:styleId="786">
    <w:name w:val="样式 标题 4h4第三层条 + (西文) Times New Roman (中文) 仿宋_GB2312 小四 段前: ..."/>
    <w:basedOn w:val="6"/>
    <w:qFormat/>
    <w:uiPriority w:val="0"/>
    <w:pPr>
      <w:spacing w:before="120" w:after="156"/>
    </w:pPr>
    <w:rPr>
      <w:rFonts w:eastAsia="仿宋_GB2312" w:cs="Times New Roman"/>
      <w:bCs w:val="0"/>
      <w:szCs w:val="20"/>
    </w:rPr>
  </w:style>
  <w:style w:type="paragraph" w:customStyle="1" w:styleId="787">
    <w:name w:val="样式 小四 首行缩进:  0.74 厘米 行距: 固定值 20 磅"/>
    <w:basedOn w:val="1"/>
    <w:qFormat/>
    <w:uiPriority w:val="0"/>
    <w:pPr>
      <w:spacing w:line="440" w:lineRule="exact"/>
      <w:ind w:firstLine="454" w:firstLineChars="0"/>
    </w:pPr>
    <w:rPr>
      <w:rFonts w:cs="Times New Roman"/>
      <w:szCs w:val="20"/>
    </w:rPr>
  </w:style>
  <w:style w:type="character" w:customStyle="1" w:styleId="788">
    <w:name w:val="正文内容 Char1"/>
    <w:basedOn w:val="133"/>
    <w:link w:val="789"/>
    <w:locked/>
    <w:uiPriority w:val="0"/>
    <w:rPr>
      <w:sz w:val="24"/>
      <w:szCs w:val="24"/>
    </w:rPr>
  </w:style>
  <w:style w:type="paragraph" w:customStyle="1" w:styleId="789">
    <w:name w:val="正文内容"/>
    <w:basedOn w:val="1"/>
    <w:link w:val="788"/>
    <w:qFormat/>
    <w:uiPriority w:val="0"/>
    <w:pPr>
      <w:snapToGrid w:val="0"/>
      <w:ind w:firstLine="482" w:firstLineChars="0"/>
    </w:pPr>
    <w:rPr>
      <w:rFonts w:asciiTheme="minorHAnsi" w:hAnsiTheme="minorHAnsi" w:eastAsiaTheme="minorEastAsia"/>
      <w:szCs w:val="24"/>
    </w:rPr>
  </w:style>
  <w:style w:type="paragraph" w:customStyle="1" w:styleId="790">
    <w:name w:val="纯文本2"/>
    <w:basedOn w:val="1"/>
    <w:qFormat/>
    <w:uiPriority w:val="0"/>
    <w:pPr>
      <w:ind w:firstLine="0" w:firstLineChars="0"/>
      <w:jc w:val="center"/>
    </w:pPr>
    <w:rPr>
      <w:rFonts w:ascii="宋体" w:hAnsi="宋体" w:cs="Times New Roman"/>
      <w:b/>
      <w:szCs w:val="20"/>
    </w:rPr>
  </w:style>
  <w:style w:type="character" w:customStyle="1" w:styleId="791">
    <w:name w:val="BGWZ1 Char Char"/>
    <w:basedOn w:val="133"/>
    <w:link w:val="792"/>
    <w:semiHidden/>
    <w:locked/>
    <w:uiPriority w:val="0"/>
    <w:rPr>
      <w:snapToGrid w:val="0"/>
      <w:szCs w:val="21"/>
      <w:lang w:eastAsia="zh-TW"/>
    </w:rPr>
  </w:style>
  <w:style w:type="paragraph" w:customStyle="1" w:styleId="792">
    <w:name w:val="BGWZ1 Char"/>
    <w:basedOn w:val="1"/>
    <w:link w:val="791"/>
    <w:semiHidden/>
    <w:qFormat/>
    <w:uiPriority w:val="0"/>
    <w:pPr>
      <w:snapToGrid w:val="0"/>
      <w:spacing w:line="300" w:lineRule="exact"/>
      <w:ind w:firstLine="0" w:firstLineChars="0"/>
      <w:jc w:val="center"/>
    </w:pPr>
    <w:rPr>
      <w:rFonts w:asciiTheme="minorHAnsi" w:hAnsiTheme="minorHAnsi" w:eastAsiaTheme="minorEastAsia"/>
      <w:snapToGrid w:val="0"/>
      <w:sz w:val="21"/>
      <w:lang w:eastAsia="zh-TW"/>
    </w:rPr>
  </w:style>
  <w:style w:type="paragraph" w:customStyle="1" w:styleId="793">
    <w:name w:val="样式 正文文字 + 两端对齐 首行缩进:  0.92 厘米 行距: 单倍行距"/>
    <w:basedOn w:val="34"/>
    <w:qFormat/>
    <w:uiPriority w:val="0"/>
    <w:pPr>
      <w:spacing w:after="0" w:line="440" w:lineRule="exact"/>
      <w:ind w:firstLine="522"/>
    </w:pPr>
    <w:rPr>
      <w:rFonts w:ascii="宋体" w:hAnsi="宋体" w:eastAsia="Times New Roman" w:cs="Times New Roman"/>
      <w:sz w:val="28"/>
      <w:szCs w:val="20"/>
    </w:rPr>
  </w:style>
  <w:style w:type="paragraph" w:customStyle="1" w:styleId="794">
    <w:name w:val="投标文件一级标题"/>
    <w:basedOn w:val="3"/>
    <w:qFormat/>
    <w:uiPriority w:val="0"/>
    <w:pPr>
      <w:pageBreakBefore/>
      <w:tabs>
        <w:tab w:val="left" w:pos="680"/>
      </w:tabs>
      <w:spacing w:line="400" w:lineRule="exact"/>
      <w:ind w:left="851" w:right="33" w:hanging="851"/>
      <w:jc w:val="center"/>
    </w:pPr>
    <w:rPr>
      <w:rFonts w:ascii="Arial" w:hAnsi="Arial"/>
      <w:bCs w:val="0"/>
      <w:color w:val="000000"/>
      <w:sz w:val="32"/>
      <w:szCs w:val="20"/>
    </w:rPr>
  </w:style>
  <w:style w:type="character" w:customStyle="1" w:styleId="795">
    <w:name w:val="正文文本 2 Char Char"/>
    <w:link w:val="796"/>
    <w:locked/>
    <w:uiPriority w:val="0"/>
    <w:rPr>
      <w:rFonts w:ascii="仿宋_GB2312" w:eastAsia="仿宋_GB2312"/>
      <w:sz w:val="28"/>
    </w:rPr>
  </w:style>
  <w:style w:type="paragraph" w:customStyle="1" w:styleId="796">
    <w:name w:val="正文文本 23"/>
    <w:basedOn w:val="1"/>
    <w:link w:val="795"/>
    <w:qFormat/>
    <w:uiPriority w:val="0"/>
    <w:pPr>
      <w:adjustRightInd w:val="0"/>
      <w:snapToGrid w:val="0"/>
      <w:spacing w:line="480" w:lineRule="exact"/>
      <w:ind w:firstLine="510" w:firstLineChars="0"/>
    </w:pPr>
    <w:rPr>
      <w:rFonts w:ascii="仿宋_GB2312" w:eastAsia="仿宋_GB2312" w:hAnsiTheme="minorHAnsi"/>
      <w:sz w:val="28"/>
    </w:rPr>
  </w:style>
  <w:style w:type="paragraph" w:customStyle="1" w:styleId="797">
    <w:name w:val="样式 标题 2节标题 1.1标题 2 Char Char Char标题 2 Char1.1标题2Majorb2 + ...1"/>
    <w:basedOn w:val="4"/>
    <w:semiHidden/>
    <w:qFormat/>
    <w:uiPriority w:val="0"/>
    <w:pPr>
      <w:spacing w:line="560" w:lineRule="exact"/>
    </w:pPr>
    <w:rPr>
      <w:rFonts w:cs="宋体"/>
      <w:b w:val="0"/>
      <w:bCs w:val="0"/>
      <w:color w:val="0000FF"/>
    </w:rPr>
  </w:style>
  <w:style w:type="paragraph" w:customStyle="1" w:styleId="798">
    <w:name w:val="附录章标题"/>
    <w:next w:val="6"/>
    <w:qFormat/>
    <w:uiPriority w:val="0"/>
    <w:pPr>
      <w:wordWrap w:val="0"/>
      <w:overflowPunct w:val="0"/>
      <w:autoSpaceDE w:val="0"/>
      <w:spacing w:beforeLines="50" w:afterLines="50"/>
      <w:jc w:val="both"/>
      <w:outlineLvl w:val="1"/>
    </w:pPr>
    <w:rPr>
      <w:rFonts w:ascii="黑体" w:hAnsi="Times New Roman" w:eastAsia="黑体" w:cs="Times New Roman"/>
      <w:kern w:val="21"/>
      <w:sz w:val="21"/>
      <w:lang w:val="en-US" w:eastAsia="zh-CN" w:bidi="ar-SA"/>
    </w:rPr>
  </w:style>
  <w:style w:type="paragraph" w:customStyle="1" w:styleId="799">
    <w:name w:val="样式 正文 + 左侧:  0 厘米 悬挂缩进: 14.4 字符"/>
    <w:basedOn w:val="1"/>
    <w:qFormat/>
    <w:uiPriority w:val="0"/>
    <w:pPr>
      <w:widowControl/>
      <w:spacing w:line="529" w:lineRule="exact"/>
      <w:jc w:val="left"/>
    </w:pPr>
    <w:rPr>
      <w:rFonts w:cs="宋体"/>
      <w:szCs w:val="20"/>
    </w:rPr>
  </w:style>
  <w:style w:type="character" w:customStyle="1" w:styleId="800">
    <w:name w:val="样式 标题 3条标题1.1.1BSH-3 + 字距调整小四 Char"/>
    <w:basedOn w:val="199"/>
    <w:link w:val="801"/>
    <w:semiHidden/>
    <w:locked/>
    <w:uiPriority w:val="0"/>
    <w:rPr>
      <w:color w:val="0000FF"/>
      <w:kern w:val="24"/>
      <w:sz w:val="30"/>
      <w:szCs w:val="30"/>
    </w:rPr>
  </w:style>
  <w:style w:type="paragraph" w:customStyle="1" w:styleId="801">
    <w:name w:val="样式 标题 3条标题1.1.1BSH-3 + 字距调整小四"/>
    <w:basedOn w:val="5"/>
    <w:link w:val="800"/>
    <w:semiHidden/>
    <w:qFormat/>
    <w:uiPriority w:val="0"/>
    <w:pPr>
      <w:spacing w:line="580" w:lineRule="exact"/>
      <w:jc w:val="left"/>
    </w:pPr>
    <w:rPr>
      <w:rFonts w:hint="eastAsia" w:ascii="黑体" w:hAnsi="黑体" w:cstheme="minorBidi"/>
      <w:color w:val="0000FF"/>
      <w:kern w:val="24"/>
      <w:sz w:val="30"/>
      <w:szCs w:val="30"/>
    </w:rPr>
  </w:style>
  <w:style w:type="paragraph" w:customStyle="1" w:styleId="802">
    <w:name w:val="Char Char13 Char Char Char Char Char Char Char Char Char Char Char Char Char Char Char Char"/>
    <w:basedOn w:val="1"/>
    <w:semiHidden/>
    <w:qFormat/>
    <w:uiPriority w:val="0"/>
    <w:rPr>
      <w:rFonts w:ascii="宋体" w:hAnsi="宋体" w:cs="宋体"/>
      <w:szCs w:val="24"/>
    </w:rPr>
  </w:style>
  <w:style w:type="paragraph" w:customStyle="1" w:styleId="803">
    <w:name w:val="Char Char7 Char Char Char Char Char Char"/>
    <w:basedOn w:val="5"/>
    <w:qFormat/>
    <w:uiPriority w:val="0"/>
    <w:pPr>
      <w:widowControl/>
      <w:tabs>
        <w:tab w:val="left" w:pos="360"/>
        <w:tab w:val="left" w:pos="900"/>
      </w:tabs>
      <w:snapToGrid w:val="0"/>
      <w:spacing w:before="120" w:after="120"/>
      <w:ind w:left="542" w:leftChars="-12" w:firstLine="200" w:firstLineChars="200"/>
      <w:jc w:val="left"/>
    </w:pPr>
    <w:rPr>
      <w:b w:val="0"/>
      <w:sz w:val="24"/>
      <w:szCs w:val="24"/>
    </w:rPr>
  </w:style>
  <w:style w:type="character" w:customStyle="1" w:styleId="804">
    <w:name w:val="新标题3x Char"/>
    <w:basedOn w:val="722"/>
    <w:link w:val="805"/>
    <w:locked/>
    <w:uiPriority w:val="0"/>
  </w:style>
  <w:style w:type="paragraph" w:customStyle="1" w:styleId="805">
    <w:name w:val="标题3x"/>
    <w:basedOn w:val="725"/>
    <w:link w:val="804"/>
    <w:qFormat/>
    <w:uiPriority w:val="0"/>
    <w:pPr>
      <w:keepLines/>
      <w:autoSpaceDE/>
      <w:autoSpaceDN/>
      <w:adjustRightInd/>
      <w:spacing w:after="0" w:line="360" w:lineRule="auto"/>
    </w:pPr>
  </w:style>
  <w:style w:type="character" w:customStyle="1" w:styleId="806">
    <w:name w:val="表格13 Char"/>
    <w:link w:val="807"/>
    <w:locked/>
    <w:uiPriority w:val="0"/>
    <w:rPr>
      <w:rFonts w:ascii="宋体" w:hAnsi="宋体" w:eastAsia="宋体" w:cs="宋体"/>
      <w:sz w:val="18"/>
      <w:szCs w:val="18"/>
      <w:lang w:val="zh-CN"/>
    </w:rPr>
  </w:style>
  <w:style w:type="paragraph" w:customStyle="1" w:styleId="807">
    <w:name w:val="表格13"/>
    <w:basedOn w:val="1"/>
    <w:link w:val="806"/>
    <w:qFormat/>
    <w:uiPriority w:val="0"/>
    <w:pPr>
      <w:adjustRightInd w:val="0"/>
      <w:spacing w:line="260" w:lineRule="atLeast"/>
      <w:ind w:firstLine="0" w:firstLineChars="0"/>
      <w:jc w:val="center"/>
    </w:pPr>
    <w:rPr>
      <w:rFonts w:ascii="宋体" w:hAnsi="宋体" w:cs="宋体"/>
      <w:sz w:val="18"/>
      <w:szCs w:val="18"/>
      <w:lang w:val="zh-CN"/>
    </w:rPr>
  </w:style>
  <w:style w:type="paragraph" w:customStyle="1" w:styleId="808">
    <w:name w:val="一级无标题条"/>
    <w:basedOn w:val="1"/>
    <w:qFormat/>
    <w:uiPriority w:val="0"/>
    <w:pPr>
      <w:spacing w:line="240" w:lineRule="auto"/>
      <w:ind w:firstLine="0" w:firstLineChars="0"/>
    </w:pPr>
    <w:rPr>
      <w:rFonts w:cs="Times New Roman"/>
      <w:sz w:val="21"/>
      <w:szCs w:val="20"/>
    </w:rPr>
  </w:style>
  <w:style w:type="paragraph" w:customStyle="1" w:styleId="809">
    <w:name w:val="af0"/>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810">
    <w:name w:val="正文王 Char"/>
    <w:basedOn w:val="811"/>
    <w:link w:val="813"/>
    <w:locked/>
    <w:uiPriority w:val="0"/>
    <w:rPr>
      <w:rFonts w:ascii="Arial" w:hAnsi="Arial"/>
      <w:sz w:val="24"/>
    </w:rPr>
  </w:style>
  <w:style w:type="character" w:customStyle="1" w:styleId="811">
    <w:name w:val="正 Char1"/>
    <w:basedOn w:val="133"/>
    <w:link w:val="812"/>
    <w:semiHidden/>
    <w:locked/>
    <w:uiPriority w:val="0"/>
    <w:rPr>
      <w:rFonts w:ascii="宋体" w:hAnsi="宋体" w:eastAsia="宋体" w:cs="宋体"/>
    </w:rPr>
  </w:style>
  <w:style w:type="paragraph" w:customStyle="1" w:styleId="812">
    <w:name w:val="正"/>
    <w:basedOn w:val="1"/>
    <w:link w:val="811"/>
    <w:semiHidden/>
    <w:qFormat/>
    <w:uiPriority w:val="0"/>
    <w:pPr>
      <w:spacing w:beforeLines="25" w:line="440" w:lineRule="exact"/>
    </w:pPr>
    <w:rPr>
      <w:rFonts w:ascii="宋体" w:hAnsi="宋体" w:cs="宋体"/>
      <w:sz w:val="21"/>
    </w:rPr>
  </w:style>
  <w:style w:type="paragraph" w:customStyle="1" w:styleId="813">
    <w:name w:val="正文王"/>
    <w:basedOn w:val="45"/>
    <w:link w:val="810"/>
    <w:qFormat/>
    <w:uiPriority w:val="0"/>
    <w:pPr>
      <w:spacing w:line="440" w:lineRule="exact"/>
    </w:pPr>
    <w:rPr>
      <w:rFonts w:ascii="Arial" w:hAnsi="Arial" w:eastAsia="宋体" w:cs="宋体"/>
      <w:sz w:val="24"/>
    </w:rPr>
  </w:style>
  <w:style w:type="paragraph" w:customStyle="1" w:styleId="814">
    <w:name w:val="样式 样式 标题 4h4第三层条 + (西文) Times New Roman (中文) 仿宋_GB2312 小四 段前: ....."/>
    <w:basedOn w:val="1"/>
    <w:qFormat/>
    <w:uiPriority w:val="0"/>
    <w:pPr>
      <w:keepNext/>
      <w:keepLines/>
      <w:tabs>
        <w:tab w:val="left" w:pos="-540"/>
      </w:tabs>
      <w:ind w:left="-540" w:firstLine="0" w:firstLineChars="0"/>
      <w:outlineLvl w:val="3"/>
    </w:pPr>
    <w:rPr>
      <w:rFonts w:eastAsia="仿宋_GB2312" w:cs="Times New Roman"/>
      <w:b/>
      <w:bCs/>
      <w:szCs w:val="24"/>
    </w:rPr>
  </w:style>
  <w:style w:type="character" w:customStyle="1" w:styleId="815">
    <w:name w:val="样式3 Char"/>
    <w:basedOn w:val="177"/>
    <w:link w:val="816"/>
    <w:locked/>
    <w:uiPriority w:val="0"/>
    <w:rPr>
      <w:rFonts w:ascii="黑体" w:eastAsia="黑体"/>
    </w:rPr>
  </w:style>
  <w:style w:type="paragraph" w:customStyle="1" w:styleId="816">
    <w:name w:val="样式3"/>
    <w:basedOn w:val="55"/>
    <w:link w:val="815"/>
    <w:qFormat/>
    <w:uiPriority w:val="0"/>
    <w:pPr>
      <w:pBdr>
        <w:top w:val="single" w:color="auto" w:sz="4" w:space="1"/>
      </w:pBdr>
      <w:ind w:firstLine="0" w:firstLineChars="0"/>
      <w:jc w:val="center"/>
    </w:pPr>
    <w:rPr>
      <w:rFonts w:ascii="黑体" w:hAnsi="Courier New" w:eastAsia="黑体"/>
      <w:sz w:val="24"/>
      <w:szCs w:val="22"/>
    </w:rPr>
  </w:style>
  <w:style w:type="paragraph" w:customStyle="1" w:styleId="817">
    <w:name w:val="清除格式"/>
    <w:basedOn w:val="1"/>
    <w:semiHidden/>
    <w:qFormat/>
    <w:uiPriority w:val="0"/>
    <w:pPr>
      <w:spacing w:line="240" w:lineRule="auto"/>
      <w:ind w:firstLine="0" w:firstLineChars="0"/>
    </w:pPr>
    <w:rPr>
      <w:rFonts w:ascii="宋体" w:hAnsi="宋体" w:cs="Times New Roman"/>
      <w:sz w:val="21"/>
    </w:rPr>
  </w:style>
  <w:style w:type="paragraph" w:customStyle="1" w:styleId="818">
    <w:name w:val="样式 标题 1标题 1 Char1标题 1 Char1 Char章节标题标题2b1heading 1H1Head..."/>
    <w:basedOn w:val="3"/>
    <w:qFormat/>
    <w:uiPriority w:val="0"/>
    <w:pPr>
      <w:spacing w:line="560" w:lineRule="exact"/>
    </w:pPr>
    <w:rPr>
      <w:rFonts w:ascii="宋体" w:hAnsi="宋体" w:eastAsia="宋体"/>
      <w:color w:val="FF99CC"/>
      <w:sz w:val="44"/>
    </w:rPr>
  </w:style>
  <w:style w:type="paragraph" w:customStyle="1" w:styleId="819">
    <w:name w:val="_Style 41"/>
    <w:basedOn w:val="1"/>
    <w:qFormat/>
    <w:uiPriority w:val="0"/>
    <w:pPr>
      <w:spacing w:line="440" w:lineRule="exact"/>
    </w:pPr>
    <w:rPr>
      <w:rFonts w:ascii="宋体" w:hAnsi="CG Times (W1)" w:cs="Times New Roman"/>
      <w:kern w:val="0"/>
      <w:sz w:val="21"/>
      <w:szCs w:val="20"/>
    </w:rPr>
  </w:style>
  <w:style w:type="paragraph" w:customStyle="1" w:styleId="820">
    <w:name w:val="a"/>
    <w:basedOn w:val="1"/>
    <w:semiHidden/>
    <w:qFormat/>
    <w:uiPriority w:val="0"/>
    <w:pPr>
      <w:widowControl/>
      <w:spacing w:before="100" w:beforeAutospacing="1" w:after="100" w:afterAutospacing="1" w:line="240" w:lineRule="auto"/>
      <w:ind w:firstLine="0" w:firstLineChars="0"/>
      <w:jc w:val="left"/>
    </w:pPr>
    <w:rPr>
      <w:rFonts w:ascii="宋体" w:hAnsi="宋体" w:cs="Times New Roman"/>
      <w:color w:val="000000"/>
      <w:kern w:val="0"/>
      <w:sz w:val="21"/>
    </w:rPr>
  </w:style>
  <w:style w:type="character" w:customStyle="1" w:styleId="821">
    <w:name w:val="样式正文 Char"/>
    <w:basedOn w:val="133"/>
    <w:link w:val="822"/>
    <w:locked/>
    <w:uiPriority w:val="0"/>
    <w:rPr>
      <w:rFonts w:ascii="宋体" w:hAnsi="宋体" w:eastAsia="宋体" w:cs="宋体"/>
      <w:color w:val="0000FF"/>
      <w:sz w:val="24"/>
    </w:rPr>
  </w:style>
  <w:style w:type="paragraph" w:customStyle="1" w:styleId="822">
    <w:name w:val="样式正文"/>
    <w:basedOn w:val="1"/>
    <w:link w:val="821"/>
    <w:qFormat/>
    <w:uiPriority w:val="0"/>
    <w:pPr>
      <w:spacing w:line="460" w:lineRule="exact"/>
      <w:ind w:firstLine="480"/>
    </w:pPr>
    <w:rPr>
      <w:rFonts w:ascii="宋体" w:hAnsi="宋体" w:cs="宋体"/>
      <w:color w:val="0000FF"/>
    </w:rPr>
  </w:style>
  <w:style w:type="paragraph" w:customStyle="1" w:styleId="823">
    <w:name w:val="样式"/>
    <w:basedOn w:val="1"/>
    <w:next w:val="70"/>
    <w:qFormat/>
    <w:uiPriority w:val="0"/>
    <w:pPr>
      <w:tabs>
        <w:tab w:val="left" w:pos="6720"/>
      </w:tabs>
      <w:ind w:firstLine="480"/>
    </w:pPr>
    <w:rPr>
      <w:rFonts w:ascii="楷体_GB2312" w:eastAsia="楷体_GB2312" w:cs="Times New Roman"/>
      <w:szCs w:val="20"/>
    </w:rPr>
  </w:style>
  <w:style w:type="paragraph" w:customStyle="1" w:styleId="824">
    <w:name w:val="Char Char Char1 Char11"/>
    <w:basedOn w:val="1"/>
    <w:qFormat/>
    <w:uiPriority w:val="0"/>
    <w:pPr>
      <w:adjustRightInd w:val="0"/>
      <w:snapToGrid w:val="0"/>
      <w:spacing w:line="240" w:lineRule="auto"/>
      <w:ind w:left="-45" w:firstLine="0" w:firstLineChars="0"/>
    </w:pPr>
    <w:rPr>
      <w:rFonts w:cs="Times New Roman"/>
      <w:sz w:val="21"/>
      <w:szCs w:val="24"/>
    </w:rPr>
  </w:style>
  <w:style w:type="paragraph" w:customStyle="1" w:styleId="825">
    <w:name w:val="正文图标题"/>
    <w:next w:val="6"/>
    <w:qFormat/>
    <w:uiPriority w:val="0"/>
    <w:pPr>
      <w:jc w:val="center"/>
    </w:pPr>
    <w:rPr>
      <w:rFonts w:ascii="黑体" w:hAnsi="Times New Roman" w:eastAsia="黑体" w:cs="Times New Roman"/>
      <w:sz w:val="21"/>
      <w:lang w:val="en-US" w:eastAsia="zh-CN" w:bidi="ar-SA"/>
    </w:rPr>
  </w:style>
  <w:style w:type="paragraph" w:customStyle="1" w:styleId="826">
    <w:name w:val="1 Char Char Char Char Char Char Char Char Char Char Char Char Char"/>
    <w:basedOn w:val="1"/>
    <w:semiHidden/>
    <w:qFormat/>
    <w:uiPriority w:val="0"/>
    <w:pPr>
      <w:spacing w:line="240" w:lineRule="auto"/>
      <w:ind w:firstLine="0" w:firstLineChars="0"/>
    </w:pPr>
    <w:rPr>
      <w:rFonts w:cs="Times New Roman"/>
      <w:sz w:val="21"/>
      <w:szCs w:val="24"/>
    </w:rPr>
  </w:style>
  <w:style w:type="paragraph" w:customStyle="1" w:styleId="827">
    <w:name w:val="正文样式1111"/>
    <w:basedOn w:val="1"/>
    <w:semiHidden/>
    <w:qFormat/>
    <w:uiPriority w:val="0"/>
    <w:rPr>
      <w:rFonts w:ascii="宋体" w:hAnsi="宋体" w:cs="Times New Roman"/>
      <w:color w:val="000000"/>
      <w:szCs w:val="24"/>
    </w:rPr>
  </w:style>
  <w:style w:type="paragraph" w:customStyle="1" w:styleId="828">
    <w:name w:val="标准书眉_偶数页"/>
    <w:basedOn w:val="1"/>
    <w:next w:val="1"/>
    <w:qFormat/>
    <w:uiPriority w:val="0"/>
    <w:pPr>
      <w:widowControl/>
      <w:tabs>
        <w:tab w:val="center" w:pos="4154"/>
        <w:tab w:val="right" w:pos="8306"/>
      </w:tabs>
      <w:spacing w:after="120" w:line="240" w:lineRule="auto"/>
      <w:ind w:firstLine="0" w:firstLineChars="0"/>
      <w:jc w:val="left"/>
    </w:pPr>
    <w:rPr>
      <w:rFonts w:cs="Times New Roman"/>
      <w:kern w:val="0"/>
      <w:sz w:val="21"/>
      <w:szCs w:val="20"/>
    </w:rPr>
  </w:style>
  <w:style w:type="character" w:customStyle="1" w:styleId="829">
    <w:name w:val="样式4 Char"/>
    <w:basedOn w:val="133"/>
    <w:link w:val="830"/>
    <w:locked/>
    <w:uiPriority w:val="0"/>
    <w:rPr>
      <w:rFonts w:ascii="黑体" w:hAnsi="黑体" w:eastAsia="黑体"/>
      <w:b/>
      <w:sz w:val="24"/>
      <w:szCs w:val="24"/>
    </w:rPr>
  </w:style>
  <w:style w:type="paragraph" w:customStyle="1" w:styleId="830">
    <w:name w:val="样式4"/>
    <w:basedOn w:val="1"/>
    <w:link w:val="829"/>
    <w:qFormat/>
    <w:uiPriority w:val="0"/>
    <w:pPr>
      <w:tabs>
        <w:tab w:val="left" w:pos="987"/>
        <w:tab w:val="left" w:pos="1296"/>
      </w:tabs>
      <w:adjustRightInd w:val="0"/>
      <w:snapToGrid w:val="0"/>
      <w:spacing w:beforeLines="50"/>
      <w:ind w:left="1088" w:hanging="578" w:firstLineChars="0"/>
      <w:jc w:val="left"/>
      <w:outlineLvl w:val="1"/>
    </w:pPr>
    <w:rPr>
      <w:rFonts w:ascii="黑体" w:hAnsi="黑体" w:eastAsia="黑体"/>
      <w:b/>
      <w:szCs w:val="24"/>
    </w:rPr>
  </w:style>
  <w:style w:type="paragraph" w:customStyle="1" w:styleId="831">
    <w:name w:val="验收表格"/>
    <w:basedOn w:val="1"/>
    <w:next w:val="1"/>
    <w:qFormat/>
    <w:uiPriority w:val="0"/>
    <w:pPr>
      <w:spacing w:line="240" w:lineRule="auto"/>
      <w:ind w:firstLine="0" w:firstLineChars="0"/>
      <w:jc w:val="center"/>
    </w:pPr>
    <w:rPr>
      <w:rFonts w:cs="Times New Roman"/>
      <w:sz w:val="21"/>
    </w:rPr>
  </w:style>
  <w:style w:type="paragraph" w:customStyle="1" w:styleId="832">
    <w:name w:val="表5-1"/>
    <w:basedOn w:val="73"/>
    <w:semiHidden/>
    <w:qFormat/>
    <w:uiPriority w:val="0"/>
    <w:pPr>
      <w:tabs>
        <w:tab w:val="center" w:pos="992"/>
        <w:tab w:val="left" w:pos="1440"/>
      </w:tabs>
      <w:spacing w:beforeLines="50"/>
      <w:ind w:left="425" w:leftChars="0" w:hanging="425" w:firstLineChars="0"/>
      <w:jc w:val="center"/>
    </w:pPr>
  </w:style>
  <w:style w:type="paragraph" w:customStyle="1" w:styleId="833">
    <w:name w:val="样式 首行缩进:  1.71 字符4"/>
    <w:basedOn w:val="34"/>
    <w:semiHidden/>
    <w:qFormat/>
    <w:uiPriority w:val="0"/>
    <w:pPr>
      <w:adjustRightInd w:val="0"/>
      <w:spacing w:after="0"/>
      <w:ind w:firstLine="410" w:firstLineChars="171"/>
      <w:jc w:val="left"/>
    </w:pPr>
    <w:rPr>
      <w:rFonts w:hAnsi="宋体" w:cs="Times New Roman"/>
      <w:kern w:val="0"/>
      <w:szCs w:val="20"/>
    </w:rPr>
  </w:style>
  <w:style w:type="paragraph" w:customStyle="1" w:styleId="834">
    <w:name w:val="Char Char Char Char Char Char1 Char1"/>
    <w:basedOn w:val="1"/>
    <w:qFormat/>
    <w:uiPriority w:val="0"/>
    <w:pPr>
      <w:spacing w:line="240" w:lineRule="auto"/>
      <w:ind w:firstLine="0" w:firstLineChars="0"/>
    </w:pPr>
    <w:rPr>
      <w:rFonts w:cs="Times New Roman"/>
      <w:sz w:val="21"/>
      <w:szCs w:val="24"/>
    </w:rPr>
  </w:style>
  <w:style w:type="paragraph" w:customStyle="1" w:styleId="835">
    <w:name w:val="表样式"/>
    <w:basedOn w:val="1"/>
    <w:semiHidden/>
    <w:qFormat/>
    <w:uiPriority w:val="0"/>
    <w:pPr>
      <w:spacing w:line="240" w:lineRule="auto"/>
      <w:ind w:firstLine="0" w:firstLineChars="0"/>
      <w:jc w:val="center"/>
    </w:pPr>
    <w:rPr>
      <w:rFonts w:ascii="仿宋_GB2312" w:eastAsia="黑体" w:cs="Times New Roman"/>
      <w:sz w:val="21"/>
      <w:szCs w:val="24"/>
    </w:rPr>
  </w:style>
  <w:style w:type="paragraph" w:customStyle="1" w:styleId="836">
    <w:name w:val="nopart"/>
    <w:basedOn w:val="1"/>
    <w:qFormat/>
    <w:uiPriority w:val="0"/>
    <w:pPr>
      <w:widowControl/>
      <w:shd w:val="clear" w:color="auto" w:fill="FFFFFF"/>
      <w:spacing w:before="100" w:beforeAutospacing="1" w:after="100" w:afterAutospacing="1" w:line="240" w:lineRule="auto"/>
      <w:ind w:firstLine="0" w:firstLineChars="0"/>
      <w:jc w:val="left"/>
    </w:pPr>
    <w:rPr>
      <w:rFonts w:ascii="宋体" w:hAnsi="宋体" w:cs="宋体"/>
      <w:color w:val="008000"/>
      <w:kern w:val="0"/>
      <w:szCs w:val="24"/>
    </w:rPr>
  </w:style>
  <w:style w:type="paragraph" w:customStyle="1" w:styleId="837">
    <w:name w:val="Char2 Char Char Char Char Char Char Char"/>
    <w:basedOn w:val="1"/>
    <w:qFormat/>
    <w:uiPriority w:val="0"/>
    <w:pPr>
      <w:autoSpaceDE w:val="0"/>
      <w:autoSpaceDN w:val="0"/>
      <w:adjustRightInd w:val="0"/>
      <w:snapToGrid w:val="0"/>
      <w:spacing w:before="50" w:after="50"/>
      <w:ind w:firstLine="560"/>
    </w:pPr>
    <w:rPr>
      <w:rFonts w:eastAsia="仿宋_GB2312" w:cs="Times New Roman"/>
      <w:color w:val="000000"/>
      <w:szCs w:val="20"/>
    </w:rPr>
  </w:style>
  <w:style w:type="paragraph" w:customStyle="1" w:styleId="838">
    <w:name w:val="Char Char Char1 Char"/>
    <w:basedOn w:val="1"/>
    <w:next w:val="1"/>
    <w:semiHidden/>
    <w:qFormat/>
    <w:uiPriority w:val="0"/>
    <w:rPr>
      <w:rFonts w:ascii="宋体" w:hAnsi="宋体" w:cs="宋体"/>
      <w:sz w:val="21"/>
    </w:rPr>
  </w:style>
  <w:style w:type="paragraph" w:customStyle="1" w:styleId="839">
    <w:name w:val="正文文本缩进 221"/>
    <w:basedOn w:val="1"/>
    <w:qFormat/>
    <w:uiPriority w:val="0"/>
    <w:pPr>
      <w:adjustRightInd w:val="0"/>
      <w:spacing w:line="312" w:lineRule="atLeast"/>
      <w:ind w:firstLine="540" w:firstLineChars="0"/>
    </w:pPr>
    <w:rPr>
      <w:rFonts w:cs="Times New Roman"/>
      <w:kern w:val="0"/>
      <w:sz w:val="21"/>
      <w:szCs w:val="20"/>
    </w:rPr>
  </w:style>
  <w:style w:type="paragraph" w:customStyle="1" w:styleId="840">
    <w:name w:val="Char Char Char Char Char Char Char Char Char1 Char"/>
    <w:basedOn w:val="1"/>
    <w:qFormat/>
    <w:uiPriority w:val="0"/>
    <w:rPr>
      <w:rFonts w:ascii="宋体" w:hAnsi="宋体" w:cs="宋体"/>
      <w:szCs w:val="24"/>
    </w:rPr>
  </w:style>
  <w:style w:type="character" w:customStyle="1" w:styleId="841">
    <w:name w:val="正文(首行缩进)宋旭峰 Char Char"/>
    <w:link w:val="842"/>
    <w:qFormat/>
    <w:locked/>
    <w:uiPriority w:val="0"/>
    <w:rPr>
      <w:rFonts w:ascii="Arial" w:hAnsi="Arial" w:cs="Arial"/>
      <w:snapToGrid w:val="0"/>
      <w:sz w:val="24"/>
      <w:szCs w:val="24"/>
    </w:rPr>
  </w:style>
  <w:style w:type="paragraph" w:customStyle="1" w:styleId="842">
    <w:name w:val="正文(首行缩进)宋旭峰"/>
    <w:basedOn w:val="21"/>
    <w:link w:val="841"/>
    <w:qFormat/>
    <w:uiPriority w:val="0"/>
    <w:pPr>
      <w:snapToGrid w:val="0"/>
      <w:spacing w:line="360" w:lineRule="auto"/>
      <w:ind w:firstLine="480"/>
    </w:pPr>
    <w:rPr>
      <w:rFonts w:ascii="Arial" w:hAnsi="Arial" w:cs="Arial" w:eastAsiaTheme="minorEastAsia"/>
      <w:snapToGrid w:val="0"/>
      <w:sz w:val="24"/>
    </w:rPr>
  </w:style>
  <w:style w:type="paragraph" w:customStyle="1" w:styleId="843">
    <w:name w:val="五级条标题"/>
    <w:basedOn w:val="634"/>
    <w:next w:val="1"/>
    <w:qFormat/>
    <w:uiPriority w:val="0"/>
    <w:pPr>
      <w:outlineLvl w:val="6"/>
    </w:pPr>
  </w:style>
  <w:style w:type="paragraph" w:customStyle="1" w:styleId="844">
    <w:name w:val="三线表内正文"/>
    <w:basedOn w:val="1"/>
    <w:next w:val="1"/>
    <w:qFormat/>
    <w:uiPriority w:val="0"/>
    <w:pPr>
      <w:spacing w:line="240" w:lineRule="auto"/>
      <w:ind w:firstLine="0" w:firstLineChars="0"/>
      <w:jc w:val="center"/>
    </w:pPr>
    <w:rPr>
      <w:rFonts w:cs="Times New Roman"/>
      <w:sz w:val="18"/>
      <w:szCs w:val="18"/>
    </w:rPr>
  </w:style>
  <w:style w:type="paragraph" w:customStyle="1" w:styleId="845">
    <w:name w:val="tr"/>
    <w:basedOn w:val="1"/>
    <w:qFormat/>
    <w:uiPriority w:val="0"/>
    <w:pPr>
      <w:widowControl/>
      <w:spacing w:before="100" w:beforeAutospacing="1" w:after="100" w:afterAutospacing="1" w:line="240" w:lineRule="auto"/>
      <w:ind w:firstLine="0" w:firstLineChars="0"/>
      <w:jc w:val="left"/>
    </w:pPr>
    <w:rPr>
      <w:rFonts w:ascii="Arial" w:hAnsi="Arial" w:cs="Arial"/>
      <w:kern w:val="0"/>
      <w:sz w:val="14"/>
      <w:szCs w:val="14"/>
    </w:rPr>
  </w:style>
  <w:style w:type="paragraph" w:customStyle="1" w:styleId="846">
    <w:name w:val="表左"/>
    <w:basedOn w:val="1"/>
    <w:semiHidden/>
    <w:qFormat/>
    <w:uiPriority w:val="0"/>
    <w:pPr>
      <w:overflowPunct w:val="0"/>
      <w:adjustRightInd w:val="0"/>
      <w:spacing w:line="280" w:lineRule="exact"/>
      <w:ind w:firstLine="0" w:firstLineChars="0"/>
      <w:jc w:val="left"/>
    </w:pPr>
    <w:rPr>
      <w:rFonts w:ascii="宋体" w:cs="Times New Roman"/>
      <w:color w:val="000000"/>
      <w:kern w:val="24"/>
      <w:sz w:val="18"/>
      <w:szCs w:val="20"/>
    </w:rPr>
  </w:style>
  <w:style w:type="paragraph" w:customStyle="1" w:styleId="847">
    <w:name w:val="表格五号"/>
    <w:basedOn w:val="1"/>
    <w:semiHidden/>
    <w:qFormat/>
    <w:uiPriority w:val="0"/>
    <w:pPr>
      <w:autoSpaceDE w:val="0"/>
      <w:autoSpaceDN w:val="0"/>
      <w:adjustRightInd w:val="0"/>
      <w:snapToGrid w:val="0"/>
      <w:spacing w:beforeLines="20" w:line="240" w:lineRule="auto"/>
      <w:ind w:firstLine="0" w:firstLineChars="0"/>
    </w:pPr>
    <w:rPr>
      <w:rFonts w:ascii="Arial" w:hAnsi="Arial" w:cs="Times New Roman"/>
      <w:kern w:val="0"/>
      <w:sz w:val="21"/>
      <w:lang w:val="zh-CN"/>
    </w:rPr>
  </w:style>
  <w:style w:type="paragraph" w:customStyle="1" w:styleId="848">
    <w:name w:val="样式 样式2 + (符号) 宋体 Char"/>
    <w:basedOn w:val="1"/>
    <w:qFormat/>
    <w:uiPriority w:val="0"/>
    <w:pPr>
      <w:adjustRightInd w:val="0"/>
      <w:snapToGrid w:val="0"/>
      <w:spacing w:line="440" w:lineRule="exact"/>
      <w:ind w:firstLine="480"/>
    </w:pPr>
    <w:rPr>
      <w:rFonts w:cs="Times New Roman"/>
      <w:szCs w:val="28"/>
    </w:rPr>
  </w:style>
  <w:style w:type="paragraph" w:customStyle="1" w:styleId="849">
    <w:name w:val="16"/>
    <w:basedOn w:val="1"/>
    <w:semiHidden/>
    <w:qFormat/>
    <w:uiPriority w:val="0"/>
    <w:pPr>
      <w:widowControl/>
      <w:snapToGrid w:val="0"/>
      <w:spacing w:before="100" w:beforeAutospacing="1" w:after="100" w:afterAutospacing="1" w:line="240" w:lineRule="auto"/>
      <w:ind w:firstLine="570" w:firstLineChars="0"/>
    </w:pPr>
    <w:rPr>
      <w:rFonts w:ascii="宋体" w:hAnsi="宋体" w:cs="Times New Roman"/>
      <w:spacing w:val="-4"/>
      <w:kern w:val="0"/>
      <w:sz w:val="28"/>
      <w:szCs w:val="20"/>
    </w:rPr>
  </w:style>
  <w:style w:type="paragraph" w:customStyle="1" w:styleId="850">
    <w:name w:val="表新13"/>
    <w:basedOn w:val="769"/>
    <w:semiHidden/>
    <w:qFormat/>
    <w:uiPriority w:val="0"/>
    <w:pPr>
      <w:widowControl/>
      <w:spacing w:line="260" w:lineRule="exact"/>
    </w:pPr>
    <w:rPr>
      <w:rFonts w:cs="宋体"/>
      <w:sz w:val="24"/>
      <w:szCs w:val="21"/>
    </w:rPr>
  </w:style>
  <w:style w:type="paragraph" w:customStyle="1" w:styleId="851">
    <w:name w:val="Char1 Char Char Char Char Char Char Char Char Char Char Char Char"/>
    <w:basedOn w:val="1"/>
    <w:qFormat/>
    <w:uiPriority w:val="0"/>
    <w:pPr>
      <w:spacing w:line="440" w:lineRule="exact"/>
      <w:ind w:firstLine="480"/>
    </w:pPr>
    <w:rPr>
      <w:rFonts w:cs="Times New Roman"/>
      <w:szCs w:val="20"/>
    </w:rPr>
  </w:style>
  <w:style w:type="character" w:customStyle="1" w:styleId="852">
    <w:name w:val="新标题4 Char"/>
    <w:basedOn w:val="722"/>
    <w:link w:val="853"/>
    <w:semiHidden/>
    <w:qFormat/>
    <w:locked/>
    <w:uiPriority w:val="0"/>
  </w:style>
  <w:style w:type="paragraph" w:customStyle="1" w:styleId="853">
    <w:name w:val="新标题4"/>
    <w:basedOn w:val="725"/>
    <w:link w:val="852"/>
    <w:semiHidden/>
    <w:qFormat/>
    <w:uiPriority w:val="0"/>
    <w:pPr>
      <w:keepLines/>
      <w:autoSpaceDE/>
      <w:autoSpaceDN/>
      <w:adjustRightInd/>
      <w:spacing w:after="0" w:line="360" w:lineRule="auto"/>
      <w:outlineLvl w:val="3"/>
    </w:pPr>
  </w:style>
  <w:style w:type="paragraph" w:customStyle="1" w:styleId="854">
    <w:name w:val="样式 标题 3标题3H3h33rd level第二层条头小标题小节标题标题 3 Char Char一海港标..."/>
    <w:basedOn w:val="5"/>
    <w:qFormat/>
    <w:uiPriority w:val="0"/>
    <w:pPr>
      <w:keepLines w:val="0"/>
      <w:tabs>
        <w:tab w:val="left" w:pos="720"/>
      </w:tabs>
      <w:adjustRightInd w:val="0"/>
      <w:spacing w:before="120" w:after="48" w:line="360" w:lineRule="exact"/>
      <w:ind w:left="720" w:hanging="720" w:firstLineChars="200"/>
      <w:jc w:val="left"/>
    </w:pPr>
    <w:rPr>
      <w:rFonts w:ascii="Batang" w:hAnsi="Batang" w:eastAsia="华文仿宋" w:cs="Garamond"/>
      <w:b w:val="0"/>
      <w:color w:val="000000"/>
      <w:kern w:val="0"/>
      <w:sz w:val="30"/>
    </w:rPr>
  </w:style>
  <w:style w:type="paragraph" w:customStyle="1" w:styleId="855">
    <w:name w:val="样式2－王鹏"/>
    <w:basedOn w:val="1"/>
    <w:qFormat/>
    <w:uiPriority w:val="0"/>
    <w:pPr>
      <w:autoSpaceDE w:val="0"/>
      <w:autoSpaceDN w:val="0"/>
      <w:adjustRightInd w:val="0"/>
      <w:snapToGrid w:val="0"/>
      <w:spacing w:line="300" w:lineRule="auto"/>
      <w:ind w:firstLine="0" w:firstLineChars="0"/>
      <w:jc w:val="center"/>
    </w:pPr>
    <w:rPr>
      <w:rFonts w:ascii="宋体" w:hAnsi="宋体" w:cs="Times New Roman"/>
      <w:kern w:val="0"/>
      <w:sz w:val="21"/>
    </w:rPr>
  </w:style>
  <w:style w:type="paragraph" w:customStyle="1" w:styleId="856">
    <w:name w:val="4表中文字"/>
    <w:basedOn w:val="1"/>
    <w:qFormat/>
    <w:uiPriority w:val="0"/>
    <w:pPr>
      <w:adjustRightInd w:val="0"/>
      <w:snapToGrid w:val="0"/>
      <w:spacing w:line="204" w:lineRule="auto"/>
      <w:ind w:firstLine="0" w:firstLineChars="0"/>
      <w:jc w:val="center"/>
    </w:pPr>
    <w:rPr>
      <w:rFonts w:ascii="仿宋_GB2312" w:hAnsi="宋体" w:eastAsia="仿宋_GB2312" w:cs="Times New Roman"/>
      <w:sz w:val="21"/>
      <w:szCs w:val="24"/>
      <w:lang w:val="en-GB"/>
    </w:rPr>
  </w:style>
  <w:style w:type="character" w:customStyle="1" w:styleId="857">
    <w:name w:val="表名 Char"/>
    <w:link w:val="858"/>
    <w:semiHidden/>
    <w:qFormat/>
    <w:locked/>
    <w:uiPriority w:val="0"/>
    <w:rPr>
      <w:rFonts w:ascii="宋体" w:hAnsi="宋体" w:eastAsia="宋体"/>
      <w:b/>
      <w:bCs/>
      <w:szCs w:val="21"/>
    </w:rPr>
  </w:style>
  <w:style w:type="paragraph" w:customStyle="1" w:styleId="858">
    <w:name w:val="表名"/>
    <w:basedOn w:val="1"/>
    <w:next w:val="1"/>
    <w:link w:val="857"/>
    <w:semiHidden/>
    <w:qFormat/>
    <w:uiPriority w:val="0"/>
    <w:pPr>
      <w:keepNext/>
      <w:spacing w:before="120" w:line="240" w:lineRule="auto"/>
      <w:ind w:firstLine="0" w:firstLineChars="0"/>
      <w:jc w:val="center"/>
    </w:pPr>
    <w:rPr>
      <w:rFonts w:ascii="宋体" w:hAnsi="宋体"/>
      <w:b/>
      <w:bCs/>
      <w:sz w:val="21"/>
    </w:rPr>
  </w:style>
  <w:style w:type="paragraph" w:customStyle="1" w:styleId="859">
    <w:name w:val="样式 正文1 + 段前: 0.1 行"/>
    <w:basedOn w:val="1"/>
    <w:qFormat/>
    <w:uiPriority w:val="0"/>
    <w:pPr>
      <w:snapToGrid w:val="0"/>
      <w:spacing w:beforeLines="10" w:line="440" w:lineRule="atLeast"/>
      <w:ind w:firstLine="567" w:firstLineChars="0"/>
    </w:pPr>
    <w:rPr>
      <w:rFonts w:cs="Times New Roman"/>
      <w:szCs w:val="20"/>
    </w:rPr>
  </w:style>
  <w:style w:type="paragraph" w:customStyle="1" w:styleId="860">
    <w:name w:val="xl32"/>
    <w:basedOn w:val="1"/>
    <w:qFormat/>
    <w:uiPriority w:val="0"/>
    <w:pPr>
      <w:widowControl/>
      <w:pBdr>
        <w:left w:val="single" w:color="auto" w:sz="4" w:space="0"/>
      </w:pBdr>
      <w:spacing w:before="100" w:beforeAutospacing="1" w:after="100" w:afterAutospacing="1" w:line="240" w:lineRule="auto"/>
      <w:ind w:firstLine="0" w:firstLineChars="0"/>
      <w:jc w:val="center"/>
    </w:pPr>
    <w:rPr>
      <w:rFonts w:ascii="Arial Unicode MS" w:hAnsi="Arial Unicode MS" w:eastAsia="Arial Unicode MS" w:cs="Times New Roman"/>
      <w:kern w:val="0"/>
      <w:szCs w:val="24"/>
    </w:rPr>
  </w:style>
  <w:style w:type="paragraph" w:customStyle="1" w:styleId="861">
    <w:name w:val="基准页眉样式"/>
    <w:basedOn w:val="34"/>
    <w:qFormat/>
    <w:uiPriority w:val="0"/>
    <w:pPr>
      <w:autoSpaceDE w:val="0"/>
      <w:autoSpaceDN w:val="0"/>
      <w:adjustRightInd w:val="0"/>
      <w:spacing w:after="0" w:line="240" w:lineRule="auto"/>
      <w:ind w:firstLine="0" w:firstLineChars="0"/>
      <w:jc w:val="center"/>
    </w:pPr>
    <w:rPr>
      <w:rFonts w:ascii="宋体" w:hAnsi="宋体" w:cs="Times New Roman"/>
      <w:color w:val="FF00FF"/>
      <w:sz w:val="21"/>
      <w:szCs w:val="20"/>
      <w:lang w:val="zh-CN"/>
    </w:rPr>
  </w:style>
  <w:style w:type="paragraph" w:customStyle="1" w:styleId="862">
    <w:name w:val="索引 31"/>
    <w:basedOn w:val="1"/>
    <w:next w:val="1"/>
    <w:qFormat/>
    <w:uiPriority w:val="0"/>
    <w:pPr>
      <w:spacing w:line="440" w:lineRule="exact"/>
      <w:ind w:left="750" w:hanging="250"/>
      <w:jc w:val="left"/>
    </w:pPr>
    <w:rPr>
      <w:rFonts w:ascii="Batang" w:hAnsi="Batang" w:cs="Batang"/>
      <w:spacing w:val="5"/>
      <w:kern w:val="0"/>
      <w:sz w:val="20"/>
      <w:szCs w:val="24"/>
    </w:rPr>
  </w:style>
  <w:style w:type="paragraph" w:customStyle="1" w:styleId="863">
    <w:name w:val="正文（1）"/>
    <w:basedOn w:val="21"/>
    <w:next w:val="86"/>
    <w:qFormat/>
    <w:uiPriority w:val="0"/>
    <w:pPr>
      <w:widowControl/>
      <w:adjustRightInd w:val="0"/>
      <w:snapToGrid w:val="0"/>
      <w:spacing w:line="480" w:lineRule="atLeast"/>
      <w:ind w:firstLine="480"/>
    </w:pPr>
    <w:rPr>
      <w:rFonts w:hAnsi="宋体" w:asciiTheme="minorHAnsi" w:eastAsiaTheme="minorEastAsia" w:cstheme="minorBidi"/>
      <w:sz w:val="24"/>
      <w:szCs w:val="22"/>
    </w:rPr>
  </w:style>
  <w:style w:type="character" w:customStyle="1" w:styleId="864">
    <w:name w:val="自定义表格 Char"/>
    <w:basedOn w:val="533"/>
    <w:link w:val="865"/>
    <w:semiHidden/>
    <w:qFormat/>
    <w:locked/>
    <w:uiPriority w:val="0"/>
    <w:rPr>
      <w:rFonts w:ascii="宋体" w:hAnsi="宋体" w:eastAsia="宋体"/>
      <w:szCs w:val="24"/>
    </w:rPr>
  </w:style>
  <w:style w:type="paragraph" w:customStyle="1" w:styleId="865">
    <w:name w:val="自定义表格"/>
    <w:basedOn w:val="534"/>
    <w:link w:val="864"/>
    <w:semiHidden/>
    <w:qFormat/>
    <w:uiPriority w:val="0"/>
    <w:pPr>
      <w:topLinePunct w:val="0"/>
      <w:adjustRightInd/>
      <w:snapToGrid/>
      <w:spacing w:line="240" w:lineRule="auto"/>
      <w:ind w:firstLine="0"/>
      <w:jc w:val="center"/>
    </w:pPr>
    <w:rPr>
      <w:rFonts w:ascii="宋体" w:hAnsi="宋体" w:eastAsia="宋体"/>
      <w:szCs w:val="24"/>
    </w:rPr>
  </w:style>
  <w:style w:type="paragraph" w:customStyle="1" w:styleId="866">
    <w:name w:val="newstitle"/>
    <w:basedOn w:val="1"/>
    <w:semiHidden/>
    <w:qFormat/>
    <w:uiPriority w:val="0"/>
    <w:pPr>
      <w:widowControl/>
      <w:spacing w:before="100" w:beforeAutospacing="1" w:after="100" w:afterAutospacing="1"/>
      <w:ind w:firstLine="0" w:firstLineChars="0"/>
      <w:jc w:val="left"/>
    </w:pPr>
    <w:rPr>
      <w:rFonts w:ascii="宋体" w:hAnsi="宋体" w:cs="Times New Roman"/>
      <w:kern w:val="0"/>
      <w:szCs w:val="20"/>
    </w:rPr>
  </w:style>
  <w:style w:type="paragraph" w:customStyle="1" w:styleId="867">
    <w:name w:val="CM18"/>
    <w:basedOn w:val="157"/>
    <w:next w:val="157"/>
    <w:qFormat/>
    <w:uiPriority w:val="0"/>
    <w:rPr>
      <w:rFonts w:ascii="黑体" w:hAnsi="Times New Roman" w:eastAsia="黑体" w:cs="Times New Roman"/>
      <w:color w:val="auto"/>
    </w:rPr>
  </w:style>
  <w:style w:type="paragraph" w:customStyle="1" w:styleId="868">
    <w:name w:val="项目符号1"/>
    <w:basedOn w:val="1"/>
    <w:qFormat/>
    <w:uiPriority w:val="0"/>
    <w:pPr>
      <w:tabs>
        <w:tab w:val="left" w:pos="935"/>
        <w:tab w:val="left" w:pos="1120"/>
      </w:tabs>
      <w:snapToGrid w:val="0"/>
      <w:spacing w:before="120" w:after="120" w:line="312" w:lineRule="auto"/>
      <w:ind w:left="935" w:firstLine="400" w:firstLineChars="0"/>
    </w:pPr>
    <w:rPr>
      <w:rFonts w:ascii="Arial" w:hAnsi="Arial" w:eastAsia="楷体_GB2312" w:cs="Times New Roman"/>
      <w:b/>
      <w:sz w:val="28"/>
      <w:szCs w:val="20"/>
    </w:rPr>
  </w:style>
  <w:style w:type="character" w:customStyle="1" w:styleId="869">
    <w:name w:val="论文正文+编号 Char"/>
    <w:link w:val="870"/>
    <w:qFormat/>
    <w:locked/>
    <w:uiPriority w:val="0"/>
    <w:rPr>
      <w:sz w:val="28"/>
      <w:szCs w:val="28"/>
    </w:rPr>
  </w:style>
  <w:style w:type="paragraph" w:customStyle="1" w:styleId="870">
    <w:name w:val="论文正文+编号"/>
    <w:basedOn w:val="457"/>
    <w:link w:val="869"/>
    <w:qFormat/>
    <w:uiPriority w:val="0"/>
    <w:pPr>
      <w:ind w:left="1259"/>
    </w:pPr>
    <w:rPr>
      <w:sz w:val="28"/>
      <w:szCs w:val="28"/>
    </w:rPr>
  </w:style>
  <w:style w:type="paragraph" w:customStyle="1" w:styleId="871">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872">
    <w:name w:val="表格样式2"/>
    <w:basedOn w:val="693"/>
    <w:qFormat/>
    <w:uiPriority w:val="0"/>
    <w:pPr>
      <w:spacing w:line="240" w:lineRule="auto"/>
      <w:ind w:left="-57" w:leftChars="0" w:right="-57" w:rightChars="0"/>
    </w:pPr>
    <w:rPr>
      <w:sz w:val="18"/>
      <w:szCs w:val="18"/>
    </w:rPr>
  </w:style>
  <w:style w:type="paragraph" w:customStyle="1" w:styleId="873">
    <w:name w:val="三级无标题条"/>
    <w:basedOn w:val="1"/>
    <w:qFormat/>
    <w:uiPriority w:val="0"/>
    <w:pPr>
      <w:spacing w:line="240" w:lineRule="auto"/>
      <w:ind w:firstLine="0" w:firstLineChars="0"/>
    </w:pPr>
    <w:rPr>
      <w:rFonts w:cs="Times New Roman"/>
      <w:sz w:val="21"/>
      <w:szCs w:val="20"/>
    </w:rPr>
  </w:style>
  <w:style w:type="paragraph" w:customStyle="1" w:styleId="874">
    <w:name w:val="xl44"/>
    <w:basedOn w:val="1"/>
    <w:semiHidden/>
    <w:qFormat/>
    <w:uiPriority w:val="0"/>
    <w:pPr>
      <w:widowControl/>
      <w:pBdr>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Times New Roman"/>
      <w:kern w:val="0"/>
      <w:szCs w:val="24"/>
    </w:rPr>
  </w:style>
  <w:style w:type="paragraph" w:customStyle="1" w:styleId="875">
    <w:name w:val="样式 Arial 小四 红色 紧缩量  0.2 磅 行距: 1.5 倍行距"/>
    <w:basedOn w:val="1"/>
    <w:qFormat/>
    <w:uiPriority w:val="0"/>
    <w:pPr>
      <w:ind w:firstLine="464"/>
    </w:pPr>
    <w:rPr>
      <w:rFonts w:ascii="Arial" w:hAnsi="Arial" w:eastAsia="楷体_GB2312" w:cs="Times New Roman"/>
      <w:color w:val="FF0000"/>
      <w:spacing w:val="-4"/>
      <w:szCs w:val="24"/>
    </w:rPr>
  </w:style>
  <w:style w:type="paragraph" w:customStyle="1" w:styleId="876">
    <w:name w:val="Char Char3 Char Char Char Char Char Char Char1"/>
    <w:basedOn w:val="1"/>
    <w:qFormat/>
    <w:uiPriority w:val="0"/>
    <w:pPr>
      <w:widowControl/>
      <w:spacing w:after="160" w:line="240" w:lineRule="exact"/>
      <w:ind w:firstLine="0" w:firstLineChars="0"/>
      <w:jc w:val="left"/>
    </w:pPr>
    <w:rPr>
      <w:rFonts w:ascii="Verdana" w:hAnsi="Verdana" w:cs="Times New Roman"/>
      <w:kern w:val="0"/>
      <w:sz w:val="20"/>
      <w:szCs w:val="20"/>
      <w:lang w:eastAsia="en-US"/>
    </w:rPr>
  </w:style>
  <w:style w:type="paragraph" w:customStyle="1" w:styleId="877">
    <w:name w:val="项目符号2"/>
    <w:basedOn w:val="868"/>
    <w:qFormat/>
    <w:uiPriority w:val="0"/>
    <w:pPr>
      <w:tabs>
        <w:tab w:val="left" w:pos="360"/>
        <w:tab w:val="left" w:pos="1275"/>
        <w:tab w:val="clear" w:pos="1120"/>
      </w:tabs>
      <w:ind w:left="850" w:hanging="1275"/>
    </w:pPr>
    <w:rPr>
      <w:b w:val="0"/>
    </w:rPr>
  </w:style>
  <w:style w:type="paragraph" w:customStyle="1" w:styleId="878">
    <w:name w:val="玮标题2 Char"/>
    <w:basedOn w:val="1"/>
    <w:next w:val="1"/>
    <w:semiHidden/>
    <w:qFormat/>
    <w:uiPriority w:val="0"/>
    <w:pPr>
      <w:keepNext/>
      <w:keepLines/>
      <w:adjustRightInd w:val="0"/>
      <w:spacing w:beforeLines="50" w:line="420" w:lineRule="exact"/>
      <w:ind w:firstLine="0" w:firstLineChars="0"/>
      <w:jc w:val="left"/>
      <w:outlineLvl w:val="1"/>
    </w:pPr>
    <w:rPr>
      <w:rFonts w:eastAsia="仿宋_GB2312" w:cs="Times New Roman"/>
      <w:b/>
      <w:bCs/>
      <w:sz w:val="30"/>
      <w:szCs w:val="28"/>
    </w:rPr>
  </w:style>
  <w:style w:type="character" w:customStyle="1" w:styleId="879">
    <w:name w:val="LT正文1 Char Char"/>
    <w:link w:val="880"/>
    <w:qFormat/>
    <w:locked/>
    <w:uiPriority w:val="0"/>
    <w:rPr>
      <w:sz w:val="24"/>
    </w:rPr>
  </w:style>
  <w:style w:type="paragraph" w:customStyle="1" w:styleId="880">
    <w:name w:val="LT正文1"/>
    <w:basedOn w:val="1"/>
    <w:next w:val="1"/>
    <w:link w:val="879"/>
    <w:qFormat/>
    <w:uiPriority w:val="0"/>
    <w:rPr>
      <w:rFonts w:asciiTheme="minorHAnsi" w:hAnsiTheme="minorHAnsi" w:eastAsiaTheme="minorEastAsia"/>
    </w:rPr>
  </w:style>
  <w:style w:type="paragraph" w:customStyle="1" w:styleId="881">
    <w:name w:val="1-表内"/>
    <w:basedOn w:val="817"/>
    <w:semiHidden/>
    <w:qFormat/>
    <w:uiPriority w:val="0"/>
  </w:style>
  <w:style w:type="paragraph" w:customStyle="1" w:styleId="882">
    <w:name w:val="图题7"/>
    <w:basedOn w:val="1"/>
    <w:semiHidden/>
    <w:qFormat/>
    <w:uiPriority w:val="0"/>
    <w:pPr>
      <w:adjustRightInd w:val="0"/>
      <w:snapToGrid w:val="0"/>
      <w:spacing w:line="240" w:lineRule="auto"/>
      <w:ind w:firstLine="533" w:firstLineChars="222"/>
      <w:jc w:val="center"/>
    </w:pPr>
    <w:rPr>
      <w:rFonts w:ascii="黑体" w:hAnsi="宋体" w:eastAsia="黑体" w:cs="Times New Roman"/>
      <w:kern w:val="0"/>
      <w:szCs w:val="24"/>
    </w:rPr>
  </w:style>
  <w:style w:type="paragraph" w:customStyle="1" w:styleId="883">
    <w:name w:val="样式 宋体 首行缩进:  2 字符"/>
    <w:basedOn w:val="1"/>
    <w:qFormat/>
    <w:uiPriority w:val="0"/>
    <w:pPr>
      <w:spacing w:before="120" w:after="120" w:line="400" w:lineRule="atLeast"/>
      <w:ind w:firstLine="0" w:firstLineChars="0"/>
    </w:pPr>
    <w:rPr>
      <w:rFonts w:ascii="宋体" w:hAnsi="宋体" w:cs="Times New Roman"/>
      <w:b/>
      <w:szCs w:val="20"/>
    </w:rPr>
  </w:style>
  <w:style w:type="character" w:customStyle="1" w:styleId="884">
    <w:name w:val="表体 Char"/>
    <w:basedOn w:val="133"/>
    <w:link w:val="885"/>
    <w:semiHidden/>
    <w:qFormat/>
    <w:locked/>
    <w:uiPriority w:val="0"/>
    <w:rPr>
      <w:rFonts w:ascii="仿宋_GB2312" w:eastAsia="仿宋_GB2312"/>
      <w:sz w:val="24"/>
    </w:rPr>
  </w:style>
  <w:style w:type="paragraph" w:customStyle="1" w:styleId="885">
    <w:name w:val="表体"/>
    <w:basedOn w:val="1"/>
    <w:link w:val="884"/>
    <w:semiHidden/>
    <w:qFormat/>
    <w:uiPriority w:val="0"/>
    <w:pPr>
      <w:widowControl/>
      <w:adjustRightInd w:val="0"/>
      <w:snapToGrid w:val="0"/>
      <w:spacing w:line="240" w:lineRule="atLeast"/>
      <w:ind w:firstLine="0" w:firstLineChars="0"/>
      <w:jc w:val="center"/>
    </w:pPr>
    <w:rPr>
      <w:rFonts w:ascii="仿宋_GB2312" w:eastAsia="仿宋_GB2312" w:hAnsiTheme="minorHAnsi"/>
    </w:rPr>
  </w:style>
  <w:style w:type="paragraph" w:customStyle="1" w:styleId="886">
    <w:name w:val="样式5 样式8"/>
    <w:basedOn w:val="1"/>
    <w:semiHidden/>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887">
    <w:name w:val="1-正文 Char"/>
    <w:link w:val="888"/>
    <w:semiHidden/>
    <w:qFormat/>
    <w:locked/>
    <w:uiPriority w:val="0"/>
    <w:rPr>
      <w:rFonts w:ascii="宋体" w:hAnsi="宋体" w:eastAsia="宋体"/>
      <w:szCs w:val="21"/>
    </w:rPr>
  </w:style>
  <w:style w:type="paragraph" w:customStyle="1" w:styleId="888">
    <w:name w:val="1-正文"/>
    <w:basedOn w:val="1"/>
    <w:link w:val="887"/>
    <w:semiHidden/>
    <w:qFormat/>
    <w:uiPriority w:val="0"/>
    <w:pPr>
      <w:ind w:firstLine="480"/>
    </w:pPr>
    <w:rPr>
      <w:rFonts w:ascii="宋体" w:hAnsi="宋体"/>
      <w:sz w:val="21"/>
    </w:rPr>
  </w:style>
  <w:style w:type="paragraph" w:customStyle="1" w:styleId="889">
    <w:name w:val="表格内容5"/>
    <w:basedOn w:val="1"/>
    <w:next w:val="1"/>
    <w:semiHidden/>
    <w:qFormat/>
    <w:uiPriority w:val="0"/>
    <w:pPr>
      <w:spacing w:before="40" w:after="60" w:line="200" w:lineRule="atLeast"/>
      <w:ind w:firstLine="0" w:firstLineChars="0"/>
      <w:jc w:val="left"/>
    </w:pPr>
    <w:rPr>
      <w:rFonts w:ascii="Arial" w:hAnsi="Arial" w:eastAsia="仿宋_GB2312" w:cs="Times New Roman"/>
      <w:kern w:val="0"/>
      <w:sz w:val="21"/>
      <w:szCs w:val="24"/>
    </w:rPr>
  </w:style>
  <w:style w:type="paragraph" w:customStyle="1" w:styleId="890">
    <w:name w:val="font10"/>
    <w:basedOn w:val="1"/>
    <w:qFormat/>
    <w:uiPriority w:val="0"/>
    <w:pPr>
      <w:widowControl/>
      <w:spacing w:before="100" w:beforeAutospacing="1" w:after="100" w:afterAutospacing="1"/>
      <w:ind w:firstLine="0" w:firstLineChars="0"/>
      <w:jc w:val="left"/>
    </w:pPr>
    <w:rPr>
      <w:rFonts w:ascii="宋体" w:hAnsi="宋体" w:cs="Arial Unicode MS"/>
      <w:kern w:val="0"/>
      <w:szCs w:val="24"/>
    </w:rPr>
  </w:style>
  <w:style w:type="character" w:customStyle="1" w:styleId="891">
    <w:name w:val="标题5 Char"/>
    <w:link w:val="892"/>
    <w:semiHidden/>
    <w:qFormat/>
    <w:locked/>
    <w:uiPriority w:val="0"/>
    <w:rPr>
      <w:b/>
      <w:bCs/>
      <w:sz w:val="24"/>
      <w:szCs w:val="28"/>
    </w:rPr>
  </w:style>
  <w:style w:type="paragraph" w:customStyle="1" w:styleId="892">
    <w:name w:val="标题5"/>
    <w:basedOn w:val="7"/>
    <w:link w:val="891"/>
    <w:semiHidden/>
    <w:qFormat/>
    <w:uiPriority w:val="0"/>
    <w:pPr>
      <w:keepLines/>
      <w:widowControl/>
      <w:autoSpaceDE/>
      <w:autoSpaceDN/>
      <w:adjustRightInd/>
    </w:pPr>
    <w:rPr>
      <w:rFonts w:asciiTheme="minorHAnsi" w:hAnsiTheme="minorHAnsi" w:eastAsiaTheme="minorEastAsia" w:cstheme="minorBidi"/>
      <w:bCs/>
      <w:sz w:val="24"/>
      <w:szCs w:val="28"/>
      <w:lang w:val="en-US"/>
    </w:rPr>
  </w:style>
  <w:style w:type="paragraph" w:customStyle="1" w:styleId="893">
    <w:name w:val="CM10"/>
    <w:basedOn w:val="157"/>
    <w:next w:val="157"/>
    <w:qFormat/>
    <w:uiPriority w:val="0"/>
    <w:pPr>
      <w:spacing w:line="468" w:lineRule="atLeast"/>
    </w:pPr>
    <w:rPr>
      <w:rFonts w:ascii="黑体" w:hAnsi="Times New Roman" w:eastAsia="黑体" w:cs="Times New Roman"/>
      <w:color w:val="auto"/>
    </w:rPr>
  </w:style>
  <w:style w:type="paragraph" w:customStyle="1" w:styleId="894">
    <w:name w:val="日期2"/>
    <w:basedOn w:val="1"/>
    <w:next w:val="1"/>
    <w:qFormat/>
    <w:uiPriority w:val="0"/>
    <w:pPr>
      <w:autoSpaceDE w:val="0"/>
      <w:autoSpaceDN w:val="0"/>
      <w:adjustRightInd w:val="0"/>
      <w:spacing w:line="240" w:lineRule="auto"/>
      <w:ind w:firstLine="0" w:firstLineChars="0"/>
    </w:pPr>
    <w:rPr>
      <w:rFonts w:ascii="楷体_GB2312" w:eastAsia="楷体_GB2312" w:cs="Times New Roman"/>
      <w:sz w:val="28"/>
      <w:szCs w:val="20"/>
    </w:rPr>
  </w:style>
  <w:style w:type="paragraph" w:customStyle="1" w:styleId="895">
    <w:name w:val="基准页脚样式"/>
    <w:basedOn w:val="34"/>
    <w:qFormat/>
    <w:uiPriority w:val="0"/>
    <w:pPr>
      <w:spacing w:after="0" w:line="320" w:lineRule="exact"/>
      <w:ind w:firstLine="0" w:firstLineChars="0"/>
      <w:jc w:val="center"/>
    </w:pPr>
    <w:rPr>
      <w:rFonts w:ascii="宋体" w:cs="Times New Roman"/>
      <w:sz w:val="18"/>
      <w:szCs w:val="24"/>
    </w:rPr>
  </w:style>
  <w:style w:type="paragraph" w:customStyle="1" w:styleId="896">
    <w:name w:val="样式 标题 2 + 宋体 行距: 固定值 30 磅"/>
    <w:basedOn w:val="4"/>
    <w:semiHidden/>
    <w:qFormat/>
    <w:uiPriority w:val="0"/>
    <w:pPr>
      <w:spacing w:before="140" w:after="140" w:line="520" w:lineRule="exact"/>
    </w:pPr>
    <w:rPr>
      <w:rFonts w:ascii="Gungsuh" w:hAnsi="Gungsuh" w:cs="宋体"/>
      <w:sz w:val="28"/>
      <w:szCs w:val="24"/>
    </w:rPr>
  </w:style>
  <w:style w:type="paragraph" w:customStyle="1" w:styleId="897">
    <w:name w:val="ch中文正文"/>
    <w:semiHidden/>
    <w:qFormat/>
    <w:uiPriority w:val="0"/>
    <w:pPr>
      <w:spacing w:beforeLines="50" w:line="360" w:lineRule="auto"/>
      <w:ind w:firstLine="200" w:firstLineChars="200"/>
    </w:pPr>
    <w:rPr>
      <w:rFonts w:ascii="Times New Roman" w:hAnsi="Times New Roman" w:eastAsia="宋体" w:cs="Times New Roman"/>
      <w:sz w:val="24"/>
      <w:lang w:val="en-US" w:eastAsia="zh-CN" w:bidi="ar-SA"/>
    </w:rPr>
  </w:style>
  <w:style w:type="character" w:customStyle="1" w:styleId="898">
    <w:name w:val="dxj表头 Char Char"/>
    <w:link w:val="899"/>
    <w:qFormat/>
    <w:locked/>
    <w:uiPriority w:val="0"/>
    <w:rPr>
      <w:rFonts w:ascii="黑体" w:hAnsi="黑体" w:eastAsia="黑体" w:cs="宋体"/>
      <w:szCs w:val="24"/>
    </w:rPr>
  </w:style>
  <w:style w:type="paragraph" w:customStyle="1" w:styleId="899">
    <w:name w:val="dxj表头"/>
    <w:basedOn w:val="1"/>
    <w:link w:val="898"/>
    <w:qFormat/>
    <w:uiPriority w:val="0"/>
    <w:pPr>
      <w:adjustRightInd w:val="0"/>
      <w:snapToGrid w:val="0"/>
      <w:ind w:firstLine="0" w:firstLineChars="0"/>
      <w:jc w:val="center"/>
    </w:pPr>
    <w:rPr>
      <w:rFonts w:ascii="黑体" w:hAnsi="黑体" w:eastAsia="黑体" w:cs="宋体"/>
      <w:sz w:val="21"/>
      <w:szCs w:val="24"/>
    </w:rPr>
  </w:style>
  <w:style w:type="paragraph" w:customStyle="1" w:styleId="900">
    <w:name w:val="表格内格式"/>
    <w:basedOn w:val="1"/>
    <w:semiHidden/>
    <w:qFormat/>
    <w:uiPriority w:val="0"/>
    <w:pPr>
      <w:spacing w:line="240" w:lineRule="exact"/>
      <w:ind w:firstLine="0" w:firstLineChars="0"/>
      <w:jc w:val="center"/>
    </w:pPr>
    <w:rPr>
      <w:rFonts w:ascii="宋体" w:hAnsi="宋体" w:cs="Times New Roman"/>
      <w:sz w:val="21"/>
    </w:rPr>
  </w:style>
  <w:style w:type="paragraph" w:customStyle="1" w:styleId="901">
    <w:name w:val="Char Char1 Char Char1 Char Char Char Char"/>
    <w:basedOn w:val="1"/>
    <w:qFormat/>
    <w:uiPriority w:val="0"/>
    <w:pPr>
      <w:spacing w:line="240" w:lineRule="auto"/>
      <w:ind w:firstLine="0" w:firstLineChars="0"/>
    </w:pPr>
    <w:rPr>
      <w:rFonts w:ascii="Tahoma" w:hAnsi="Tahoma" w:cs="Times New Roman"/>
      <w:szCs w:val="20"/>
    </w:rPr>
  </w:style>
  <w:style w:type="paragraph" w:customStyle="1" w:styleId="902">
    <w:name w:val="xl127"/>
    <w:basedOn w:val="1"/>
    <w:semiHidden/>
    <w:qFormat/>
    <w:uiPriority w:val="0"/>
    <w:pPr>
      <w:widowControl/>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903">
    <w:name w:val="样式 标题 1 + 非加粗 行距: 固定值 28 磅"/>
    <w:basedOn w:val="3"/>
    <w:semiHidden/>
    <w:qFormat/>
    <w:uiPriority w:val="0"/>
    <w:pPr>
      <w:keepNext w:val="0"/>
      <w:keepLines w:val="0"/>
      <w:pageBreakBefore/>
      <w:spacing w:line="600" w:lineRule="exact"/>
      <w:jc w:val="left"/>
    </w:pPr>
    <w:rPr>
      <w:rFonts w:ascii="宋体" w:hAnsi="宋体" w:eastAsia="宋体" w:cs="宋体"/>
      <w:bCs w:val="0"/>
      <w:kern w:val="2"/>
      <w:sz w:val="24"/>
      <w:szCs w:val="24"/>
    </w:rPr>
  </w:style>
  <w:style w:type="paragraph" w:customStyle="1" w:styleId="904">
    <w:name w:val="xl54"/>
    <w:basedOn w:val="1"/>
    <w:semiHidden/>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s="Times New Roman"/>
      <w:kern w:val="0"/>
      <w:sz w:val="21"/>
    </w:rPr>
  </w:style>
  <w:style w:type="paragraph" w:customStyle="1" w:styleId="905">
    <w:name w:val="四级"/>
    <w:basedOn w:val="6"/>
    <w:semiHidden/>
    <w:qFormat/>
    <w:uiPriority w:val="0"/>
    <w:pPr>
      <w:tabs>
        <w:tab w:val="left" w:pos="0"/>
        <w:tab w:val="left" w:pos="2740"/>
      </w:tabs>
      <w:adjustRightInd w:val="0"/>
      <w:spacing w:beforeLines="50"/>
      <w:ind w:left="2740" w:hanging="420"/>
      <w:jc w:val="left"/>
    </w:pPr>
    <w:rPr>
      <w:rFonts w:eastAsia="宋体" w:cs="Times New Roman"/>
      <w:bCs w:val="0"/>
      <w:kern w:val="0"/>
      <w:sz w:val="21"/>
      <w:szCs w:val="24"/>
    </w:rPr>
  </w:style>
  <w:style w:type="character" w:customStyle="1" w:styleId="906">
    <w:name w:val="样式 标题 1 + 宋体 小四 加粗 Char1"/>
    <w:basedOn w:val="133"/>
    <w:link w:val="907"/>
    <w:semiHidden/>
    <w:qFormat/>
    <w:locked/>
    <w:uiPriority w:val="0"/>
    <w:rPr>
      <w:rFonts w:ascii="Gungsuh" w:hAnsi="Gungsuh" w:eastAsia="黑体"/>
      <w:b/>
      <w:bCs/>
      <w:sz w:val="30"/>
      <w:szCs w:val="28"/>
    </w:rPr>
  </w:style>
  <w:style w:type="paragraph" w:customStyle="1" w:styleId="907">
    <w:name w:val="样式 标题 1 + 宋体 小四 加粗"/>
    <w:basedOn w:val="3"/>
    <w:link w:val="906"/>
    <w:semiHidden/>
    <w:qFormat/>
    <w:uiPriority w:val="0"/>
    <w:pPr>
      <w:keepLines w:val="0"/>
      <w:pageBreakBefore/>
      <w:spacing w:line="600" w:lineRule="exact"/>
    </w:pPr>
    <w:rPr>
      <w:rFonts w:ascii="Gungsuh" w:hAnsi="Gungsuh" w:cstheme="minorBidi"/>
      <w:kern w:val="2"/>
      <w:sz w:val="30"/>
      <w:szCs w:val="28"/>
    </w:rPr>
  </w:style>
  <w:style w:type="paragraph" w:customStyle="1" w:styleId="908">
    <w:name w:val="正式"/>
    <w:basedOn w:val="1"/>
    <w:semiHidden/>
    <w:qFormat/>
    <w:uiPriority w:val="0"/>
    <w:pPr>
      <w:spacing w:beforeLines="50" w:line="480" w:lineRule="auto"/>
    </w:pPr>
    <w:rPr>
      <w:rFonts w:cs="Times New Roman"/>
      <w:szCs w:val="24"/>
    </w:rPr>
  </w:style>
  <w:style w:type="paragraph" w:customStyle="1" w:styleId="909">
    <w:name w:val="xl3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910">
    <w:name w:val="样式 样式 表格 + (中文) 黑体 + 行距: 1.5 倍行距"/>
    <w:basedOn w:val="1"/>
    <w:semiHidden/>
    <w:qFormat/>
    <w:uiPriority w:val="0"/>
    <w:pPr>
      <w:tabs>
        <w:tab w:val="left" w:pos="1680"/>
        <w:tab w:val="left" w:pos="3465"/>
      </w:tabs>
      <w:adjustRightInd w:val="0"/>
      <w:ind w:firstLine="0" w:firstLineChars="0"/>
      <w:jc w:val="center"/>
    </w:pPr>
    <w:rPr>
      <w:rFonts w:eastAsia="Times New Roman" w:cs="宋体"/>
      <w:color w:val="000000"/>
      <w:spacing w:val="-8"/>
      <w:sz w:val="18"/>
      <w:szCs w:val="20"/>
    </w:rPr>
  </w:style>
  <w:style w:type="paragraph" w:customStyle="1" w:styleId="911">
    <w:name w:val="Char Char Char Char Char Char Char Char Char Char Char Char Char1"/>
    <w:basedOn w:val="1"/>
    <w:semiHidden/>
    <w:qFormat/>
    <w:uiPriority w:val="0"/>
    <w:rPr>
      <w:rFonts w:ascii="宋体" w:hAnsi="宋体" w:cs="宋体"/>
      <w:sz w:val="26"/>
      <w:szCs w:val="26"/>
    </w:rPr>
  </w:style>
  <w:style w:type="paragraph" w:customStyle="1" w:styleId="912">
    <w:name w:val="Char Char Char Char1"/>
    <w:basedOn w:val="1"/>
    <w:semiHidden/>
    <w:qFormat/>
    <w:uiPriority w:val="0"/>
    <w:pPr>
      <w:spacing w:line="240" w:lineRule="auto"/>
      <w:ind w:firstLine="0" w:firstLineChars="0"/>
    </w:pPr>
    <w:rPr>
      <w:rFonts w:hAnsi="宋体" w:cs="Times New Roman"/>
      <w:sz w:val="21"/>
    </w:rPr>
  </w:style>
  <w:style w:type="paragraph" w:customStyle="1" w:styleId="913">
    <w:name w:val="样式 标题 4 + 行距: 1.5 倍行距"/>
    <w:basedOn w:val="6"/>
    <w:semiHidden/>
    <w:qFormat/>
    <w:uiPriority w:val="0"/>
    <w:rPr>
      <w:rFonts w:ascii="宋体" w:hAnsi="宋体" w:eastAsia="宋体" w:cs="宋体"/>
      <w:szCs w:val="20"/>
    </w:rPr>
  </w:style>
  <w:style w:type="paragraph" w:customStyle="1" w:styleId="914">
    <w:name w:val="样式11"/>
    <w:basedOn w:val="55"/>
    <w:semiHidden/>
    <w:qFormat/>
    <w:uiPriority w:val="0"/>
    <w:pPr>
      <w:pBdr>
        <w:top w:val="single" w:color="auto" w:sz="12" w:space="1"/>
      </w:pBdr>
      <w:spacing w:line="360" w:lineRule="auto"/>
      <w:ind w:firstLine="0" w:firstLineChars="0"/>
    </w:pPr>
    <w:rPr>
      <w:rFonts w:ascii="宋体" w:hAnsi="宋体" w:cs="Times New Roman"/>
    </w:rPr>
  </w:style>
  <w:style w:type="paragraph" w:customStyle="1" w:styleId="915">
    <w:name w:val="公式"/>
    <w:basedOn w:val="1"/>
    <w:next w:val="1"/>
    <w:semiHidden/>
    <w:qFormat/>
    <w:uiPriority w:val="0"/>
    <w:pPr>
      <w:spacing w:line="240" w:lineRule="auto"/>
      <w:ind w:firstLine="0" w:firstLineChars="0"/>
      <w:jc w:val="center"/>
    </w:pPr>
    <w:rPr>
      <w:rFonts w:ascii="宋体" w:hAnsi="宋体" w:cs="宋体"/>
      <w:sz w:val="21"/>
    </w:rPr>
  </w:style>
  <w:style w:type="paragraph" w:customStyle="1" w:styleId="916">
    <w:name w:val="项目符号"/>
    <w:basedOn w:val="1"/>
    <w:semiHidden/>
    <w:qFormat/>
    <w:uiPriority w:val="0"/>
    <w:pPr>
      <w:tabs>
        <w:tab w:val="left" w:pos="0"/>
      </w:tabs>
      <w:overflowPunct w:val="0"/>
      <w:snapToGrid w:val="0"/>
      <w:spacing w:line="480" w:lineRule="exact"/>
      <w:ind w:left="567" w:hanging="567"/>
    </w:pPr>
    <w:rPr>
      <w:rFonts w:ascii="Arial" w:hAnsi="Arial" w:eastAsia="仿宋_GB2312" w:cs="Times New Roman"/>
      <w:sz w:val="28"/>
      <w:szCs w:val="20"/>
    </w:rPr>
  </w:style>
  <w:style w:type="paragraph" w:customStyle="1" w:styleId="917">
    <w:name w:val="样式 样式4 + 段前: 0.5 行 段后: 0.5 行"/>
    <w:basedOn w:val="830"/>
    <w:semiHidden/>
    <w:qFormat/>
    <w:uiPriority w:val="0"/>
    <w:pPr>
      <w:tabs>
        <w:tab w:val="left" w:pos="1086"/>
        <w:tab w:val="clear" w:pos="1296"/>
      </w:tabs>
      <w:spacing w:beforeLines="20"/>
      <w:ind w:left="1086" w:hanging="576"/>
    </w:pPr>
    <w:rPr>
      <w:rFonts w:hAnsi="宋体"/>
      <w:bCs/>
      <w:sz w:val="21"/>
      <w:szCs w:val="20"/>
    </w:rPr>
  </w:style>
  <w:style w:type="character" w:customStyle="1" w:styleId="918">
    <w:name w:val="正文段落 Char"/>
    <w:link w:val="919"/>
    <w:semiHidden/>
    <w:qFormat/>
    <w:locked/>
    <w:uiPriority w:val="0"/>
    <w:rPr>
      <w:rFonts w:ascii="宋体" w:hAnsi="宋体" w:eastAsia="宋体"/>
      <w:bCs/>
      <w:snapToGrid w:val="0"/>
      <w:color w:val="000000"/>
      <w:szCs w:val="28"/>
    </w:rPr>
  </w:style>
  <w:style w:type="paragraph" w:customStyle="1" w:styleId="919">
    <w:name w:val="正文段落"/>
    <w:basedOn w:val="1"/>
    <w:link w:val="918"/>
    <w:semiHidden/>
    <w:qFormat/>
    <w:uiPriority w:val="0"/>
    <w:pPr>
      <w:topLinePunct/>
      <w:autoSpaceDN w:val="0"/>
      <w:adjustRightInd w:val="0"/>
      <w:snapToGrid w:val="0"/>
      <w:ind w:right="210" w:rightChars="100" w:firstLine="473" w:firstLineChars="225"/>
    </w:pPr>
    <w:rPr>
      <w:rFonts w:ascii="宋体" w:hAnsi="宋体"/>
      <w:bCs/>
      <w:snapToGrid w:val="0"/>
      <w:color w:val="000000"/>
      <w:sz w:val="21"/>
      <w:szCs w:val="28"/>
    </w:rPr>
  </w:style>
  <w:style w:type="paragraph" w:customStyle="1" w:styleId="920">
    <w:name w:val="Char11"/>
    <w:basedOn w:val="1"/>
    <w:semiHidden/>
    <w:qFormat/>
    <w:uiPriority w:val="0"/>
    <w:rPr>
      <w:rFonts w:ascii="宋体" w:hAnsi="宋体" w:cs="宋体"/>
      <w:sz w:val="21"/>
    </w:rPr>
  </w:style>
  <w:style w:type="paragraph" w:customStyle="1" w:styleId="921">
    <w:name w:val="表头名称"/>
    <w:basedOn w:val="21"/>
    <w:semiHidden/>
    <w:qFormat/>
    <w:uiPriority w:val="0"/>
    <w:pPr>
      <w:autoSpaceDE w:val="0"/>
      <w:autoSpaceDN w:val="0"/>
      <w:adjustRightInd w:val="0"/>
      <w:spacing w:line="360" w:lineRule="auto"/>
      <w:ind w:firstLine="0" w:firstLineChars="0"/>
      <w:jc w:val="center"/>
    </w:pPr>
    <w:rPr>
      <w:rFonts w:ascii="宋体" w:hAnsi="宋体" w:eastAsiaTheme="minorEastAsia" w:cstheme="minorBidi"/>
      <w:szCs w:val="21"/>
    </w:rPr>
  </w:style>
  <w:style w:type="paragraph" w:customStyle="1" w:styleId="922">
    <w:name w:val="表内"/>
    <w:basedOn w:val="34"/>
    <w:semiHidden/>
    <w:qFormat/>
    <w:uiPriority w:val="0"/>
    <w:pPr>
      <w:spacing w:after="0" w:line="240" w:lineRule="auto"/>
      <w:ind w:left="-50" w:leftChars="-50" w:right="-50" w:rightChars="-50" w:firstLine="0" w:firstLineChars="0"/>
      <w:jc w:val="center"/>
    </w:pPr>
    <w:rPr>
      <w:rFonts w:hAnsi="宋体" w:cs="Times New Roman"/>
      <w:sz w:val="21"/>
    </w:rPr>
  </w:style>
  <w:style w:type="paragraph" w:customStyle="1" w:styleId="923">
    <w:name w:val="五黑居中"/>
    <w:basedOn w:val="1"/>
    <w:semiHidden/>
    <w:qFormat/>
    <w:uiPriority w:val="0"/>
    <w:pPr>
      <w:snapToGrid w:val="0"/>
      <w:spacing w:line="240" w:lineRule="auto"/>
      <w:ind w:firstLine="0" w:firstLineChars="0"/>
      <w:jc w:val="center"/>
    </w:pPr>
    <w:rPr>
      <w:rFonts w:ascii="黑体" w:eastAsia="黑体" w:cs="宋体-18030"/>
      <w:sz w:val="21"/>
    </w:rPr>
  </w:style>
  <w:style w:type="paragraph" w:customStyle="1" w:styleId="924">
    <w:name w:val="通州正文"/>
    <w:next w:val="1"/>
    <w:semiHidden/>
    <w:qFormat/>
    <w:uiPriority w:val="0"/>
    <w:pPr>
      <w:spacing w:line="360" w:lineRule="auto"/>
      <w:ind w:firstLine="480"/>
    </w:pPr>
    <w:rPr>
      <w:rFonts w:ascii="宋体" w:hAnsi="宋体" w:eastAsia="宋体" w:cs="Times New Roman"/>
      <w:kern w:val="2"/>
      <w:sz w:val="24"/>
      <w:szCs w:val="24"/>
      <w:lang w:val="en-US" w:eastAsia="zh-CN" w:bidi="ar-SA"/>
    </w:rPr>
  </w:style>
  <w:style w:type="character" w:customStyle="1" w:styleId="925">
    <w:name w:val="TBBT Char"/>
    <w:basedOn w:val="133"/>
    <w:link w:val="926"/>
    <w:semiHidden/>
    <w:qFormat/>
    <w:locked/>
    <w:uiPriority w:val="0"/>
    <w:rPr>
      <w:rFonts w:ascii="宋体" w:hAnsi="宋体" w:eastAsia="宋体" w:cs="宋体"/>
      <w:b/>
      <w:bCs/>
      <w:sz w:val="24"/>
      <w:szCs w:val="24"/>
    </w:rPr>
  </w:style>
  <w:style w:type="paragraph" w:customStyle="1" w:styleId="926">
    <w:name w:val="TBBT"/>
    <w:basedOn w:val="646"/>
    <w:link w:val="925"/>
    <w:semiHidden/>
    <w:qFormat/>
    <w:uiPriority w:val="0"/>
    <w:pPr>
      <w:ind w:firstLine="0" w:firstLineChars="0"/>
      <w:jc w:val="center"/>
    </w:pPr>
    <w:rPr>
      <w:rFonts w:ascii="宋体" w:hAnsi="宋体" w:cs="宋体"/>
      <w:b/>
      <w:bCs/>
    </w:rPr>
  </w:style>
  <w:style w:type="paragraph" w:customStyle="1" w:styleId="927">
    <w:name w:val="样式 首行缩进:  0.77 厘米 行距: 固定值 20 磅4"/>
    <w:basedOn w:val="1"/>
    <w:semiHidden/>
    <w:qFormat/>
    <w:uiPriority w:val="0"/>
    <w:pPr>
      <w:ind w:firstLine="435" w:firstLineChars="0"/>
    </w:pPr>
    <w:rPr>
      <w:rFonts w:cs="宋体"/>
      <w:szCs w:val="20"/>
    </w:rPr>
  </w:style>
  <w:style w:type="paragraph" w:customStyle="1" w:styleId="928">
    <w:name w:val="mulu2"/>
    <w:basedOn w:val="1"/>
    <w:semiHidden/>
    <w:qFormat/>
    <w:uiPriority w:val="0"/>
    <w:pPr>
      <w:spacing w:beforeLines="50"/>
      <w:ind w:firstLine="0" w:firstLineChars="0"/>
    </w:pPr>
    <w:rPr>
      <w:rFonts w:hAnsi="宋体" w:cs="Times New Roman"/>
      <w:b/>
      <w:bCs/>
      <w:sz w:val="21"/>
    </w:rPr>
  </w:style>
  <w:style w:type="paragraph" w:customStyle="1" w:styleId="929">
    <w:name w:val="表格文字1"/>
    <w:basedOn w:val="1"/>
    <w:semiHidden/>
    <w:qFormat/>
    <w:uiPriority w:val="0"/>
    <w:pPr>
      <w:autoSpaceDE w:val="0"/>
      <w:autoSpaceDN w:val="0"/>
      <w:adjustRightInd w:val="0"/>
      <w:snapToGrid w:val="0"/>
      <w:spacing w:line="240" w:lineRule="auto"/>
      <w:ind w:firstLine="0" w:firstLineChars="0"/>
      <w:jc w:val="center"/>
    </w:pPr>
    <w:rPr>
      <w:rFonts w:ascii="宋体" w:hAnsi="宋体" w:cs="Times New Roman"/>
      <w:kern w:val="0"/>
      <w:sz w:val="21"/>
      <w:szCs w:val="20"/>
    </w:rPr>
  </w:style>
  <w:style w:type="paragraph" w:customStyle="1" w:styleId="930">
    <w:name w:val="ZW1"/>
    <w:basedOn w:val="1"/>
    <w:semiHidden/>
    <w:qFormat/>
    <w:uiPriority w:val="0"/>
    <w:pPr>
      <w:spacing w:line="312" w:lineRule="auto"/>
      <w:ind w:firstLine="480"/>
    </w:pPr>
    <w:rPr>
      <w:rFonts w:cs="宋体"/>
      <w:szCs w:val="24"/>
    </w:rPr>
  </w:style>
  <w:style w:type="paragraph" w:customStyle="1" w:styleId="931">
    <w:name w:val="BT1"/>
    <w:basedOn w:val="3"/>
    <w:semiHidden/>
    <w:qFormat/>
    <w:uiPriority w:val="0"/>
    <w:pPr>
      <w:keepNext w:val="0"/>
      <w:keepLines w:val="0"/>
      <w:pageBreakBefore/>
      <w:jc w:val="center"/>
    </w:pPr>
    <w:rPr>
      <w:rFonts w:eastAsia="宋体"/>
      <w:sz w:val="28"/>
    </w:rPr>
  </w:style>
  <w:style w:type="paragraph" w:customStyle="1" w:styleId="932">
    <w:name w:val="表格内"/>
    <w:basedOn w:val="1"/>
    <w:qFormat/>
    <w:uiPriority w:val="0"/>
    <w:pPr>
      <w:adjustRightInd w:val="0"/>
      <w:spacing w:line="240" w:lineRule="atLeast"/>
      <w:ind w:firstLine="0" w:firstLineChars="0"/>
      <w:jc w:val="center"/>
    </w:pPr>
    <w:rPr>
      <w:rFonts w:ascii="宋体" w:cs="Times New Roman"/>
      <w:kern w:val="0"/>
      <w:sz w:val="28"/>
      <w:szCs w:val="20"/>
    </w:rPr>
  </w:style>
  <w:style w:type="paragraph" w:customStyle="1" w:styleId="933">
    <w:name w:val="自定义缩进"/>
    <w:basedOn w:val="1"/>
    <w:qFormat/>
    <w:uiPriority w:val="0"/>
    <w:pPr>
      <w:spacing w:line="480" w:lineRule="atLeast"/>
      <w:ind w:firstLine="480"/>
      <w:jc w:val="left"/>
    </w:pPr>
    <w:rPr>
      <w:rFonts w:cs="Times New Roman"/>
      <w:color w:val="FF0000"/>
      <w:szCs w:val="24"/>
    </w:rPr>
  </w:style>
  <w:style w:type="paragraph" w:customStyle="1" w:styleId="934">
    <w:name w:val="xl67"/>
    <w:basedOn w:val="1"/>
    <w:semiHidden/>
    <w:qFormat/>
    <w:uiPriority w:val="0"/>
    <w:pPr>
      <w:widowControl/>
      <w:pBdr>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935">
    <w:name w:val="xl88"/>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right"/>
    </w:pPr>
    <w:rPr>
      <w:rFonts w:cs="Times New Roman"/>
      <w:kern w:val="0"/>
      <w:sz w:val="21"/>
    </w:rPr>
  </w:style>
  <w:style w:type="paragraph" w:customStyle="1" w:styleId="936">
    <w:name w:val="BT2"/>
    <w:basedOn w:val="4"/>
    <w:semiHidden/>
    <w:qFormat/>
    <w:uiPriority w:val="0"/>
    <w:rPr>
      <w:rFonts w:eastAsia="宋体"/>
      <w:sz w:val="24"/>
    </w:rPr>
  </w:style>
  <w:style w:type="paragraph" w:customStyle="1" w:styleId="937">
    <w:name w:val="xl109"/>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938">
    <w:name w:val="BT3"/>
    <w:basedOn w:val="5"/>
    <w:semiHidden/>
    <w:qFormat/>
    <w:uiPriority w:val="0"/>
    <w:pPr>
      <w:spacing w:line="412" w:lineRule="auto"/>
    </w:pPr>
    <w:rPr>
      <w:rFonts w:ascii="黑体" w:hAnsi="宋体" w:eastAsia="宋体"/>
      <w:szCs w:val="24"/>
      <w:lang w:val="zh-CN"/>
    </w:rPr>
  </w:style>
  <w:style w:type="paragraph" w:customStyle="1" w:styleId="939">
    <w:name w:val="3 级样式"/>
    <w:basedOn w:val="5"/>
    <w:qFormat/>
    <w:uiPriority w:val="0"/>
    <w:pPr>
      <w:tabs>
        <w:tab w:val="left" w:pos="720"/>
      </w:tabs>
      <w:spacing w:beforeLines="20" w:afterLines="30"/>
      <w:ind w:left="720" w:hanging="720"/>
      <w:jc w:val="left"/>
    </w:pPr>
    <w:rPr>
      <w:rFonts w:cs="宋体"/>
      <w:b w:val="0"/>
      <w:bCs w:val="0"/>
      <w:color w:val="000000"/>
      <w:kern w:val="28"/>
      <w:szCs w:val="28"/>
    </w:rPr>
  </w:style>
  <w:style w:type="paragraph" w:customStyle="1" w:styleId="940">
    <w:name w:val="ZW"/>
    <w:basedOn w:val="1"/>
    <w:semiHidden/>
    <w:qFormat/>
    <w:uiPriority w:val="0"/>
    <w:pPr>
      <w:adjustRightInd w:val="0"/>
      <w:spacing w:line="300" w:lineRule="auto"/>
    </w:pPr>
    <w:rPr>
      <w:rFonts w:cs="宋体"/>
      <w:szCs w:val="24"/>
    </w:rPr>
  </w:style>
  <w:style w:type="paragraph" w:customStyle="1" w:styleId="941">
    <w:name w:val="xl110"/>
    <w:basedOn w:val="1"/>
    <w:semiHidden/>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942">
    <w:name w:val="font12"/>
    <w:basedOn w:val="1"/>
    <w:semiHidden/>
    <w:qFormat/>
    <w:uiPriority w:val="0"/>
    <w:pPr>
      <w:widowControl/>
      <w:spacing w:before="100" w:beforeAutospacing="1" w:after="100" w:afterAutospacing="1" w:line="240" w:lineRule="auto"/>
      <w:ind w:firstLine="0" w:firstLineChars="0"/>
      <w:jc w:val="left"/>
    </w:pPr>
    <w:rPr>
      <w:rFonts w:cs="Times New Roman"/>
      <w:color w:val="0000FF"/>
      <w:kern w:val="0"/>
      <w:sz w:val="21"/>
    </w:rPr>
  </w:style>
  <w:style w:type="paragraph" w:customStyle="1" w:styleId="943">
    <w:name w:val="xl66"/>
    <w:basedOn w:val="1"/>
    <w:semiHidden/>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character" w:customStyle="1" w:styleId="944">
    <w:name w:val="正5 Char"/>
    <w:basedOn w:val="133"/>
    <w:link w:val="945"/>
    <w:semiHidden/>
    <w:qFormat/>
    <w:locked/>
    <w:uiPriority w:val="0"/>
    <w:rPr>
      <w:rFonts w:ascii="宋体" w:hAnsi="宋体" w:eastAsia="宋体"/>
      <w:color w:val="000000"/>
      <w:sz w:val="24"/>
      <w:szCs w:val="24"/>
    </w:rPr>
  </w:style>
  <w:style w:type="paragraph" w:customStyle="1" w:styleId="945">
    <w:name w:val="正5"/>
    <w:basedOn w:val="1"/>
    <w:link w:val="944"/>
    <w:semiHidden/>
    <w:qFormat/>
    <w:uiPriority w:val="0"/>
    <w:pPr>
      <w:spacing w:line="460" w:lineRule="exact"/>
    </w:pPr>
    <w:rPr>
      <w:rFonts w:ascii="宋体" w:hAnsi="宋体"/>
      <w:color w:val="000000"/>
      <w:szCs w:val="24"/>
    </w:rPr>
  </w:style>
  <w:style w:type="paragraph" w:customStyle="1" w:styleId="946">
    <w:name w:val="正文缩进快"/>
    <w:basedOn w:val="1"/>
    <w:qFormat/>
    <w:uiPriority w:val="0"/>
    <w:pPr>
      <w:spacing w:line="440" w:lineRule="exact"/>
      <w:ind w:firstLine="539"/>
    </w:pPr>
    <w:rPr>
      <w:rFonts w:cs="Times New Roman"/>
      <w:sz w:val="28"/>
      <w:szCs w:val="20"/>
    </w:rPr>
  </w:style>
  <w:style w:type="paragraph" w:customStyle="1" w:styleId="947">
    <w:name w:val="1 Char Char Char Char Char Char Char Char Char Char Char Char"/>
    <w:basedOn w:val="1"/>
    <w:semiHidden/>
    <w:qFormat/>
    <w:uiPriority w:val="0"/>
    <w:pPr>
      <w:spacing w:line="240" w:lineRule="auto"/>
      <w:ind w:firstLine="0" w:firstLineChars="0"/>
    </w:pPr>
    <w:rPr>
      <w:rFonts w:cs="Times New Roman"/>
      <w:sz w:val="21"/>
      <w:szCs w:val="24"/>
    </w:rPr>
  </w:style>
  <w:style w:type="paragraph" w:customStyle="1" w:styleId="948">
    <w:name w:val="样式 题目 + 左侧:  1 字符 右侧:  1 字符"/>
    <w:basedOn w:val="3"/>
    <w:qFormat/>
    <w:uiPriority w:val="0"/>
    <w:pPr>
      <w:pageBreakBefore/>
      <w:widowControl/>
      <w:snapToGrid w:val="0"/>
      <w:spacing w:beforeAutospacing="1" w:afterAutospacing="1"/>
      <w:ind w:right="238"/>
      <w:jc w:val="center"/>
    </w:pPr>
    <w:rPr>
      <w:rFonts w:cs="宋体"/>
      <w:b w:val="0"/>
      <w:bCs w:val="0"/>
      <w:kern w:val="0"/>
      <w:sz w:val="30"/>
      <w:szCs w:val="20"/>
    </w:rPr>
  </w:style>
  <w:style w:type="paragraph" w:customStyle="1" w:styleId="949">
    <w:name w:val="xl143"/>
    <w:basedOn w:val="1"/>
    <w:semiHidden/>
    <w:qFormat/>
    <w:uiPriority w:val="0"/>
    <w:pPr>
      <w:widowControl/>
      <w:pBdr>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950">
    <w:name w:val="表内5中4"/>
    <w:basedOn w:val="1"/>
    <w:semiHidden/>
    <w:qFormat/>
    <w:uiPriority w:val="0"/>
    <w:pPr>
      <w:adjustRightInd w:val="0"/>
      <w:snapToGrid w:val="0"/>
      <w:spacing w:line="240" w:lineRule="auto"/>
      <w:ind w:firstLine="0" w:firstLineChars="0"/>
      <w:jc w:val="center"/>
    </w:pPr>
    <w:rPr>
      <w:rFonts w:ascii="宋体" w:cs="Times New Roman"/>
      <w:bCs/>
      <w:sz w:val="21"/>
      <w:szCs w:val="20"/>
    </w:rPr>
  </w:style>
  <w:style w:type="character" w:customStyle="1" w:styleId="951">
    <w:name w:val="ZW Char Char Char"/>
    <w:basedOn w:val="133"/>
    <w:link w:val="952"/>
    <w:semiHidden/>
    <w:qFormat/>
    <w:locked/>
    <w:uiPriority w:val="0"/>
    <w:rPr>
      <w:sz w:val="24"/>
      <w:szCs w:val="24"/>
    </w:rPr>
  </w:style>
  <w:style w:type="paragraph" w:customStyle="1" w:styleId="952">
    <w:name w:val="ZW Char Char"/>
    <w:basedOn w:val="1"/>
    <w:link w:val="951"/>
    <w:semiHidden/>
    <w:qFormat/>
    <w:uiPriority w:val="0"/>
    <w:pPr>
      <w:spacing w:beforeLines="20" w:line="240" w:lineRule="auto"/>
    </w:pPr>
    <w:rPr>
      <w:rFonts w:asciiTheme="minorHAnsi" w:hAnsiTheme="minorHAnsi" w:eastAsiaTheme="minorEastAsia"/>
      <w:szCs w:val="24"/>
    </w:rPr>
  </w:style>
  <w:style w:type="paragraph" w:customStyle="1" w:styleId="953">
    <w:name w:val="正文格式42"/>
    <w:basedOn w:val="1"/>
    <w:qFormat/>
    <w:uiPriority w:val="0"/>
    <w:pPr>
      <w:spacing w:before="156" w:after="156"/>
      <w:ind w:firstLine="482"/>
    </w:pPr>
    <w:rPr>
      <w:rFonts w:ascii="宋体" w:hAnsi="宋体" w:cs="Times New Roman"/>
      <w:szCs w:val="24"/>
    </w:rPr>
  </w:style>
  <w:style w:type="paragraph" w:customStyle="1" w:styleId="954">
    <w:name w:val="xl84"/>
    <w:basedOn w:val="1"/>
    <w:semiHidden/>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955">
    <w:name w:val="??"/>
    <w:semiHidden/>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zh-CN" w:bidi="ar-SA"/>
    </w:rPr>
  </w:style>
  <w:style w:type="character" w:customStyle="1" w:styleId="956">
    <w:name w:val="图名 Char"/>
    <w:link w:val="957"/>
    <w:semiHidden/>
    <w:qFormat/>
    <w:locked/>
    <w:uiPriority w:val="0"/>
    <w:rPr>
      <w:rFonts w:ascii="Arial" w:hAnsi="Arial" w:eastAsia="楷体_GB2312" w:cs="Arial"/>
      <w:b/>
      <w:bCs/>
      <w:sz w:val="24"/>
      <w:szCs w:val="24"/>
    </w:rPr>
  </w:style>
  <w:style w:type="paragraph" w:customStyle="1" w:styleId="957">
    <w:name w:val="图名"/>
    <w:basedOn w:val="1"/>
    <w:link w:val="956"/>
    <w:semiHidden/>
    <w:qFormat/>
    <w:uiPriority w:val="0"/>
    <w:pPr>
      <w:spacing w:beforeLines="20" w:line="300" w:lineRule="auto"/>
      <w:ind w:firstLine="480"/>
      <w:jc w:val="center"/>
    </w:pPr>
    <w:rPr>
      <w:rFonts w:ascii="Arial" w:hAnsi="Arial" w:eastAsia="楷体_GB2312" w:cs="Arial"/>
      <w:b/>
      <w:bCs/>
      <w:szCs w:val="24"/>
    </w:rPr>
  </w:style>
  <w:style w:type="paragraph" w:customStyle="1" w:styleId="958">
    <w:name w:val="评注"/>
    <w:basedOn w:val="646"/>
    <w:semiHidden/>
    <w:qFormat/>
    <w:uiPriority w:val="0"/>
    <w:pPr>
      <w:ind w:firstLine="360"/>
    </w:pPr>
    <w:rPr>
      <w:rFonts w:cs="宋体"/>
      <w:sz w:val="18"/>
      <w:szCs w:val="18"/>
    </w:rPr>
  </w:style>
  <w:style w:type="paragraph" w:customStyle="1" w:styleId="959">
    <w:name w:val="表格内容格式"/>
    <w:basedOn w:val="1"/>
    <w:semiHidden/>
    <w:qFormat/>
    <w:uiPriority w:val="0"/>
    <w:pPr>
      <w:adjustRightInd w:val="0"/>
      <w:snapToGrid w:val="0"/>
      <w:spacing w:line="240" w:lineRule="atLeast"/>
      <w:ind w:firstLine="0" w:firstLineChars="0"/>
    </w:pPr>
    <w:rPr>
      <w:rFonts w:ascii="宋体" w:hAnsi="宋体" w:cs="Times New Roman"/>
      <w:color w:val="000000"/>
      <w:kern w:val="0"/>
      <w:sz w:val="21"/>
      <w:szCs w:val="20"/>
    </w:rPr>
  </w:style>
  <w:style w:type="paragraph" w:customStyle="1" w:styleId="960">
    <w:name w:val="文件册号"/>
    <w:basedOn w:val="1"/>
    <w:next w:val="1"/>
    <w:semiHidden/>
    <w:qFormat/>
    <w:uiPriority w:val="0"/>
    <w:pPr>
      <w:spacing w:line="800" w:lineRule="atLeast"/>
      <w:ind w:firstLine="0" w:firstLineChars="0"/>
      <w:jc w:val="center"/>
    </w:pPr>
    <w:rPr>
      <w:rFonts w:cs="Times New Roman"/>
      <w:sz w:val="52"/>
      <w:szCs w:val="52"/>
    </w:rPr>
  </w:style>
  <w:style w:type="paragraph" w:customStyle="1" w:styleId="961">
    <w:name w:val="样式 标题 1 + 三号"/>
    <w:basedOn w:val="3"/>
    <w:semiHidden/>
    <w:qFormat/>
    <w:uiPriority w:val="0"/>
    <w:pPr>
      <w:keepNext w:val="0"/>
      <w:keepLines w:val="0"/>
      <w:pageBreakBefore/>
      <w:spacing w:line="600" w:lineRule="exact"/>
      <w:jc w:val="left"/>
    </w:pPr>
    <w:rPr>
      <w:rFonts w:ascii="宋体" w:hAnsi="宋体" w:eastAsia="宋体"/>
      <w:kern w:val="2"/>
      <w:sz w:val="24"/>
      <w:szCs w:val="24"/>
    </w:rPr>
  </w:style>
  <w:style w:type="paragraph" w:customStyle="1" w:styleId="962">
    <w:name w:val="样式 样式 标题 2 + 宋体 行距: 固定值 30 磅 + 行距: 固定值 28 磅"/>
    <w:basedOn w:val="896"/>
    <w:semiHidden/>
    <w:qFormat/>
    <w:uiPriority w:val="0"/>
    <w:pPr>
      <w:spacing w:line="560" w:lineRule="exact"/>
    </w:pPr>
    <w:rPr>
      <w:rFonts w:ascii="宋体" w:hAnsi="宋体"/>
      <w:szCs w:val="20"/>
    </w:rPr>
  </w:style>
  <w:style w:type="paragraph" w:customStyle="1" w:styleId="963">
    <w:name w:val="CM81"/>
    <w:basedOn w:val="1"/>
    <w:next w:val="1"/>
    <w:qFormat/>
    <w:uiPriority w:val="0"/>
    <w:pPr>
      <w:autoSpaceDE w:val="0"/>
      <w:autoSpaceDN w:val="0"/>
      <w:adjustRightInd w:val="0"/>
      <w:spacing w:after="88" w:line="240" w:lineRule="auto"/>
      <w:ind w:firstLine="0" w:firstLineChars="0"/>
      <w:jc w:val="left"/>
    </w:pPr>
    <w:rPr>
      <w:rFonts w:cs="Times New Roman"/>
      <w:kern w:val="0"/>
      <w:szCs w:val="24"/>
    </w:rPr>
  </w:style>
  <w:style w:type="paragraph" w:customStyle="1" w:styleId="964">
    <w:name w:val="表格中"/>
    <w:basedOn w:val="1"/>
    <w:semiHidden/>
    <w:qFormat/>
    <w:uiPriority w:val="0"/>
    <w:pPr>
      <w:spacing w:line="280" w:lineRule="exact"/>
      <w:ind w:firstLine="0" w:firstLineChars="0"/>
      <w:jc w:val="center"/>
    </w:pPr>
    <w:rPr>
      <w:rFonts w:ascii="宋体" w:cs="Times New Roman"/>
      <w:sz w:val="18"/>
      <w:szCs w:val="24"/>
    </w:rPr>
  </w:style>
  <w:style w:type="paragraph" w:customStyle="1" w:styleId="965">
    <w:name w:val="font21"/>
    <w:basedOn w:val="1"/>
    <w:semiHidden/>
    <w:qFormat/>
    <w:uiPriority w:val="0"/>
    <w:pPr>
      <w:widowControl/>
      <w:spacing w:before="100" w:beforeAutospacing="1" w:after="100" w:afterAutospacing="1" w:line="240" w:lineRule="auto"/>
      <w:ind w:firstLine="0" w:firstLineChars="0"/>
      <w:jc w:val="left"/>
    </w:pPr>
    <w:rPr>
      <w:rFonts w:cs="Times New Roman"/>
      <w:color w:val="99CCFF"/>
      <w:kern w:val="0"/>
      <w:sz w:val="21"/>
    </w:rPr>
  </w:style>
  <w:style w:type="paragraph" w:customStyle="1" w:styleId="966">
    <w:name w:val="默认段落字体 Para Char Char Char Char Char"/>
    <w:basedOn w:val="1"/>
    <w:semiHidden/>
    <w:qFormat/>
    <w:uiPriority w:val="0"/>
    <w:pPr>
      <w:spacing w:line="240" w:lineRule="auto"/>
      <w:ind w:firstLine="0" w:firstLineChars="0"/>
    </w:pPr>
    <w:rPr>
      <w:rFonts w:cs="Times New Roman"/>
      <w:sz w:val="21"/>
      <w:szCs w:val="24"/>
    </w:rPr>
  </w:style>
  <w:style w:type="paragraph" w:customStyle="1" w:styleId="967">
    <w:name w:val="文"/>
    <w:basedOn w:val="1"/>
    <w:qFormat/>
    <w:uiPriority w:val="0"/>
    <w:pPr>
      <w:ind w:firstLine="480"/>
    </w:pPr>
    <w:rPr>
      <w:rFonts w:cs="Times New Roman"/>
      <w:szCs w:val="24"/>
    </w:rPr>
  </w:style>
  <w:style w:type="character" w:customStyle="1" w:styleId="968">
    <w:name w:val="表中文字 Char1"/>
    <w:link w:val="969"/>
    <w:semiHidden/>
    <w:qFormat/>
    <w:locked/>
    <w:uiPriority w:val="0"/>
    <w:rPr>
      <w:rFonts w:ascii="Arial" w:hAnsi="Arial" w:eastAsia="楷体_GB2312" w:cs="Arial"/>
      <w:szCs w:val="21"/>
      <w:shd w:val="clear" w:color="auto" w:fill="FFFFFF"/>
    </w:rPr>
  </w:style>
  <w:style w:type="paragraph" w:customStyle="1" w:styleId="969">
    <w:name w:val="表中文字"/>
    <w:basedOn w:val="1"/>
    <w:link w:val="968"/>
    <w:semiHidden/>
    <w:qFormat/>
    <w:uiPriority w:val="0"/>
    <w:pPr>
      <w:shd w:val="clear" w:color="auto" w:fill="FFFFFF"/>
      <w:tabs>
        <w:tab w:val="left" w:pos="3286"/>
        <w:tab w:val="left" w:pos="8362"/>
      </w:tabs>
      <w:snapToGrid w:val="0"/>
      <w:spacing w:line="340" w:lineRule="exact"/>
      <w:ind w:firstLine="0" w:firstLineChars="0"/>
      <w:jc w:val="left"/>
    </w:pPr>
    <w:rPr>
      <w:rFonts w:ascii="Arial" w:hAnsi="Arial" w:eastAsia="楷体_GB2312" w:cs="Arial"/>
      <w:sz w:val="21"/>
    </w:rPr>
  </w:style>
  <w:style w:type="paragraph" w:customStyle="1" w:styleId="970">
    <w:name w:val="xl37"/>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971">
    <w:name w:val="xl42"/>
    <w:basedOn w:val="1"/>
    <w:semiHidden/>
    <w:qFormat/>
    <w:uiPriority w:val="0"/>
    <w:pPr>
      <w:widowControl/>
      <w:pBdr>
        <w:bottom w:val="dotted" w:color="auto" w:sz="4" w:space="0"/>
        <w:right w:val="dotted" w:color="auto" w:sz="4" w:space="0"/>
      </w:pBdr>
      <w:spacing w:before="100" w:beforeAutospacing="1" w:after="100" w:afterAutospacing="1" w:line="240" w:lineRule="auto"/>
      <w:ind w:firstLine="0" w:firstLineChars="0"/>
      <w:jc w:val="center"/>
    </w:pPr>
    <w:rPr>
      <w:rFonts w:cs="Times New Roman"/>
      <w:kern w:val="0"/>
      <w:sz w:val="21"/>
    </w:rPr>
  </w:style>
  <w:style w:type="paragraph" w:customStyle="1" w:styleId="972">
    <w:name w:val="第三章表头"/>
    <w:basedOn w:val="1"/>
    <w:semiHidden/>
    <w:qFormat/>
    <w:uiPriority w:val="0"/>
    <w:pPr>
      <w:ind w:left="900" w:firstLine="0" w:firstLineChars="0"/>
      <w:jc w:val="center"/>
    </w:pPr>
    <w:rPr>
      <w:rFonts w:cs="Times New Roman"/>
      <w:b/>
      <w:color w:val="0000FF"/>
      <w:szCs w:val="24"/>
    </w:rPr>
  </w:style>
  <w:style w:type="paragraph" w:customStyle="1" w:styleId="973">
    <w:name w:val=".€·..‘ .€·..‘ ..￡............è.. + .￥·..fi_GB2312 é|.è.....è..:  2 .....| ..μ.’”: 0.3 è.. è..è·.: 1.5 ..“è..è·. + é|.è.........&quot;"/>
    <w:basedOn w:val="157"/>
    <w:next w:val="157"/>
    <w:qFormat/>
    <w:uiPriority w:val="0"/>
    <w:pPr>
      <w:spacing w:after="30"/>
    </w:pPr>
    <w:rPr>
      <w:rFonts w:ascii="Kai Titling" w:hAnsi="Times New Roman" w:eastAsia="Kai Titling" w:cs="Times New Roman"/>
      <w:color w:val="auto"/>
    </w:rPr>
  </w:style>
  <w:style w:type="paragraph" w:customStyle="1" w:styleId="974">
    <w:name w:val="样式 首行缩进:  1.71 字符3"/>
    <w:basedOn w:val="1"/>
    <w:semiHidden/>
    <w:qFormat/>
    <w:uiPriority w:val="0"/>
    <w:pPr>
      <w:ind w:firstLine="359" w:firstLineChars="171"/>
    </w:pPr>
    <w:rPr>
      <w:rFonts w:cs="宋体"/>
      <w:szCs w:val="20"/>
    </w:rPr>
  </w:style>
  <w:style w:type="paragraph" w:customStyle="1" w:styleId="975">
    <w:name w:val="样式 标题 4 + 四号"/>
    <w:basedOn w:val="6"/>
    <w:qFormat/>
    <w:uiPriority w:val="0"/>
    <w:pPr>
      <w:widowControl/>
      <w:tabs>
        <w:tab w:val="left" w:pos="1134"/>
        <w:tab w:val="left" w:pos="1630"/>
      </w:tabs>
      <w:snapToGrid w:val="0"/>
      <w:spacing w:before="60" w:after="60" w:line="480" w:lineRule="atLeast"/>
      <w:ind w:firstLine="200" w:firstLineChars="200"/>
    </w:pPr>
    <w:rPr>
      <w:rFonts w:eastAsia="宋体" w:cs="Times New Roman"/>
      <w:b w:val="0"/>
      <w:bCs w:val="0"/>
      <w:kern w:val="0"/>
      <w:szCs w:val="24"/>
    </w:rPr>
  </w:style>
  <w:style w:type="paragraph" w:customStyle="1" w:styleId="976">
    <w:name w:val="表中文字1"/>
    <w:basedOn w:val="1"/>
    <w:semiHidden/>
    <w:qFormat/>
    <w:uiPriority w:val="0"/>
    <w:pPr>
      <w:snapToGrid w:val="0"/>
      <w:spacing w:line="240" w:lineRule="auto"/>
      <w:ind w:firstLine="0" w:firstLineChars="0"/>
    </w:pPr>
    <w:rPr>
      <w:rFonts w:cs="Times New Roman"/>
      <w:sz w:val="21"/>
      <w:szCs w:val="20"/>
    </w:rPr>
  </w:style>
  <w:style w:type="paragraph" w:customStyle="1" w:styleId="977">
    <w:name w:val="5#表格"/>
    <w:basedOn w:val="1"/>
    <w:qFormat/>
    <w:uiPriority w:val="0"/>
    <w:pPr>
      <w:tabs>
        <w:tab w:val="left" w:pos="600"/>
      </w:tabs>
      <w:adjustRightInd w:val="0"/>
      <w:spacing w:line="360" w:lineRule="exact"/>
      <w:ind w:firstLine="0" w:firstLineChars="0"/>
      <w:jc w:val="center"/>
    </w:pPr>
    <w:rPr>
      <w:rFonts w:cs="Times New Roman"/>
      <w:kern w:val="0"/>
      <w:sz w:val="21"/>
    </w:rPr>
  </w:style>
  <w:style w:type="paragraph" w:customStyle="1" w:styleId="978">
    <w:name w:val="杨3"/>
    <w:basedOn w:val="84"/>
    <w:next w:val="1"/>
    <w:semiHidden/>
    <w:qFormat/>
    <w:uiPriority w:val="0"/>
    <w:pPr>
      <w:keepNext/>
      <w:keepLines/>
      <w:spacing w:before="120" w:after="0"/>
      <w:ind w:left="0" w:firstLine="0"/>
      <w:jc w:val="both"/>
      <w:outlineLvl w:val="2"/>
    </w:pPr>
    <w:rPr>
      <w:rFonts w:ascii="黑体" w:eastAsia="黑体" w:cs="Arial"/>
      <w:bCs/>
      <w:sz w:val="24"/>
      <w:szCs w:val="24"/>
    </w:rPr>
  </w:style>
  <w:style w:type="paragraph" w:customStyle="1" w:styleId="979">
    <w:name w:val="正文付"/>
    <w:basedOn w:val="1"/>
    <w:semiHidden/>
    <w:qFormat/>
    <w:uiPriority w:val="0"/>
    <w:pPr>
      <w:framePr w:hSpace="180" w:wrap="around" w:vAnchor="text" w:hAnchor="text" w:y="1"/>
      <w:spacing w:line="460" w:lineRule="exact"/>
    </w:pPr>
    <w:rPr>
      <w:rFonts w:ascii="宋体" w:cs="Times New Roman"/>
      <w:color w:val="000000"/>
      <w:szCs w:val="24"/>
    </w:rPr>
  </w:style>
  <w:style w:type="paragraph" w:customStyle="1" w:styleId="980">
    <w:name w:val="标题4付"/>
    <w:basedOn w:val="84"/>
    <w:next w:val="1"/>
    <w:semiHidden/>
    <w:qFormat/>
    <w:uiPriority w:val="0"/>
    <w:pPr>
      <w:keepNext/>
      <w:keepLines/>
      <w:spacing w:before="120" w:after="0"/>
      <w:ind w:left="0" w:firstLine="0"/>
      <w:jc w:val="left"/>
      <w:outlineLvl w:val="3"/>
    </w:pPr>
    <w:rPr>
      <w:rFonts w:ascii="黑体" w:eastAsia="黑体" w:cs="Arial"/>
      <w:bCs/>
      <w:sz w:val="24"/>
      <w:szCs w:val="24"/>
    </w:rPr>
  </w:style>
  <w:style w:type="paragraph" w:customStyle="1" w:styleId="981">
    <w:name w:val="5 Char Char Char Char"/>
    <w:basedOn w:val="1"/>
    <w:qFormat/>
    <w:uiPriority w:val="0"/>
    <w:pPr>
      <w:spacing w:line="440" w:lineRule="exact"/>
      <w:ind w:firstLine="720"/>
    </w:pPr>
    <w:rPr>
      <w:rFonts w:ascii="Batang" w:hAnsi="Batang" w:eastAsia="ˎ̥" w:cs="Batang"/>
      <w:kern w:val="0"/>
      <w:szCs w:val="24"/>
    </w:rPr>
  </w:style>
  <w:style w:type="paragraph" w:customStyle="1" w:styleId="982">
    <w:name w:val="表 头"/>
    <w:basedOn w:val="1"/>
    <w:semiHidden/>
    <w:qFormat/>
    <w:uiPriority w:val="0"/>
    <w:pPr>
      <w:adjustRightInd w:val="0"/>
      <w:spacing w:before="120" w:after="120" w:line="360" w:lineRule="atLeast"/>
      <w:ind w:firstLine="0" w:firstLineChars="0"/>
      <w:jc w:val="center"/>
    </w:pPr>
    <w:rPr>
      <w:rFonts w:ascii="Arial" w:eastAsia="黑体" w:cs="Times New Roman"/>
      <w:b/>
      <w:color w:val="000000"/>
      <w:sz w:val="21"/>
      <w:szCs w:val="20"/>
    </w:rPr>
  </w:style>
  <w:style w:type="paragraph" w:customStyle="1" w:styleId="983">
    <w:name w:val="样式16"/>
    <w:basedOn w:val="6"/>
    <w:qFormat/>
    <w:uiPriority w:val="0"/>
    <w:pPr>
      <w:tabs>
        <w:tab w:val="left" w:pos="1630"/>
      </w:tabs>
      <w:spacing w:line="480" w:lineRule="exact"/>
      <w:ind w:left="1630" w:hanging="864"/>
    </w:pPr>
    <w:rPr>
      <w:rFonts w:eastAsia="宋体" w:cs="Times New Roman"/>
      <w:b w:val="0"/>
    </w:rPr>
  </w:style>
  <w:style w:type="character" w:customStyle="1" w:styleId="984">
    <w:name w:val="标题4附 Char"/>
    <w:basedOn w:val="133"/>
    <w:link w:val="985"/>
    <w:semiHidden/>
    <w:qFormat/>
    <w:locked/>
    <w:uiPriority w:val="0"/>
    <w:rPr>
      <w:rFonts w:ascii="宋体" w:hAnsi="宋体" w:eastAsia="宋体"/>
      <w:b/>
      <w:color w:val="000000"/>
      <w:sz w:val="24"/>
      <w:szCs w:val="24"/>
    </w:rPr>
  </w:style>
  <w:style w:type="paragraph" w:customStyle="1" w:styleId="985">
    <w:name w:val="标题4附"/>
    <w:basedOn w:val="1"/>
    <w:next w:val="1"/>
    <w:link w:val="984"/>
    <w:semiHidden/>
    <w:qFormat/>
    <w:uiPriority w:val="0"/>
    <w:pPr>
      <w:spacing w:beforeLines="50"/>
      <w:ind w:firstLine="0" w:firstLineChars="0"/>
      <w:jc w:val="left"/>
      <w:outlineLvl w:val="3"/>
    </w:pPr>
    <w:rPr>
      <w:rFonts w:ascii="宋体" w:hAnsi="宋体"/>
      <w:b/>
      <w:color w:val="000000"/>
      <w:szCs w:val="24"/>
    </w:rPr>
  </w:style>
  <w:style w:type="paragraph" w:customStyle="1" w:styleId="986">
    <w:name w:val="xl142"/>
    <w:basedOn w:val="1"/>
    <w:semiHidden/>
    <w:qFormat/>
    <w:uiPriority w:val="0"/>
    <w:pPr>
      <w:widowControl/>
      <w:pBdr>
        <w:left w:val="single" w:color="auto" w:sz="8" w:space="0"/>
        <w:bottom w:val="single" w:color="auto" w:sz="12"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987">
    <w:name w:val="xl106"/>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988">
    <w:name w:val="样式 标题 1新标题1 + 段前: 0.5 行 段后: 0.5 行"/>
    <w:basedOn w:val="3"/>
    <w:semiHidden/>
    <w:qFormat/>
    <w:uiPriority w:val="0"/>
    <w:pPr>
      <w:spacing w:line="460" w:lineRule="exact"/>
    </w:pPr>
    <w:rPr>
      <w:rFonts w:ascii="黑体"/>
      <w:bCs w:val="0"/>
      <w:sz w:val="28"/>
      <w:szCs w:val="20"/>
    </w:rPr>
  </w:style>
  <w:style w:type="paragraph" w:customStyle="1" w:styleId="989">
    <w:name w:val="Pa3"/>
    <w:basedOn w:val="157"/>
    <w:next w:val="157"/>
    <w:qFormat/>
    <w:uiPriority w:val="0"/>
    <w:pPr>
      <w:adjustRightInd/>
      <w:spacing w:line="241" w:lineRule="atLeast"/>
    </w:pPr>
    <w:rPr>
      <w:rFonts w:ascii="黑体" w:hAnsi="黑体" w:eastAsia="黑体" w:cs="Times New Roman"/>
      <w:szCs w:val="20"/>
    </w:rPr>
  </w:style>
  <w:style w:type="paragraph" w:customStyle="1" w:styleId="990">
    <w:name w:val="样式 标题 3 + 首行缩进:  0 厘米"/>
    <w:basedOn w:val="5"/>
    <w:qFormat/>
    <w:uiPriority w:val="0"/>
    <w:pPr>
      <w:tabs>
        <w:tab w:val="left" w:pos="1134"/>
        <w:tab w:val="left" w:pos="1256"/>
      </w:tabs>
      <w:adjustRightInd w:val="0"/>
      <w:snapToGrid w:val="0"/>
      <w:spacing w:before="240"/>
      <w:ind w:firstLine="567"/>
      <w:jc w:val="left"/>
    </w:pPr>
    <w:rPr>
      <w:rFonts w:eastAsia="宋体"/>
      <w:bCs w:val="0"/>
      <w:kern w:val="0"/>
      <w:sz w:val="24"/>
      <w:szCs w:val="20"/>
    </w:rPr>
  </w:style>
  <w:style w:type="paragraph" w:customStyle="1" w:styleId="991">
    <w:name w:val="xl86"/>
    <w:basedOn w:val="1"/>
    <w:semiHidden/>
    <w:qFormat/>
    <w:uiPriority w:val="0"/>
    <w:pPr>
      <w:widowControl/>
      <w:pBdr>
        <w:bottom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992">
    <w:name w:val="puce"/>
    <w:basedOn w:val="1"/>
    <w:semiHidden/>
    <w:qFormat/>
    <w:uiPriority w:val="0"/>
    <w:pPr>
      <w:widowControl/>
      <w:tabs>
        <w:tab w:val="left" w:pos="1040"/>
      </w:tabs>
      <w:adjustRightInd w:val="0"/>
      <w:snapToGrid w:val="0"/>
      <w:spacing w:before="120" w:after="120" w:line="240" w:lineRule="auto"/>
      <w:ind w:left="1020" w:hanging="340" w:firstLineChars="0"/>
    </w:pPr>
    <w:rPr>
      <w:rFonts w:ascii="Arial" w:hAnsi="Arial" w:cs="Times New Roman"/>
      <w:kern w:val="0"/>
      <w:szCs w:val="20"/>
    </w:rPr>
  </w:style>
  <w:style w:type="paragraph" w:customStyle="1" w:styleId="993">
    <w:name w:val="宋体 13 磅 行距: 固定值 24 磅"/>
    <w:basedOn w:val="1"/>
    <w:qFormat/>
    <w:uiPriority w:val="0"/>
    <w:pPr>
      <w:spacing w:line="480" w:lineRule="exact"/>
      <w:ind w:firstLine="520"/>
    </w:pPr>
    <w:rPr>
      <w:rFonts w:ascii="宋体" w:hAnsi="宋体" w:cs="宋体"/>
      <w:sz w:val="26"/>
      <w:szCs w:val="20"/>
    </w:rPr>
  </w:style>
  <w:style w:type="paragraph" w:customStyle="1" w:styleId="994">
    <w:name w:val="1标题2级"/>
    <w:basedOn w:val="1"/>
    <w:semiHidden/>
    <w:qFormat/>
    <w:uiPriority w:val="0"/>
    <w:pPr>
      <w:snapToGrid w:val="0"/>
      <w:ind w:firstLine="0" w:firstLineChars="0"/>
      <w:outlineLvl w:val="1"/>
    </w:pPr>
    <w:rPr>
      <w:rFonts w:eastAsia="黑体" w:cs="Times New Roman"/>
      <w:b/>
      <w:sz w:val="30"/>
      <w:szCs w:val="20"/>
    </w:rPr>
  </w:style>
  <w:style w:type="paragraph" w:customStyle="1" w:styleId="995">
    <w:name w:val="表内宋5中"/>
    <w:basedOn w:val="1"/>
    <w:semiHidden/>
    <w:qFormat/>
    <w:uiPriority w:val="0"/>
    <w:pPr>
      <w:adjustRightInd w:val="0"/>
      <w:snapToGrid w:val="0"/>
      <w:spacing w:line="240" w:lineRule="auto"/>
      <w:ind w:left="-105" w:leftChars="-50" w:right="-105" w:rightChars="-50" w:firstLine="0" w:firstLineChars="0"/>
      <w:jc w:val="center"/>
    </w:pPr>
    <w:rPr>
      <w:rFonts w:ascii="宋体" w:hAnsi="宋体" w:cs="Times New Roman"/>
      <w:kern w:val="0"/>
      <w:sz w:val="21"/>
      <w:szCs w:val="20"/>
    </w:rPr>
  </w:style>
  <w:style w:type="paragraph" w:customStyle="1" w:styleId="996">
    <w:name w:val="Char1 Char Char Char"/>
    <w:basedOn w:val="1"/>
    <w:qFormat/>
    <w:uiPriority w:val="0"/>
    <w:rPr>
      <w:rFonts w:ascii="宋体" w:hAnsi="宋体" w:cs="宋体"/>
      <w:szCs w:val="24"/>
    </w:rPr>
  </w:style>
  <w:style w:type="paragraph" w:customStyle="1" w:styleId="997">
    <w:name w:val="Texte"/>
    <w:basedOn w:val="1"/>
    <w:semiHidden/>
    <w:qFormat/>
    <w:uiPriority w:val="0"/>
    <w:pPr>
      <w:widowControl/>
      <w:spacing w:before="120" w:after="120" w:line="240" w:lineRule="auto"/>
      <w:ind w:left="851"/>
    </w:pPr>
    <w:rPr>
      <w:rFonts w:ascii="Arial" w:hAnsi="Arial" w:cs="Times New Roman"/>
      <w:kern w:val="0"/>
      <w:sz w:val="22"/>
      <w:szCs w:val="20"/>
      <w:lang w:val="en-GB"/>
    </w:rPr>
  </w:style>
  <w:style w:type="paragraph" w:customStyle="1" w:styleId="998">
    <w:name w:val="X-正文"/>
    <w:basedOn w:val="1"/>
    <w:qFormat/>
    <w:uiPriority w:val="0"/>
    <w:pPr>
      <w:adjustRightInd w:val="0"/>
      <w:snapToGrid w:val="0"/>
      <w:jc w:val="left"/>
    </w:pPr>
    <w:rPr>
      <w:rFonts w:ascii="宋体" w:hAnsi="宋体" w:eastAsia="楷体_GB2312" w:cs="Times New Roman"/>
      <w:szCs w:val="24"/>
    </w:rPr>
  </w:style>
  <w:style w:type="paragraph" w:customStyle="1" w:styleId="999">
    <w:name w:val="xl91"/>
    <w:basedOn w:val="1"/>
    <w:semiHidden/>
    <w:qFormat/>
    <w:uiPriority w:val="0"/>
    <w:pPr>
      <w:widowControl/>
      <w:spacing w:before="100" w:beforeAutospacing="1" w:after="100" w:afterAutospacing="1" w:line="240" w:lineRule="auto"/>
      <w:ind w:firstLine="0" w:firstLineChars="0"/>
      <w:jc w:val="center"/>
    </w:pPr>
    <w:rPr>
      <w:rFonts w:cs="Times New Roman"/>
      <w:kern w:val="0"/>
      <w:sz w:val="21"/>
    </w:rPr>
  </w:style>
  <w:style w:type="paragraph" w:customStyle="1" w:styleId="1000">
    <w:name w:val="新表"/>
    <w:basedOn w:val="1"/>
    <w:semiHidden/>
    <w:qFormat/>
    <w:uiPriority w:val="0"/>
    <w:pPr>
      <w:spacing w:line="360" w:lineRule="exact"/>
      <w:ind w:firstLine="0" w:firstLineChars="0"/>
    </w:pPr>
    <w:rPr>
      <w:rFonts w:eastAsia="仿宋_GB2312" w:cs="Times New Roman"/>
      <w:bCs/>
      <w:kern w:val="0"/>
      <w:szCs w:val="20"/>
    </w:rPr>
  </w:style>
  <w:style w:type="paragraph" w:customStyle="1" w:styleId="1001">
    <w:name w:val="样式 表头 + Times New Roman 黑色"/>
    <w:basedOn w:val="557"/>
    <w:semiHidden/>
    <w:qFormat/>
    <w:uiPriority w:val="0"/>
    <w:pPr>
      <w:tabs>
        <w:tab w:val="clear" w:pos="6840"/>
      </w:tabs>
      <w:topLinePunct w:val="0"/>
      <w:snapToGrid/>
      <w:spacing w:beforeLines="30" w:line="240" w:lineRule="auto"/>
      <w:ind w:firstLine="480" w:firstLineChars="200"/>
    </w:pPr>
    <w:rPr>
      <w:rFonts w:ascii="Times New Roman" w:hAnsi="Times New Roman"/>
      <w:b/>
      <w:bCs/>
      <w:color w:val="000000"/>
      <w:kern w:val="2"/>
      <w:szCs w:val="24"/>
    </w:rPr>
  </w:style>
  <w:style w:type="paragraph" w:customStyle="1" w:styleId="1002">
    <w:name w:val="reader-word-layer reader-word-s1-13"/>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003">
    <w:name w:val="样式 样式 正文 + 首行缩进:  2 字符 段前: 0.5 行1 + 首行缩进:  2 字符"/>
    <w:basedOn w:val="1"/>
    <w:semiHidden/>
    <w:qFormat/>
    <w:uiPriority w:val="0"/>
    <w:pPr>
      <w:snapToGrid w:val="0"/>
      <w:spacing w:beforeLines="50" w:line="360" w:lineRule="exact"/>
      <w:ind w:firstLine="420"/>
    </w:pPr>
    <w:rPr>
      <w:rFonts w:ascii="宋体" w:cs="宋体"/>
      <w:kern w:val="21"/>
      <w:sz w:val="21"/>
    </w:rPr>
  </w:style>
  <w:style w:type="paragraph" w:customStyle="1" w:styleId="1004">
    <w:name w:val="样式 样式1 + 黑色"/>
    <w:basedOn w:val="779"/>
    <w:semiHidden/>
    <w:qFormat/>
    <w:uiPriority w:val="0"/>
    <w:pPr>
      <w:widowControl w:val="0"/>
      <w:snapToGrid/>
      <w:spacing w:line="480" w:lineRule="exact"/>
      <w:ind w:firstLine="480" w:firstLineChars="200"/>
      <w:jc w:val="both"/>
    </w:pPr>
    <w:rPr>
      <w:rFonts w:ascii="Times New Roman" w:hAnsi="Times New Roman"/>
      <w:sz w:val="24"/>
      <w:szCs w:val="24"/>
    </w:rPr>
  </w:style>
  <w:style w:type="paragraph" w:customStyle="1" w:styleId="1005">
    <w:name w:val="xl81"/>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cs="Times New Roman"/>
      <w:color w:val="99CCFF"/>
      <w:kern w:val="0"/>
      <w:sz w:val="21"/>
    </w:rPr>
  </w:style>
  <w:style w:type="paragraph" w:customStyle="1" w:styleId="1006">
    <w:name w:val="样式 标题 3 + Times New Roman 黑色 段前: 13 磅 段后: 13 磅 行距: 多倍行距 1.73..."/>
    <w:basedOn w:val="5"/>
    <w:semiHidden/>
    <w:qFormat/>
    <w:uiPriority w:val="0"/>
    <w:pPr>
      <w:keepLines w:val="0"/>
      <w:widowControl/>
      <w:tabs>
        <w:tab w:val="left" w:pos="0"/>
        <w:tab w:val="left" w:pos="57"/>
      </w:tabs>
      <w:overflowPunct w:val="0"/>
      <w:snapToGrid w:val="0"/>
      <w:ind w:left="510" w:firstLine="555"/>
      <w:jc w:val="center"/>
    </w:pPr>
    <w:rPr>
      <w:b w:val="0"/>
      <w:bCs w:val="0"/>
      <w:sz w:val="24"/>
      <w:szCs w:val="24"/>
    </w:rPr>
  </w:style>
  <w:style w:type="paragraph" w:customStyle="1" w:styleId="1007">
    <w:name w:val="标题 3+"/>
    <w:basedOn w:val="5"/>
    <w:qFormat/>
    <w:uiPriority w:val="0"/>
    <w:pPr>
      <w:keepNext w:val="0"/>
      <w:keepLines w:val="0"/>
    </w:pPr>
    <w:rPr>
      <w:rFonts w:ascii="Arial" w:hAnsi="Arial" w:eastAsia="宋体"/>
      <w:bCs w:val="0"/>
      <w:kern w:val="0"/>
      <w:sz w:val="24"/>
      <w:szCs w:val="20"/>
    </w:rPr>
  </w:style>
  <w:style w:type="paragraph" w:customStyle="1" w:styleId="1008">
    <w:name w:val="报告书表格"/>
    <w:basedOn w:val="1"/>
    <w:semiHidden/>
    <w:qFormat/>
    <w:uiPriority w:val="0"/>
    <w:pPr>
      <w:adjustRightInd w:val="0"/>
      <w:spacing w:before="60" w:after="60" w:line="240" w:lineRule="atLeast"/>
      <w:ind w:firstLine="0" w:firstLineChars="0"/>
      <w:jc w:val="center"/>
    </w:pPr>
    <w:rPr>
      <w:rFonts w:cs="Times New Roman"/>
      <w:kern w:val="0"/>
      <w:sz w:val="21"/>
      <w:szCs w:val="20"/>
    </w:rPr>
  </w:style>
  <w:style w:type="paragraph" w:customStyle="1" w:styleId="1009">
    <w:name w:val="font19"/>
    <w:basedOn w:val="1"/>
    <w:semiHidden/>
    <w:qFormat/>
    <w:uiPriority w:val="0"/>
    <w:pPr>
      <w:widowControl/>
      <w:spacing w:before="100" w:beforeAutospacing="1" w:after="100" w:afterAutospacing="1" w:line="240" w:lineRule="auto"/>
      <w:ind w:firstLine="0" w:firstLineChars="0"/>
      <w:jc w:val="left"/>
    </w:pPr>
    <w:rPr>
      <w:rFonts w:cs="Times New Roman"/>
      <w:b/>
      <w:bCs/>
      <w:kern w:val="0"/>
      <w:sz w:val="21"/>
    </w:rPr>
  </w:style>
  <w:style w:type="paragraph" w:customStyle="1" w:styleId="1010">
    <w:name w:val="Char Char7 Char Char Char1"/>
    <w:basedOn w:val="5"/>
    <w:qFormat/>
    <w:uiPriority w:val="0"/>
    <w:pPr>
      <w:tabs>
        <w:tab w:val="left" w:pos="360"/>
        <w:tab w:val="left" w:pos="900"/>
      </w:tabs>
      <w:snapToGrid w:val="0"/>
      <w:spacing w:before="120" w:after="120" w:line="440" w:lineRule="exact"/>
      <w:ind w:left="542" w:leftChars="-12" w:firstLine="200" w:firstLineChars="200"/>
      <w:jc w:val="left"/>
    </w:pPr>
    <w:rPr>
      <w:rFonts w:ascii="FLGPEK+TimesNewRoman,Italic" w:hAnsi="FLGPEK+TimesNewRoman,Italic" w:eastAsia="宋体" w:cs="Garamond"/>
      <w:b w:val="0"/>
      <w:color w:val="000000"/>
      <w:sz w:val="30"/>
      <w:szCs w:val="24"/>
    </w:rPr>
  </w:style>
  <w:style w:type="paragraph" w:customStyle="1" w:styleId="1011">
    <w:name w:val="样式 标题 2 + Times New Roman 黑色 段前: 13 磅 段后: 13 磅 行距: 多倍行距 1.73..."/>
    <w:basedOn w:val="4"/>
    <w:semiHidden/>
    <w:qFormat/>
    <w:uiPriority w:val="0"/>
    <w:pPr>
      <w:tabs>
        <w:tab w:val="left" w:pos="57"/>
      </w:tabs>
      <w:spacing w:beforeLines="100" w:after="50"/>
    </w:pPr>
    <w:rPr>
      <w:b w:val="0"/>
      <w:kern w:val="0"/>
      <w:sz w:val="28"/>
      <w:szCs w:val="20"/>
      <w:lang w:val="zh-CN"/>
    </w:rPr>
  </w:style>
  <w:style w:type="paragraph" w:customStyle="1" w:styleId="1012">
    <w:name w:val="Char Char7 Char Char Char Char Char Char1"/>
    <w:basedOn w:val="5"/>
    <w:qFormat/>
    <w:uiPriority w:val="0"/>
    <w:pPr>
      <w:tabs>
        <w:tab w:val="left" w:pos="360"/>
        <w:tab w:val="left" w:pos="900"/>
      </w:tabs>
      <w:snapToGrid w:val="0"/>
      <w:spacing w:before="120" w:after="120"/>
      <w:ind w:left="542" w:leftChars="-12" w:firstLine="200" w:firstLineChars="200"/>
      <w:jc w:val="left"/>
    </w:pPr>
    <w:rPr>
      <w:b w:val="0"/>
      <w:bCs w:val="0"/>
      <w:sz w:val="24"/>
      <w:szCs w:val="24"/>
    </w:rPr>
  </w:style>
  <w:style w:type="paragraph" w:customStyle="1" w:styleId="1013">
    <w:name w:val="xl94"/>
    <w:basedOn w:val="1"/>
    <w:semiHidden/>
    <w:qFormat/>
    <w:uiPriority w:val="0"/>
    <w:pPr>
      <w:widowControl/>
      <w:pBdr>
        <w:top w:val="single" w:color="auto" w:sz="8" w:space="0"/>
        <w:lef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1014">
    <w:name w:val="hilite"/>
    <w:basedOn w:val="1"/>
    <w:qFormat/>
    <w:uiPriority w:val="0"/>
    <w:pPr>
      <w:widowControl/>
      <w:spacing w:before="100" w:beforeAutospacing="1" w:after="100" w:afterAutospacing="1" w:line="240" w:lineRule="auto"/>
      <w:ind w:firstLine="0" w:firstLineChars="0"/>
      <w:jc w:val="left"/>
    </w:pPr>
    <w:rPr>
      <w:rFonts w:ascii="宋体" w:hAnsi="宋体" w:cs="宋体"/>
      <w:b/>
      <w:bCs/>
      <w:color w:val="CC0000"/>
      <w:kern w:val="0"/>
      <w:szCs w:val="24"/>
    </w:rPr>
  </w:style>
  <w:style w:type="paragraph" w:customStyle="1" w:styleId="1015">
    <w:name w:val="样式 生物附录 + 小四 段前: 6 磅 段后: 6 磅 非加宽量 / 紧缩量  行距: 1.5 倍行距1"/>
    <w:basedOn w:val="1"/>
    <w:qFormat/>
    <w:uiPriority w:val="0"/>
    <w:pPr>
      <w:widowControl/>
      <w:spacing w:before="120" w:after="120"/>
    </w:pPr>
    <w:rPr>
      <w:rFonts w:cs="Times New Roman"/>
      <w:b/>
      <w:bCs/>
      <w:szCs w:val="20"/>
    </w:rPr>
  </w:style>
  <w:style w:type="paragraph" w:customStyle="1" w:styleId="1016">
    <w:name w:val="标题符"/>
    <w:basedOn w:val="1"/>
    <w:semiHidden/>
    <w:qFormat/>
    <w:uiPriority w:val="0"/>
    <w:pPr>
      <w:tabs>
        <w:tab w:val="left" w:pos="360"/>
      </w:tabs>
      <w:overflowPunct w:val="0"/>
      <w:snapToGrid w:val="0"/>
      <w:spacing w:line="480" w:lineRule="exact"/>
      <w:ind w:firstLine="560"/>
    </w:pPr>
    <w:rPr>
      <w:rFonts w:ascii="Arial" w:hAnsi="Arial" w:eastAsia="仿宋_GB2312" w:cs="Times New Roman"/>
      <w:sz w:val="28"/>
      <w:szCs w:val="20"/>
    </w:rPr>
  </w:style>
  <w:style w:type="paragraph" w:customStyle="1" w:styleId="1017">
    <w:name w:val="样式 首行缩进:  0.80 厘米 段前: 7.8 磅"/>
    <w:basedOn w:val="1"/>
    <w:qFormat/>
    <w:uiPriority w:val="0"/>
    <w:pPr>
      <w:adjustRightInd w:val="0"/>
      <w:snapToGrid w:val="0"/>
      <w:spacing w:before="156" w:line="312" w:lineRule="auto"/>
      <w:ind w:firstLine="480"/>
    </w:pPr>
    <w:rPr>
      <w:rFonts w:cs="Times New Roman"/>
      <w:szCs w:val="20"/>
    </w:rPr>
  </w:style>
  <w:style w:type="paragraph" w:customStyle="1" w:styleId="1018">
    <w:name w:val="正文 + 三号"/>
    <w:basedOn w:val="1"/>
    <w:semiHidden/>
    <w:qFormat/>
    <w:uiPriority w:val="0"/>
    <w:pPr>
      <w:spacing w:line="240" w:lineRule="auto"/>
      <w:ind w:firstLine="630" w:firstLineChars="0"/>
    </w:pPr>
    <w:rPr>
      <w:rFonts w:cs="Times New Roman"/>
      <w:sz w:val="32"/>
      <w:szCs w:val="20"/>
    </w:rPr>
  </w:style>
  <w:style w:type="paragraph" w:customStyle="1" w:styleId="1019">
    <w:name w:val="样式 宋体 小四 左 首行缩进:  0.85 厘米 段后: 2.5 磅 行距: 固定值 20 磅"/>
    <w:basedOn w:val="1"/>
    <w:qFormat/>
    <w:uiPriority w:val="0"/>
    <w:pPr>
      <w:spacing w:after="50" w:line="400" w:lineRule="exact"/>
      <w:ind w:firstLine="480"/>
      <w:jc w:val="left"/>
    </w:pPr>
    <w:rPr>
      <w:rFonts w:ascii="FLGPEK+TimesNewRoman,Italic" w:hAnsi="FLGPEK+TimesNewRoman,Italic" w:eastAsia="华文仿宋" w:cs="Garamond"/>
      <w:kern w:val="0"/>
      <w:szCs w:val="24"/>
    </w:rPr>
  </w:style>
  <w:style w:type="paragraph" w:customStyle="1" w:styleId="1020">
    <w:name w:val="秦皇岛正文"/>
    <w:basedOn w:val="1"/>
    <w:qFormat/>
    <w:uiPriority w:val="0"/>
    <w:pPr>
      <w:spacing w:line="400" w:lineRule="exact"/>
    </w:pPr>
    <w:rPr>
      <w:rFonts w:ascii="宋体" w:hAnsi="宋体" w:cs="Times New Roman"/>
      <w:szCs w:val="24"/>
    </w:rPr>
  </w:style>
  <w:style w:type="paragraph" w:customStyle="1" w:styleId="1021">
    <w:name w:val="段落 Char Char2 Char Char Char Char Char"/>
    <w:basedOn w:val="1"/>
    <w:semiHidden/>
    <w:qFormat/>
    <w:uiPriority w:val="0"/>
    <w:pPr>
      <w:ind w:firstLine="480"/>
    </w:pPr>
    <w:rPr>
      <w:rFonts w:cs="Times New Roman"/>
      <w:szCs w:val="24"/>
    </w:rPr>
  </w:style>
  <w:style w:type="paragraph" w:customStyle="1" w:styleId="1022">
    <w:name w:val="xl132"/>
    <w:basedOn w:val="1"/>
    <w:semiHidden/>
    <w:qFormat/>
    <w:uiPriority w:val="0"/>
    <w:pPr>
      <w:widowControl/>
      <w:pBdr>
        <w:right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1023">
    <w:name w:val="表格标题-报告书"/>
    <w:basedOn w:val="1"/>
    <w:next w:val="1"/>
    <w:qFormat/>
    <w:uiPriority w:val="0"/>
    <w:pPr>
      <w:spacing w:beforeLines="50" w:line="240" w:lineRule="auto"/>
      <w:ind w:firstLine="0" w:firstLineChars="0"/>
      <w:jc w:val="center"/>
    </w:pPr>
    <w:rPr>
      <w:rFonts w:eastAsia="华文中宋" w:cs="Times New Roman"/>
      <w:kern w:val="24"/>
      <w:sz w:val="21"/>
    </w:rPr>
  </w:style>
  <w:style w:type="paragraph" w:customStyle="1" w:styleId="1024">
    <w:name w:val="标题 0"/>
    <w:basedOn w:val="1"/>
    <w:next w:val="3"/>
    <w:semiHidden/>
    <w:qFormat/>
    <w:uiPriority w:val="0"/>
    <w:pPr>
      <w:tabs>
        <w:tab w:val="left" w:pos="1170"/>
      </w:tabs>
      <w:spacing w:line="240" w:lineRule="auto"/>
      <w:ind w:left="1170" w:hanging="360" w:firstLineChars="0"/>
      <w:jc w:val="center"/>
    </w:pPr>
    <w:rPr>
      <w:rFonts w:eastAsia="隶书" w:cs="Times New Roman"/>
      <w:sz w:val="72"/>
      <w:szCs w:val="20"/>
    </w:rPr>
  </w:style>
  <w:style w:type="paragraph" w:customStyle="1" w:styleId="1025">
    <w:name w:val="标题1"/>
    <w:basedOn w:val="1"/>
    <w:semiHidden/>
    <w:qFormat/>
    <w:uiPriority w:val="0"/>
    <w:pPr>
      <w:tabs>
        <w:tab w:val="left" w:pos="1995"/>
        <w:tab w:val="left" w:pos="2490"/>
      </w:tabs>
      <w:spacing w:line="360" w:lineRule="exact"/>
      <w:ind w:left="1995" w:hanging="720" w:firstLineChars="0"/>
      <w:outlineLvl w:val="0"/>
    </w:pPr>
    <w:rPr>
      <w:rFonts w:cs="Times New Roman"/>
      <w:b/>
      <w:sz w:val="30"/>
      <w:szCs w:val="28"/>
    </w:rPr>
  </w:style>
  <w:style w:type="paragraph" w:customStyle="1" w:styleId="1026">
    <w:name w:val="样式 标题 1 + 非加粗 紧缩量  0.3 磅 行距: 单倍行距"/>
    <w:basedOn w:val="3"/>
    <w:semiHidden/>
    <w:qFormat/>
    <w:uiPriority w:val="0"/>
    <w:pPr>
      <w:keepNext w:val="0"/>
      <w:keepLines w:val="0"/>
      <w:pageBreakBefore/>
      <w:spacing w:line="600" w:lineRule="exact"/>
      <w:jc w:val="left"/>
    </w:pPr>
    <w:rPr>
      <w:rFonts w:ascii="宋体" w:hAnsi="宋体" w:eastAsia="宋体" w:cs="宋体"/>
      <w:bCs w:val="0"/>
      <w:spacing w:val="-6"/>
      <w:kern w:val="2"/>
      <w:sz w:val="24"/>
      <w:szCs w:val="24"/>
    </w:rPr>
  </w:style>
  <w:style w:type="paragraph" w:customStyle="1" w:styleId="1027">
    <w:name w:val="表－索引"/>
    <w:basedOn w:val="1"/>
    <w:qFormat/>
    <w:uiPriority w:val="0"/>
    <w:pPr>
      <w:ind w:firstLine="0" w:firstLineChars="0"/>
      <w:jc w:val="center"/>
    </w:pPr>
    <w:rPr>
      <w:rFonts w:cs="Times New Roman"/>
      <w:szCs w:val="20"/>
    </w:rPr>
  </w:style>
  <w:style w:type="paragraph" w:customStyle="1" w:styleId="1028">
    <w:name w:val="居中正文"/>
    <w:basedOn w:val="86"/>
    <w:semiHidden/>
    <w:qFormat/>
    <w:uiPriority w:val="0"/>
    <w:pPr>
      <w:adjustRightInd w:val="0"/>
      <w:spacing w:before="120" w:after="0" w:line="360" w:lineRule="auto"/>
      <w:ind w:firstLine="0" w:firstLineChars="0"/>
      <w:jc w:val="center"/>
    </w:pPr>
    <w:rPr>
      <w:rFonts w:ascii="宋体"/>
      <w:kern w:val="28"/>
      <w:sz w:val="24"/>
      <w:szCs w:val="20"/>
    </w:rPr>
  </w:style>
  <w:style w:type="paragraph" w:customStyle="1" w:styleId="1029">
    <w:name w:val="文字"/>
    <w:basedOn w:val="5"/>
    <w:semiHidden/>
    <w:qFormat/>
    <w:uiPriority w:val="0"/>
    <w:pPr>
      <w:keepNext w:val="0"/>
      <w:keepLines w:val="0"/>
      <w:tabs>
        <w:tab w:val="left" w:pos="720"/>
      </w:tabs>
      <w:spacing w:line="360" w:lineRule="atLeast"/>
      <w:outlineLvl w:val="9"/>
    </w:pPr>
    <w:rPr>
      <w:rFonts w:ascii="宋体" w:hAnsi="宋体" w:eastAsia="宋体"/>
      <w:b w:val="0"/>
      <w:bCs w:val="0"/>
      <w:sz w:val="21"/>
      <w:szCs w:val="28"/>
    </w:rPr>
  </w:style>
  <w:style w:type="paragraph" w:customStyle="1" w:styleId="1030">
    <w:name w:val="农业部一"/>
    <w:next w:val="34"/>
    <w:semiHidden/>
    <w:qFormat/>
    <w:uiPriority w:val="0"/>
    <w:pPr>
      <w:widowControl w:val="0"/>
      <w:topLinePunct/>
      <w:spacing w:line="340" w:lineRule="atLeast"/>
      <w:jc w:val="center"/>
    </w:pPr>
    <w:rPr>
      <w:rFonts w:ascii="Times New Roman" w:hAnsi="Times New Roman" w:eastAsia="宋体" w:cs="Times New Roman"/>
      <w:kern w:val="2"/>
      <w:sz w:val="24"/>
      <w:szCs w:val="24"/>
      <w:lang w:val="en-US" w:eastAsia="zh-CN" w:bidi="ar-SA"/>
    </w:rPr>
  </w:style>
  <w:style w:type="paragraph" w:customStyle="1" w:styleId="1031">
    <w:name w:val="一级"/>
    <w:basedOn w:val="3"/>
    <w:semiHidden/>
    <w:qFormat/>
    <w:uiPriority w:val="0"/>
    <w:pPr>
      <w:pageBreakBefore/>
      <w:tabs>
        <w:tab w:val="left" w:pos="0"/>
      </w:tabs>
      <w:jc w:val="left"/>
    </w:pPr>
    <w:rPr>
      <w:rFonts w:cs="宋体"/>
      <w:sz w:val="32"/>
      <w:szCs w:val="20"/>
      <w:lang w:val="zh-CN"/>
    </w:rPr>
  </w:style>
  <w:style w:type="paragraph" w:customStyle="1" w:styleId="1032">
    <w:name w:val="xl59"/>
    <w:basedOn w:val="1"/>
    <w:semiHidden/>
    <w:qFormat/>
    <w:uiPriority w:val="0"/>
    <w:pPr>
      <w:widowControl/>
      <w:pBdr>
        <w:bottom w:val="single" w:color="auto" w:sz="8" w:space="0"/>
      </w:pBdr>
      <w:spacing w:before="100" w:beforeAutospacing="1" w:after="100" w:afterAutospacing="1" w:line="240" w:lineRule="auto"/>
      <w:ind w:firstLine="0" w:firstLineChars="0"/>
      <w:jc w:val="center"/>
    </w:pPr>
    <w:rPr>
      <w:rFonts w:cs="Times New Roman"/>
      <w:kern w:val="0"/>
      <w:szCs w:val="24"/>
    </w:rPr>
  </w:style>
  <w:style w:type="paragraph" w:customStyle="1" w:styleId="1033">
    <w:name w:val="2级"/>
    <w:basedOn w:val="4"/>
    <w:semiHidden/>
    <w:qFormat/>
    <w:uiPriority w:val="0"/>
    <w:pPr>
      <w:tabs>
        <w:tab w:val="left" w:pos="57"/>
      </w:tabs>
      <w:spacing w:before="120" w:after="120"/>
    </w:pPr>
    <w:rPr>
      <w:b w:val="0"/>
      <w:bCs w:val="0"/>
      <w:kern w:val="0"/>
      <w:sz w:val="28"/>
      <w:szCs w:val="28"/>
      <w:lang w:val="zh-CN"/>
    </w:rPr>
  </w:style>
  <w:style w:type="paragraph" w:customStyle="1" w:styleId="1034">
    <w:name w:val="3级"/>
    <w:basedOn w:val="5"/>
    <w:semiHidden/>
    <w:qFormat/>
    <w:uiPriority w:val="0"/>
    <w:pPr>
      <w:keepLines w:val="0"/>
      <w:widowControl/>
      <w:tabs>
        <w:tab w:val="left" w:pos="0"/>
      </w:tabs>
      <w:overflowPunct w:val="0"/>
      <w:snapToGrid w:val="0"/>
      <w:spacing w:before="80" w:after="80"/>
      <w:jc w:val="left"/>
    </w:pPr>
    <w:rPr>
      <w:rFonts w:cs="宋体"/>
      <w:szCs w:val="20"/>
    </w:rPr>
  </w:style>
  <w:style w:type="paragraph" w:customStyle="1" w:styleId="1035">
    <w:name w:val="表格 + 五号"/>
    <w:basedOn w:val="679"/>
    <w:qFormat/>
    <w:uiPriority w:val="0"/>
    <w:pPr>
      <w:keepNext/>
      <w:keepLines/>
      <w:snapToGrid/>
      <w:spacing w:before="60" w:line="400" w:lineRule="exact"/>
    </w:pPr>
    <w:rPr>
      <w:rFonts w:ascii="Times New Roman"/>
    </w:rPr>
  </w:style>
  <w:style w:type="paragraph" w:customStyle="1" w:styleId="1036">
    <w:name w:val="xl137"/>
    <w:basedOn w:val="1"/>
    <w:semiHidden/>
    <w:qFormat/>
    <w:uiPriority w:val="0"/>
    <w:pPr>
      <w:widowControl/>
      <w:pBdr>
        <w:left w:val="single" w:color="auto" w:sz="8" w:space="0"/>
        <w:bottom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1037">
    <w:name w:val="三级dan"/>
    <w:basedOn w:val="1"/>
    <w:next w:val="1"/>
    <w:semiHidden/>
    <w:qFormat/>
    <w:uiPriority w:val="0"/>
    <w:pPr>
      <w:keepNext/>
      <w:keepLines/>
      <w:widowControl/>
      <w:adjustRightInd w:val="0"/>
      <w:spacing w:before="80" w:after="80" w:line="240" w:lineRule="auto"/>
      <w:ind w:firstLine="0" w:firstLineChars="0"/>
      <w:outlineLvl w:val="2"/>
    </w:pPr>
    <w:rPr>
      <w:rFonts w:ascii="黑体" w:eastAsia="黑体" w:cs="宋体"/>
      <w:b/>
      <w:kern w:val="0"/>
      <w:sz w:val="28"/>
      <w:szCs w:val="28"/>
    </w:rPr>
  </w:style>
  <w:style w:type="paragraph" w:customStyle="1" w:styleId="1038">
    <w:name w:val="xl57"/>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right"/>
    </w:pPr>
    <w:rPr>
      <w:rFonts w:cs="Times New Roman"/>
      <w:kern w:val="0"/>
      <w:sz w:val="21"/>
    </w:rPr>
  </w:style>
  <w:style w:type="paragraph" w:customStyle="1" w:styleId="1039">
    <w:name w:val="正文文"/>
    <w:basedOn w:val="1"/>
    <w:next w:val="1"/>
    <w:semiHidden/>
    <w:qFormat/>
    <w:uiPriority w:val="0"/>
    <w:pPr>
      <w:spacing w:beforeLines="25" w:line="440" w:lineRule="exact"/>
    </w:pPr>
    <w:rPr>
      <w:rFonts w:cs="宋体"/>
      <w:szCs w:val="20"/>
    </w:rPr>
  </w:style>
  <w:style w:type="paragraph" w:customStyle="1" w:styleId="1040">
    <w:name w:val="CM12"/>
    <w:basedOn w:val="157"/>
    <w:next w:val="157"/>
    <w:qFormat/>
    <w:uiPriority w:val="0"/>
    <w:pPr>
      <w:spacing w:line="493" w:lineRule="atLeast"/>
    </w:pPr>
    <w:rPr>
      <w:rFonts w:hAnsi="Times New Roman" w:cs="Times New Roman"/>
      <w:color w:val="auto"/>
      <w:szCs w:val="20"/>
    </w:rPr>
  </w:style>
  <w:style w:type="paragraph" w:customStyle="1" w:styleId="1041">
    <w:name w:val="第一章表头"/>
    <w:basedOn w:val="1"/>
    <w:semiHidden/>
    <w:qFormat/>
    <w:uiPriority w:val="0"/>
    <w:pPr>
      <w:tabs>
        <w:tab w:val="left" w:pos="1140"/>
      </w:tabs>
      <w:ind w:left="840" w:hanging="420" w:firstLineChars="0"/>
      <w:jc w:val="center"/>
    </w:pPr>
    <w:rPr>
      <w:rFonts w:cs="Times New Roman"/>
      <w:b/>
      <w:color w:val="0000FF"/>
      <w:szCs w:val="24"/>
    </w:rPr>
  </w:style>
  <w:style w:type="paragraph" w:customStyle="1" w:styleId="1042">
    <w:name w:val="xl136"/>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cs="Times New Roman"/>
      <w:color w:val="0000FF"/>
      <w:kern w:val="0"/>
      <w:sz w:val="21"/>
    </w:rPr>
  </w:style>
  <w:style w:type="paragraph" w:customStyle="1" w:styleId="1043">
    <w:name w:val="正文版本"/>
    <w:basedOn w:val="1"/>
    <w:semiHidden/>
    <w:qFormat/>
    <w:uiPriority w:val="0"/>
    <w:pPr>
      <w:autoSpaceDE w:val="0"/>
      <w:autoSpaceDN w:val="0"/>
      <w:adjustRightInd w:val="0"/>
      <w:spacing w:beforeLines="50" w:after="120" w:line="240" w:lineRule="auto"/>
      <w:ind w:firstLine="0" w:firstLineChars="0"/>
      <w:jc w:val="center"/>
    </w:pPr>
    <w:rPr>
      <w:rFonts w:ascii="Arial" w:hAnsi="Arial" w:eastAsia="楷体_GB2312" w:cs="Times New Roman"/>
      <w:szCs w:val="20"/>
      <w:lang w:val="zh-CN"/>
    </w:rPr>
  </w:style>
  <w:style w:type="paragraph" w:customStyle="1" w:styleId="1044">
    <w:name w:val="表格文字2"/>
    <w:basedOn w:val="1"/>
    <w:semiHidden/>
    <w:qFormat/>
    <w:uiPriority w:val="0"/>
    <w:pPr>
      <w:adjustRightInd w:val="0"/>
      <w:spacing w:before="60" w:line="240" w:lineRule="auto"/>
      <w:ind w:firstLine="0" w:firstLineChars="0"/>
      <w:jc w:val="center"/>
    </w:pPr>
    <w:rPr>
      <w:rFonts w:cs="Times New Roman"/>
      <w:kern w:val="0"/>
      <w:sz w:val="21"/>
      <w:szCs w:val="20"/>
    </w:rPr>
  </w:style>
  <w:style w:type="paragraph" w:customStyle="1" w:styleId="1045">
    <w:name w:val="右侧"/>
    <w:semiHidden/>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1046">
    <w:name w:val="左侧"/>
    <w:semiHidden/>
    <w:qFormat/>
    <w:uiPriority w:val="0"/>
    <w:pPr>
      <w:spacing w:line="280" w:lineRule="exact"/>
    </w:pPr>
    <w:rPr>
      <w:rFonts w:ascii="Batang" w:hAnsi="Batang" w:eastAsia="宋体" w:cs="Times New Roman"/>
      <w:color w:val="000000"/>
      <w:sz w:val="18"/>
      <w:lang w:val="en-US" w:eastAsia="zh-CN" w:bidi="ar-SA"/>
    </w:rPr>
  </w:style>
  <w:style w:type="paragraph" w:customStyle="1" w:styleId="1047">
    <w:name w:val="插图标题"/>
    <w:basedOn w:val="1"/>
    <w:semiHidden/>
    <w:qFormat/>
    <w:uiPriority w:val="0"/>
    <w:pPr>
      <w:tabs>
        <w:tab w:val="left" w:pos="1134"/>
        <w:tab w:val="right" w:pos="7371"/>
      </w:tabs>
      <w:overflowPunct w:val="0"/>
      <w:adjustRightInd w:val="0"/>
      <w:spacing w:line="240" w:lineRule="auto"/>
      <w:ind w:firstLine="567" w:firstLineChars="0"/>
      <w:jc w:val="center"/>
    </w:pPr>
    <w:rPr>
      <w:rFonts w:ascii="黑体" w:eastAsia="黑体" w:cs="Times New Roman"/>
      <w:kern w:val="0"/>
      <w:sz w:val="28"/>
      <w:szCs w:val="20"/>
    </w:rPr>
  </w:style>
  <w:style w:type="paragraph" w:customStyle="1" w:styleId="1048">
    <w:name w:val="xl52"/>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049">
    <w:name w:val="日期1"/>
    <w:basedOn w:val="1"/>
    <w:next w:val="1"/>
    <w:semiHidden/>
    <w:qFormat/>
    <w:uiPriority w:val="0"/>
    <w:pPr>
      <w:adjustRightInd w:val="0"/>
      <w:spacing w:line="240" w:lineRule="auto"/>
      <w:ind w:firstLine="0" w:firstLineChars="0"/>
      <w:jc w:val="left"/>
    </w:pPr>
    <w:rPr>
      <w:rFonts w:ascii="宋体" w:cs="Times New Roman"/>
      <w:spacing w:val="24"/>
      <w:kern w:val="24"/>
      <w:szCs w:val="20"/>
    </w:rPr>
  </w:style>
  <w:style w:type="paragraph" w:customStyle="1" w:styleId="1050">
    <w:name w:val="样式 标题 2 + Times New Roman 小三 行距: 最小值 24 磅"/>
    <w:basedOn w:val="4"/>
    <w:qFormat/>
    <w:uiPriority w:val="0"/>
    <w:pPr>
      <w:tabs>
        <w:tab w:val="left" w:pos="-2296"/>
        <w:tab w:val="left" w:pos="2242"/>
      </w:tabs>
      <w:spacing w:before="120" w:after="120" w:line="480" w:lineRule="atLeast"/>
      <w:ind w:left="680" w:hanging="680"/>
    </w:pPr>
    <w:rPr>
      <w:rFonts w:cs="宋体"/>
      <w:b w:val="0"/>
      <w:bCs w:val="0"/>
      <w:sz w:val="30"/>
      <w:szCs w:val="20"/>
    </w:rPr>
  </w:style>
  <w:style w:type="character" w:customStyle="1" w:styleId="1051">
    <w:name w:val="杨1 Char"/>
    <w:basedOn w:val="133"/>
    <w:link w:val="1052"/>
    <w:semiHidden/>
    <w:qFormat/>
    <w:locked/>
    <w:uiPriority w:val="0"/>
    <w:rPr>
      <w:rFonts w:ascii="黑体" w:hAnsi="Arial" w:eastAsia="黑体" w:cs="Arial"/>
      <w:b/>
      <w:bCs/>
      <w:sz w:val="28"/>
      <w:szCs w:val="28"/>
    </w:rPr>
  </w:style>
  <w:style w:type="paragraph" w:customStyle="1" w:styleId="1052">
    <w:name w:val="杨1"/>
    <w:basedOn w:val="84"/>
    <w:next w:val="1"/>
    <w:link w:val="1051"/>
    <w:semiHidden/>
    <w:qFormat/>
    <w:uiPriority w:val="0"/>
    <w:pPr>
      <w:keepNext/>
      <w:keepLines/>
      <w:spacing w:before="120" w:after="0"/>
      <w:ind w:left="0" w:firstLine="0"/>
      <w:jc w:val="both"/>
    </w:pPr>
    <w:rPr>
      <w:rFonts w:ascii="黑体" w:eastAsia="黑体" w:cs="Arial"/>
      <w:bCs/>
      <w:sz w:val="28"/>
      <w:szCs w:val="28"/>
    </w:rPr>
  </w:style>
  <w:style w:type="paragraph" w:customStyle="1" w:styleId="1053">
    <w:name w:val="杨4"/>
    <w:basedOn w:val="186"/>
    <w:semiHidden/>
    <w:qFormat/>
    <w:uiPriority w:val="0"/>
    <w:pPr>
      <w:spacing w:line="460" w:lineRule="exact"/>
      <w:ind w:firstLine="0" w:firstLineChars="0"/>
      <w:jc w:val="left"/>
      <w:outlineLvl w:val="3"/>
    </w:pPr>
    <w:rPr>
      <w:rFonts w:hint="eastAsia" w:eastAsia="黑体"/>
      <w:b/>
    </w:rPr>
  </w:style>
  <w:style w:type="paragraph" w:customStyle="1" w:styleId="1054">
    <w:name w:val="表右"/>
    <w:basedOn w:val="1"/>
    <w:semiHidden/>
    <w:qFormat/>
    <w:uiPriority w:val="0"/>
    <w:pPr>
      <w:spacing w:line="280" w:lineRule="exact"/>
      <w:jc w:val="right"/>
    </w:pPr>
    <w:rPr>
      <w:rFonts w:ascii="宋体" w:cs="Times New Roman"/>
      <w:color w:val="000000"/>
      <w:sz w:val="18"/>
      <w:szCs w:val="24"/>
    </w:rPr>
  </w:style>
  <w:style w:type="paragraph" w:customStyle="1" w:styleId="1055">
    <w:name w:val="参加人员"/>
    <w:basedOn w:val="1"/>
    <w:semiHidden/>
    <w:qFormat/>
    <w:uiPriority w:val="0"/>
    <w:pPr>
      <w:spacing w:line="500" w:lineRule="atLeast"/>
      <w:ind w:firstLine="0" w:firstLineChars="0"/>
    </w:pPr>
    <w:rPr>
      <w:rFonts w:cs="Times New Roman"/>
      <w:szCs w:val="24"/>
    </w:rPr>
  </w:style>
  <w:style w:type="paragraph" w:customStyle="1" w:styleId="1056">
    <w:name w:val="表18"/>
    <w:basedOn w:val="66"/>
    <w:semiHidden/>
    <w:qFormat/>
    <w:uiPriority w:val="0"/>
    <w:pPr>
      <w:tabs>
        <w:tab w:val="left" w:pos="525"/>
        <w:tab w:val="left" w:pos="735"/>
      </w:tabs>
      <w:ind w:firstLine="0" w:firstLineChars="0"/>
      <w:jc w:val="center"/>
    </w:pPr>
    <w:rPr>
      <w:rFonts w:hint="eastAsia" w:hAnsi="宋体" w:cstheme="minorBidi"/>
      <w:color w:val="000000"/>
      <w:szCs w:val="28"/>
    </w:rPr>
  </w:style>
  <w:style w:type="paragraph" w:customStyle="1" w:styleId="1057">
    <w:name w:val="四"/>
    <w:basedOn w:val="274"/>
    <w:next w:val="1"/>
    <w:semiHidden/>
    <w:qFormat/>
    <w:uiPriority w:val="0"/>
  </w:style>
  <w:style w:type="paragraph" w:customStyle="1" w:styleId="1058">
    <w:name w:val="样式 标题 3Char1 Char1Char1 Char CharChar1 Char条标题1.1.1h3H3l...2"/>
    <w:basedOn w:val="5"/>
    <w:semiHidden/>
    <w:qFormat/>
    <w:uiPriority w:val="0"/>
    <w:pPr>
      <w:keepLines w:val="0"/>
      <w:spacing w:line="500" w:lineRule="exact"/>
    </w:pPr>
    <w:rPr>
      <w:rFonts w:eastAsia="宋体"/>
      <w:bCs w:val="0"/>
      <w:szCs w:val="20"/>
    </w:rPr>
  </w:style>
  <w:style w:type="paragraph" w:customStyle="1" w:styleId="1059">
    <w:name w:val="xl73"/>
    <w:basedOn w:val="1"/>
    <w:semiHidden/>
    <w:qFormat/>
    <w:uiPriority w:val="0"/>
    <w:pPr>
      <w:widowControl/>
      <w:pBdr>
        <w:top w:val="single" w:color="auto" w:sz="12" w:space="0"/>
        <w:left w:val="single" w:color="auto" w:sz="8" w:space="0"/>
        <w:bottom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060">
    <w:name w:val="样式 样式 宋体 小四 行距: 多倍行距 1.4 字行 + 首行缩进:  2 字符"/>
    <w:basedOn w:val="1"/>
    <w:semiHidden/>
    <w:qFormat/>
    <w:uiPriority w:val="0"/>
    <w:rPr>
      <w:rFonts w:ascii="宋体" w:hAnsi="宋体" w:cs="Times New Roman"/>
      <w:kern w:val="28"/>
      <w:sz w:val="28"/>
      <w:szCs w:val="20"/>
    </w:rPr>
  </w:style>
  <w:style w:type="paragraph" w:customStyle="1" w:styleId="1061">
    <w:name w:val="样式 标题 1 + 宋体 小四 加粗 左1"/>
    <w:basedOn w:val="3"/>
    <w:semiHidden/>
    <w:qFormat/>
    <w:uiPriority w:val="0"/>
    <w:pPr>
      <w:keepNext w:val="0"/>
      <w:keepLines w:val="0"/>
      <w:pageBreakBefore/>
      <w:spacing w:line="600" w:lineRule="exact"/>
      <w:jc w:val="left"/>
    </w:pPr>
    <w:rPr>
      <w:rFonts w:ascii="宋体" w:hAnsi="宋体" w:eastAsia="宋体" w:cs="宋体"/>
      <w:bCs w:val="0"/>
      <w:kern w:val="2"/>
      <w:sz w:val="24"/>
      <w:szCs w:val="20"/>
    </w:rPr>
  </w:style>
  <w:style w:type="paragraph" w:customStyle="1" w:styleId="1062">
    <w:name w:val="样式 标题 1 + 段前: 2 行 段后: 2 行"/>
    <w:basedOn w:val="3"/>
    <w:semiHidden/>
    <w:qFormat/>
    <w:uiPriority w:val="0"/>
    <w:pPr>
      <w:tabs>
        <w:tab w:val="left" w:pos="1000"/>
      </w:tabs>
      <w:spacing w:beforeLines="100"/>
      <w:ind w:left="1000" w:hanging="360"/>
    </w:pPr>
    <w:rPr>
      <w:rFonts w:eastAsia="方正粗圆简体"/>
      <w:szCs w:val="20"/>
    </w:rPr>
  </w:style>
  <w:style w:type="paragraph" w:customStyle="1" w:styleId="1063">
    <w:name w:val="样式 目录 2 + 首行缩进:  0.5 字符"/>
    <w:basedOn w:val="74"/>
    <w:qFormat/>
    <w:uiPriority w:val="0"/>
    <w:pPr>
      <w:tabs>
        <w:tab w:val="right" w:leader="dot" w:pos="8296"/>
      </w:tabs>
      <w:snapToGrid w:val="0"/>
      <w:spacing w:line="420" w:lineRule="exact"/>
      <w:ind w:left="0" w:leftChars="0" w:firstLine="50" w:firstLineChars="50"/>
    </w:pPr>
    <w:rPr>
      <w:rFonts w:cs="宋体" w:asciiTheme="minorHAnsi" w:hAnsiTheme="minorHAnsi" w:eastAsiaTheme="minorEastAsia"/>
      <w:smallCaps/>
    </w:rPr>
  </w:style>
  <w:style w:type="paragraph" w:customStyle="1" w:styleId="1064">
    <w:name w:val="表头样式1"/>
    <w:basedOn w:val="1"/>
    <w:semiHidden/>
    <w:qFormat/>
    <w:uiPriority w:val="0"/>
    <w:pPr>
      <w:spacing w:before="120"/>
      <w:ind w:firstLine="0" w:firstLineChars="0"/>
      <w:jc w:val="center"/>
    </w:pPr>
    <w:rPr>
      <w:rFonts w:ascii="仿宋_GB2312" w:eastAsia="仿宋_GB2312" w:cs="Times New Roman"/>
      <w:bCs/>
      <w:szCs w:val="20"/>
    </w:rPr>
  </w:style>
  <w:style w:type="paragraph" w:customStyle="1" w:styleId="1065">
    <w:name w:val="p18"/>
    <w:basedOn w:val="1"/>
    <w:qFormat/>
    <w:uiPriority w:val="0"/>
    <w:pPr>
      <w:widowControl/>
      <w:spacing w:line="240" w:lineRule="auto"/>
      <w:ind w:firstLine="420" w:firstLineChars="0"/>
    </w:pPr>
    <w:rPr>
      <w:rFonts w:ascii="Arial" w:hAnsi="Arial" w:cs="Arial"/>
      <w:color w:val="000000"/>
      <w:kern w:val="0"/>
      <w:sz w:val="20"/>
      <w:szCs w:val="20"/>
    </w:rPr>
  </w:style>
  <w:style w:type="paragraph" w:customStyle="1" w:styleId="1066">
    <w:name w:val="ky-txt Char"/>
    <w:semiHidden/>
    <w:qFormat/>
    <w:uiPriority w:val="0"/>
    <w:pPr>
      <w:widowControl w:val="0"/>
      <w:spacing w:line="500" w:lineRule="exact"/>
      <w:ind w:firstLine="480" w:firstLineChars="200"/>
      <w:jc w:val="both"/>
    </w:pPr>
    <w:rPr>
      <w:rFonts w:ascii="宋体" w:hAnsi="宋体" w:eastAsia="宋体" w:cs="Times New Roman"/>
      <w:color w:val="000000"/>
      <w:kern w:val="2"/>
      <w:sz w:val="24"/>
      <w:szCs w:val="24"/>
      <w:lang w:val="en-US" w:eastAsia="zh-CN" w:bidi="ar-SA"/>
    </w:rPr>
  </w:style>
  <w:style w:type="paragraph" w:customStyle="1" w:styleId="1067">
    <w:name w:val="a)"/>
    <w:basedOn w:val="1"/>
    <w:semiHidden/>
    <w:qFormat/>
    <w:uiPriority w:val="0"/>
    <w:pPr>
      <w:adjustRightInd w:val="0"/>
      <w:ind w:firstLine="567" w:firstLineChars="0"/>
    </w:pPr>
    <w:rPr>
      <w:rFonts w:cs="Times New Roman"/>
      <w:kern w:val="0"/>
      <w:sz w:val="28"/>
      <w:szCs w:val="20"/>
    </w:rPr>
  </w:style>
  <w:style w:type="character" w:customStyle="1" w:styleId="1068">
    <w:name w:val="表内容 Char Char"/>
    <w:link w:val="1069"/>
    <w:semiHidden/>
    <w:qFormat/>
    <w:locked/>
    <w:uiPriority w:val="0"/>
    <w:rPr>
      <w:rFonts w:ascii="宋体" w:hAnsi="宋体" w:eastAsia="宋体"/>
      <w:sz w:val="24"/>
    </w:rPr>
  </w:style>
  <w:style w:type="paragraph" w:customStyle="1" w:styleId="1069">
    <w:name w:val="表内容"/>
    <w:basedOn w:val="1"/>
    <w:next w:val="1"/>
    <w:link w:val="1068"/>
    <w:semiHidden/>
    <w:qFormat/>
    <w:uiPriority w:val="0"/>
    <w:pPr>
      <w:ind w:firstLine="0" w:firstLineChars="0"/>
      <w:jc w:val="center"/>
    </w:pPr>
    <w:rPr>
      <w:rFonts w:ascii="宋体" w:hAnsi="宋体"/>
    </w:rPr>
  </w:style>
  <w:style w:type="paragraph" w:customStyle="1" w:styleId="1070">
    <w:name w:val="表格头jophy"/>
    <w:basedOn w:val="1"/>
    <w:qFormat/>
    <w:uiPriority w:val="0"/>
    <w:pPr>
      <w:adjustRightInd w:val="0"/>
      <w:snapToGrid w:val="0"/>
      <w:spacing w:line="440" w:lineRule="exact"/>
      <w:ind w:firstLine="480"/>
      <w:jc w:val="center"/>
    </w:pPr>
    <w:rPr>
      <w:rFonts w:cs="Times New Roman"/>
      <w:b/>
      <w:bCs/>
      <w:spacing w:val="-10"/>
      <w:kern w:val="0"/>
      <w:szCs w:val="28"/>
    </w:rPr>
  </w:style>
  <w:style w:type="paragraph" w:customStyle="1" w:styleId="1071">
    <w:name w:val="Char Char Char Char Char Char Char Char Char Char"/>
    <w:basedOn w:val="1"/>
    <w:semiHidden/>
    <w:qFormat/>
    <w:uiPriority w:val="0"/>
    <w:pPr>
      <w:widowControl/>
      <w:spacing w:after="160" w:line="240" w:lineRule="exact"/>
      <w:ind w:firstLine="0" w:firstLineChars="0"/>
      <w:jc w:val="left"/>
    </w:pPr>
    <w:rPr>
      <w:rFonts w:ascii="Verdana" w:hAnsi="Verdana" w:cs="Times New Roman"/>
      <w:kern w:val="0"/>
      <w:sz w:val="20"/>
      <w:szCs w:val="20"/>
      <w:lang w:eastAsia="en-US"/>
    </w:rPr>
  </w:style>
  <w:style w:type="paragraph" w:customStyle="1" w:styleId="1072">
    <w:name w:val="样式 正文文字缩进 3 + 自动设置 图案: 清除 行距: 最小值 23 磅"/>
    <w:basedOn w:val="70"/>
    <w:qFormat/>
    <w:uiPriority w:val="0"/>
    <w:pPr>
      <w:adjustRightInd w:val="0"/>
      <w:snapToGrid w:val="0"/>
      <w:spacing w:after="0" w:line="420" w:lineRule="atLeast"/>
      <w:ind w:left="0" w:firstLine="200" w:firstLineChars="200"/>
    </w:pPr>
    <w:rPr>
      <w:rFonts w:cs="宋体"/>
      <w:kern w:val="0"/>
      <w:sz w:val="24"/>
      <w:szCs w:val="24"/>
    </w:rPr>
  </w:style>
  <w:style w:type="paragraph" w:customStyle="1" w:styleId="1073">
    <w:name w:val="Char Char Char Char Char Char Char Char Char Char Char Char Char Char Char Char Char Char Char"/>
    <w:basedOn w:val="1"/>
    <w:semiHidden/>
    <w:qFormat/>
    <w:uiPriority w:val="0"/>
    <w:pPr>
      <w:widowControl/>
      <w:spacing w:line="300" w:lineRule="auto"/>
    </w:pPr>
    <w:rPr>
      <w:rFonts w:ascii="Verdana" w:hAnsi="Verdana" w:cs="Times New Roman"/>
      <w:kern w:val="0"/>
      <w:sz w:val="21"/>
      <w:szCs w:val="20"/>
      <w:lang w:eastAsia="en-US"/>
    </w:rPr>
  </w:style>
  <w:style w:type="paragraph" w:customStyle="1" w:styleId="1074">
    <w:name w:val="样式 首行缩进:  1.82 字符"/>
    <w:basedOn w:val="1"/>
    <w:qFormat/>
    <w:uiPriority w:val="0"/>
    <w:pPr>
      <w:adjustRightInd w:val="0"/>
      <w:snapToGrid w:val="0"/>
      <w:spacing w:line="420" w:lineRule="atLeast"/>
    </w:pPr>
    <w:rPr>
      <w:rFonts w:cs="宋体"/>
      <w:kern w:val="0"/>
      <w:szCs w:val="24"/>
    </w:rPr>
  </w:style>
  <w:style w:type="paragraph" w:customStyle="1" w:styleId="1075">
    <w:name w:val="Char1 Char Char Char Char Char Char2 Char Char Char1"/>
    <w:basedOn w:val="1"/>
    <w:semiHidden/>
    <w:qFormat/>
    <w:uiPriority w:val="0"/>
    <w:pPr>
      <w:spacing w:line="240" w:lineRule="auto"/>
      <w:ind w:firstLine="0" w:firstLineChars="0"/>
    </w:pPr>
    <w:rPr>
      <w:rFonts w:cs="Times New Roman"/>
      <w:sz w:val="21"/>
      <w:szCs w:val="24"/>
    </w:rPr>
  </w:style>
  <w:style w:type="paragraph" w:customStyle="1" w:styleId="1076">
    <w:name w:val="王正文"/>
    <w:basedOn w:val="1"/>
    <w:qFormat/>
    <w:uiPriority w:val="0"/>
    <w:pPr>
      <w:spacing w:line="560" w:lineRule="exact"/>
    </w:pPr>
    <w:rPr>
      <w:rFonts w:cs="Times New Roman"/>
      <w:kern w:val="0"/>
      <w:szCs w:val="24"/>
    </w:rPr>
  </w:style>
  <w:style w:type="paragraph" w:customStyle="1" w:styleId="1077">
    <w:name w:val="xl130"/>
    <w:basedOn w:val="1"/>
    <w:semiHidden/>
    <w:qFormat/>
    <w:uiPriority w:val="0"/>
    <w:pPr>
      <w:widowControl/>
      <w:pBdr>
        <w:top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1078">
    <w:name w:val="Char2 Char Char Char"/>
    <w:basedOn w:val="1"/>
    <w:semiHidden/>
    <w:qFormat/>
    <w:uiPriority w:val="0"/>
    <w:pPr>
      <w:autoSpaceDE w:val="0"/>
      <w:autoSpaceDN w:val="0"/>
      <w:adjustRightInd w:val="0"/>
      <w:snapToGrid w:val="0"/>
      <w:spacing w:before="50" w:after="50"/>
      <w:ind w:firstLine="560"/>
    </w:pPr>
    <w:rPr>
      <w:rFonts w:ascii="宋体" w:hAnsi="宋体" w:eastAsia="仿宋_GB2312" w:cs="Times New Roman"/>
      <w:color w:val="000000"/>
      <w:szCs w:val="24"/>
    </w:rPr>
  </w:style>
  <w:style w:type="paragraph" w:customStyle="1" w:styleId="1079">
    <w:name w:val="msoacetate"/>
    <w:basedOn w:val="1"/>
    <w:semiHidden/>
    <w:qFormat/>
    <w:uiPriority w:val="0"/>
    <w:pPr>
      <w:adjustRightInd w:val="0"/>
      <w:spacing w:line="360" w:lineRule="atLeast"/>
      <w:ind w:firstLine="567" w:firstLineChars="0"/>
    </w:pPr>
    <w:rPr>
      <w:rFonts w:cs="Times New Roman"/>
      <w:kern w:val="0"/>
      <w:sz w:val="18"/>
      <w:szCs w:val="18"/>
    </w:rPr>
  </w:style>
  <w:style w:type="paragraph" w:customStyle="1" w:styleId="1080">
    <w:name w:val="xl83"/>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cs="Times New Roman"/>
      <w:color w:val="FF00FF"/>
      <w:kern w:val="0"/>
      <w:sz w:val="21"/>
    </w:rPr>
  </w:style>
  <w:style w:type="paragraph" w:customStyle="1" w:styleId="1081">
    <w:name w:val="Char Char Char1 Char Char Char Char Char Char Char Char Char1"/>
    <w:basedOn w:val="1"/>
    <w:qFormat/>
    <w:uiPriority w:val="0"/>
    <w:pPr>
      <w:spacing w:line="440" w:lineRule="exact"/>
    </w:pPr>
    <w:rPr>
      <w:rFonts w:ascii="Tahoma" w:hAnsi="Tahoma" w:cs="Garamond"/>
      <w:b/>
      <w:kern w:val="0"/>
      <w:sz w:val="28"/>
      <w:szCs w:val="28"/>
    </w:rPr>
  </w:style>
  <w:style w:type="paragraph" w:customStyle="1" w:styleId="1082">
    <w:name w:val="cjh"/>
    <w:basedOn w:val="1"/>
    <w:next w:val="1"/>
    <w:semiHidden/>
    <w:qFormat/>
    <w:uiPriority w:val="0"/>
    <w:pPr>
      <w:keepLines/>
      <w:suppressLineNumbers/>
      <w:suppressAutoHyphens/>
      <w:ind w:firstLine="0" w:firstLineChars="0"/>
      <w:jc w:val="center"/>
      <w:outlineLvl w:val="0"/>
    </w:pPr>
    <w:rPr>
      <w:rFonts w:ascii="宋体" w:cs="Times New Roman"/>
      <w:kern w:val="24"/>
      <w:szCs w:val="20"/>
    </w:rPr>
  </w:style>
  <w:style w:type="paragraph" w:customStyle="1" w:styleId="1083">
    <w:name w:val="Char Char Char Char Char2 Char Char Char Char"/>
    <w:basedOn w:val="1"/>
    <w:qFormat/>
    <w:uiPriority w:val="0"/>
    <w:pPr>
      <w:adjustRightInd w:val="0"/>
      <w:snapToGrid w:val="0"/>
    </w:pPr>
    <w:rPr>
      <w:rFonts w:ascii="宋体" w:hAnsi="宋体" w:cs="Times New Roman"/>
      <w:szCs w:val="20"/>
    </w:rPr>
  </w:style>
  <w:style w:type="character" w:customStyle="1" w:styleId="1084">
    <w:name w:val="FU3 Char"/>
    <w:basedOn w:val="133"/>
    <w:link w:val="1085"/>
    <w:semiHidden/>
    <w:qFormat/>
    <w:locked/>
    <w:uiPriority w:val="0"/>
    <w:rPr>
      <w:rFonts w:ascii="宋体" w:hAnsi="宋体" w:eastAsia="宋体"/>
      <w:b/>
      <w:bCs/>
      <w:sz w:val="24"/>
      <w:szCs w:val="32"/>
    </w:rPr>
  </w:style>
  <w:style w:type="paragraph" w:customStyle="1" w:styleId="1085">
    <w:name w:val="FU3"/>
    <w:basedOn w:val="5"/>
    <w:link w:val="1084"/>
    <w:semiHidden/>
    <w:qFormat/>
    <w:uiPriority w:val="0"/>
    <w:pPr>
      <w:spacing w:before="120" w:after="120"/>
      <w:jc w:val="left"/>
    </w:pPr>
    <w:rPr>
      <w:rFonts w:ascii="宋体" w:hAnsi="宋体" w:eastAsia="宋体" w:cstheme="minorBidi"/>
      <w:sz w:val="24"/>
    </w:rPr>
  </w:style>
  <w:style w:type="character" w:customStyle="1" w:styleId="1086">
    <w:name w:val="FU4 Char"/>
    <w:basedOn w:val="133"/>
    <w:link w:val="1087"/>
    <w:semiHidden/>
    <w:qFormat/>
    <w:locked/>
    <w:uiPriority w:val="0"/>
    <w:rPr>
      <w:rFonts w:ascii="黑体" w:hAnsi="Arial" w:eastAsia="黑体" w:cs="Arial"/>
      <w:b/>
      <w:bCs/>
      <w:color w:val="000000"/>
      <w:sz w:val="24"/>
      <w:szCs w:val="24"/>
    </w:rPr>
  </w:style>
  <w:style w:type="paragraph" w:customStyle="1" w:styleId="1087">
    <w:name w:val="FU4"/>
    <w:basedOn w:val="6"/>
    <w:link w:val="1086"/>
    <w:semiHidden/>
    <w:qFormat/>
    <w:uiPriority w:val="0"/>
    <w:pPr>
      <w:spacing w:before="120" w:after="120" w:line="460" w:lineRule="exact"/>
    </w:pPr>
    <w:rPr>
      <w:rFonts w:ascii="黑体" w:hAnsi="Arial" w:cs="Arial"/>
      <w:color w:val="000000"/>
      <w:szCs w:val="24"/>
    </w:rPr>
  </w:style>
  <w:style w:type="paragraph" w:customStyle="1" w:styleId="1088">
    <w:name w:val="主要负责人"/>
    <w:basedOn w:val="1"/>
    <w:next w:val="1"/>
    <w:semiHidden/>
    <w:qFormat/>
    <w:uiPriority w:val="0"/>
    <w:pPr>
      <w:spacing w:line="500" w:lineRule="atLeast"/>
      <w:ind w:firstLine="0" w:firstLineChars="0"/>
      <w:jc w:val="center"/>
    </w:pPr>
    <w:rPr>
      <w:rFonts w:cs="Times New Roman"/>
      <w:sz w:val="36"/>
      <w:szCs w:val="36"/>
    </w:rPr>
  </w:style>
  <w:style w:type="paragraph" w:customStyle="1" w:styleId="1089">
    <w:name w:val="fu5"/>
    <w:basedOn w:val="7"/>
    <w:semiHidden/>
    <w:qFormat/>
    <w:uiPriority w:val="0"/>
    <w:pPr>
      <w:keepLines/>
      <w:autoSpaceDE/>
      <w:autoSpaceDN/>
      <w:snapToGrid w:val="0"/>
      <w:spacing w:line="460" w:lineRule="atLeast"/>
      <w:jc w:val="left"/>
    </w:pPr>
    <w:rPr>
      <w:rFonts w:ascii="黑体" w:eastAsia="黑体" w:cs="Times New Roman"/>
      <w:color w:val="000000"/>
      <w:sz w:val="24"/>
      <w:szCs w:val="24"/>
      <w:lang w:val="en-US"/>
    </w:rPr>
  </w:style>
  <w:style w:type="paragraph" w:customStyle="1" w:styleId="1090">
    <w:name w:val="样式 样式 首行缩进:  2 字符1 + 首行缩进:  2 字符"/>
    <w:basedOn w:val="1"/>
    <w:qFormat/>
    <w:uiPriority w:val="0"/>
    <w:pPr>
      <w:spacing w:line="520" w:lineRule="exact"/>
      <w:ind w:firstLine="480"/>
      <w:jc w:val="left"/>
    </w:pPr>
    <w:rPr>
      <w:rFonts w:cs="宋体"/>
      <w:szCs w:val="20"/>
    </w:rPr>
  </w:style>
  <w:style w:type="paragraph" w:customStyle="1" w:styleId="1091">
    <w:name w:val="xl82"/>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99CCFF"/>
      <w:kern w:val="0"/>
      <w:sz w:val="21"/>
    </w:rPr>
  </w:style>
  <w:style w:type="paragraph" w:customStyle="1" w:styleId="1092">
    <w:name w:val="样式 (符号) 宋体"/>
    <w:basedOn w:val="1"/>
    <w:qFormat/>
    <w:uiPriority w:val="0"/>
    <w:pPr>
      <w:ind w:firstLine="359" w:firstLineChars="171"/>
    </w:pPr>
    <w:rPr>
      <w:rFonts w:hAnsi="宋体" w:cs="宋体"/>
      <w:szCs w:val="20"/>
    </w:rPr>
  </w:style>
  <w:style w:type="paragraph" w:customStyle="1" w:styleId="1093">
    <w:name w:val="kk"/>
    <w:basedOn w:val="34"/>
    <w:semiHidden/>
    <w:qFormat/>
    <w:uiPriority w:val="0"/>
    <w:pPr>
      <w:autoSpaceDE w:val="0"/>
      <w:autoSpaceDN w:val="0"/>
      <w:adjustRightInd w:val="0"/>
      <w:spacing w:after="0"/>
      <w:ind w:firstLine="0" w:firstLineChars="0"/>
    </w:pPr>
    <w:rPr>
      <w:rFonts w:cs="Times New Roman"/>
      <w:spacing w:val="10"/>
      <w:kern w:val="0"/>
      <w:szCs w:val="20"/>
    </w:rPr>
  </w:style>
  <w:style w:type="paragraph" w:customStyle="1" w:styleId="1094">
    <w:name w:val="xl134"/>
    <w:basedOn w:val="1"/>
    <w:semiHidden/>
    <w:qFormat/>
    <w:uiPriority w:val="0"/>
    <w:pPr>
      <w:widowControl/>
      <w:pBdr>
        <w:top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character" w:customStyle="1" w:styleId="1095">
    <w:name w:val="ld标题3 Char"/>
    <w:basedOn w:val="133"/>
    <w:link w:val="1096"/>
    <w:semiHidden/>
    <w:qFormat/>
    <w:locked/>
    <w:uiPriority w:val="0"/>
    <w:rPr>
      <w:rFonts w:ascii="宋体" w:hAnsi="宋体" w:eastAsia="宋体"/>
      <w:b/>
      <w:szCs w:val="32"/>
    </w:rPr>
  </w:style>
  <w:style w:type="paragraph" w:customStyle="1" w:styleId="1096">
    <w:name w:val="ld标题3"/>
    <w:basedOn w:val="5"/>
    <w:link w:val="1095"/>
    <w:semiHidden/>
    <w:qFormat/>
    <w:uiPriority w:val="0"/>
    <w:pPr>
      <w:spacing w:before="120" w:after="120"/>
      <w:jc w:val="left"/>
      <w:outlineLvl w:val="0"/>
    </w:pPr>
    <w:rPr>
      <w:rFonts w:ascii="宋体" w:hAnsi="宋体" w:eastAsia="宋体" w:cstheme="minorBidi"/>
      <w:bCs w:val="0"/>
      <w:sz w:val="21"/>
    </w:rPr>
  </w:style>
  <w:style w:type="paragraph" w:customStyle="1" w:styleId="1097">
    <w:name w:val="text-13"/>
    <w:basedOn w:val="1"/>
    <w:semiHidden/>
    <w:qFormat/>
    <w:uiPriority w:val="0"/>
    <w:pPr>
      <w:widowControl/>
      <w:spacing w:before="100" w:beforeAutospacing="1" w:after="100" w:afterAutospacing="1" w:line="336" w:lineRule="atLeast"/>
      <w:ind w:firstLine="0" w:firstLineChars="0"/>
      <w:jc w:val="left"/>
    </w:pPr>
    <w:rPr>
      <w:rFonts w:ascii="Arial" w:hAnsi="Arial" w:cs="Times New Roman"/>
      <w:color w:val="333333"/>
      <w:kern w:val="0"/>
      <w:szCs w:val="20"/>
    </w:rPr>
  </w:style>
  <w:style w:type="paragraph" w:customStyle="1" w:styleId="1098">
    <w:name w:val="01"/>
    <w:basedOn w:val="51"/>
    <w:qFormat/>
    <w:uiPriority w:val="0"/>
    <w:pPr>
      <w:spacing w:after="0" w:line="360" w:lineRule="auto"/>
      <w:ind w:left="0" w:leftChars="0" w:firstLine="480"/>
    </w:pPr>
    <w:rPr>
      <w:rFonts w:eastAsia="Times New Roman" w:cs="Times New Roman"/>
      <w:szCs w:val="20"/>
    </w:rPr>
  </w:style>
  <w:style w:type="paragraph" w:customStyle="1" w:styleId="1099">
    <w:name w:val="xiaotou"/>
    <w:basedOn w:val="1"/>
    <w:semiHidden/>
    <w:qFormat/>
    <w:uiPriority w:val="0"/>
    <w:pPr>
      <w:ind w:firstLine="0" w:firstLineChars="0"/>
    </w:pPr>
    <w:rPr>
      <w:rFonts w:ascii="宋体" w:hAnsi="宋体" w:cs="Times New Roman"/>
      <w:b/>
      <w:szCs w:val="20"/>
    </w:rPr>
  </w:style>
  <w:style w:type="paragraph" w:customStyle="1" w:styleId="1100">
    <w:name w:val="编号括号数字"/>
    <w:basedOn w:val="1"/>
    <w:qFormat/>
    <w:uiPriority w:val="0"/>
    <w:pPr>
      <w:tabs>
        <w:tab w:val="left" w:pos="939"/>
      </w:tabs>
      <w:ind w:left="342" w:firstLine="198"/>
      <w:outlineLvl w:val="4"/>
    </w:pPr>
    <w:rPr>
      <w:rFonts w:cs="Times New Roman"/>
      <w:szCs w:val="24"/>
    </w:rPr>
  </w:style>
  <w:style w:type="paragraph" w:customStyle="1" w:styleId="1101">
    <w:name w:val="xl103"/>
    <w:basedOn w:val="1"/>
    <w:semiHidden/>
    <w:qFormat/>
    <w:uiPriority w:val="0"/>
    <w:pPr>
      <w:widowControl/>
      <w:pBdr>
        <w:right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1102">
    <w:name w:val="yy1"/>
    <w:basedOn w:val="1"/>
    <w:semiHidden/>
    <w:qFormat/>
    <w:uiPriority w:val="0"/>
    <w:pPr>
      <w:keepNext/>
      <w:keepLines/>
      <w:spacing w:line="460" w:lineRule="exact"/>
      <w:ind w:firstLine="482" w:firstLineChars="0"/>
    </w:pPr>
    <w:rPr>
      <w:rFonts w:ascii="宋体" w:hAnsi="宋体" w:cs="Times New Roman"/>
      <w:color w:val="000000"/>
      <w:szCs w:val="24"/>
    </w:rPr>
  </w:style>
  <w:style w:type="paragraph" w:customStyle="1" w:styleId="1103">
    <w:name w:val="样式 标题 1 + 黑体 加粗 两端对齐 行距: 固定值 28 磅"/>
    <w:basedOn w:val="3"/>
    <w:semiHidden/>
    <w:qFormat/>
    <w:uiPriority w:val="0"/>
    <w:pPr>
      <w:keepLines w:val="0"/>
      <w:jc w:val="left"/>
    </w:pPr>
    <w:rPr>
      <w:rFonts w:ascii="黑体" w:hAnsi="宋体" w:eastAsia="宋体" w:cs="宋体"/>
      <w:kern w:val="2"/>
      <w:sz w:val="32"/>
      <w:szCs w:val="32"/>
    </w:rPr>
  </w:style>
  <w:style w:type="character" w:customStyle="1" w:styleId="1104">
    <w:name w:val="报告 Char Char"/>
    <w:link w:val="1105"/>
    <w:semiHidden/>
    <w:qFormat/>
    <w:locked/>
    <w:uiPriority w:val="0"/>
    <w:rPr>
      <w:rFonts w:ascii="宋体" w:hAnsi="宋体" w:eastAsia="宋体"/>
      <w:sz w:val="28"/>
      <w:szCs w:val="24"/>
    </w:rPr>
  </w:style>
  <w:style w:type="paragraph" w:customStyle="1" w:styleId="1105">
    <w:name w:val="报告"/>
    <w:basedOn w:val="1"/>
    <w:link w:val="1104"/>
    <w:semiHidden/>
    <w:qFormat/>
    <w:uiPriority w:val="0"/>
    <w:pPr>
      <w:widowControl/>
      <w:spacing w:beforeLines="50" w:after="120" w:line="440" w:lineRule="atLeast"/>
      <w:ind w:firstLine="560"/>
    </w:pPr>
    <w:rPr>
      <w:rFonts w:ascii="宋体" w:hAnsi="宋体"/>
      <w:sz w:val="28"/>
      <w:szCs w:val="24"/>
    </w:rPr>
  </w:style>
  <w:style w:type="character" w:customStyle="1" w:styleId="1106">
    <w:name w:val="首行缩进2 Char"/>
    <w:link w:val="1107"/>
    <w:qFormat/>
    <w:locked/>
    <w:uiPriority w:val="0"/>
    <w:rPr>
      <w:color w:val="000000"/>
      <w:sz w:val="24"/>
      <w:szCs w:val="24"/>
    </w:rPr>
  </w:style>
  <w:style w:type="paragraph" w:customStyle="1" w:styleId="1107">
    <w:name w:val="首行缩进2"/>
    <w:basedOn w:val="1"/>
    <w:link w:val="1106"/>
    <w:qFormat/>
    <w:uiPriority w:val="0"/>
    <w:pPr>
      <w:adjustRightInd w:val="0"/>
      <w:snapToGrid w:val="0"/>
      <w:spacing w:line="500" w:lineRule="exact"/>
      <w:ind w:firstLine="480"/>
    </w:pPr>
    <w:rPr>
      <w:rFonts w:asciiTheme="minorHAnsi" w:hAnsiTheme="minorHAnsi" w:eastAsiaTheme="minorEastAsia"/>
      <w:color w:val="000000"/>
      <w:szCs w:val="24"/>
    </w:rPr>
  </w:style>
  <w:style w:type="paragraph" w:customStyle="1" w:styleId="1108">
    <w:name w:val="xl68"/>
    <w:basedOn w:val="1"/>
    <w:semiHidden/>
    <w:qFormat/>
    <w:uiPriority w:val="0"/>
    <w:pPr>
      <w:widowControl/>
      <w:pBdr>
        <w:top w:val="single" w:color="auto" w:sz="12"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109">
    <w:name w:val="样式 首行缩进:  0 字符"/>
    <w:basedOn w:val="1"/>
    <w:qFormat/>
    <w:uiPriority w:val="0"/>
    <w:pPr>
      <w:adjustRightInd w:val="0"/>
      <w:snapToGrid w:val="0"/>
      <w:spacing w:line="420" w:lineRule="atLeast"/>
      <w:ind w:firstLine="0" w:firstLineChars="0"/>
    </w:pPr>
    <w:rPr>
      <w:rFonts w:cs="宋体"/>
      <w:kern w:val="0"/>
      <w:szCs w:val="24"/>
    </w:rPr>
  </w:style>
  <w:style w:type="paragraph" w:customStyle="1" w:styleId="1110">
    <w:name w:val="标题B"/>
    <w:basedOn w:val="4"/>
    <w:next w:val="4"/>
    <w:semiHidden/>
    <w:qFormat/>
    <w:uiPriority w:val="0"/>
    <w:pPr>
      <w:spacing w:before="120" w:after="120" w:line="460" w:lineRule="exact"/>
    </w:pPr>
    <w:rPr>
      <w:rFonts w:ascii="宋体" w:hAnsi="Arial" w:eastAsia="宋体"/>
      <w:sz w:val="21"/>
      <w:szCs w:val="24"/>
    </w:rPr>
  </w:style>
  <w:style w:type="paragraph" w:customStyle="1" w:styleId="1111">
    <w:name w:val="标题C"/>
    <w:basedOn w:val="5"/>
    <w:semiHidden/>
    <w:qFormat/>
    <w:uiPriority w:val="0"/>
    <w:pPr>
      <w:spacing w:before="120" w:after="120"/>
    </w:pPr>
    <w:rPr>
      <w:rFonts w:ascii="宋体" w:eastAsia="宋体"/>
      <w:sz w:val="24"/>
    </w:rPr>
  </w:style>
  <w:style w:type="paragraph" w:customStyle="1" w:styleId="1112">
    <w:name w:val="样式 正文文字 +"/>
    <w:basedOn w:val="34"/>
    <w:qFormat/>
    <w:uiPriority w:val="0"/>
    <w:pPr>
      <w:adjustRightInd w:val="0"/>
      <w:spacing w:before="60" w:after="60" w:line="264" w:lineRule="auto"/>
      <w:ind w:firstLine="110" w:firstLineChars="110"/>
    </w:pPr>
    <w:rPr>
      <w:rFonts w:ascii="Tahoma" w:hAnsi="Tahoma" w:eastAsia="华文仿宋" w:cs="Garamond"/>
      <w:kern w:val="0"/>
      <w:szCs w:val="24"/>
    </w:rPr>
  </w:style>
  <w:style w:type="paragraph" w:customStyle="1" w:styleId="1113">
    <w:name w:val="xl131"/>
    <w:basedOn w:val="1"/>
    <w:semiHidden/>
    <w:qFormat/>
    <w:uiPriority w:val="0"/>
    <w:pPr>
      <w:widowControl/>
      <w:pBdr>
        <w:top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114">
    <w:name w:val="标题样式5"/>
    <w:basedOn w:val="7"/>
    <w:semiHidden/>
    <w:qFormat/>
    <w:uiPriority w:val="0"/>
    <w:pPr>
      <w:keepLines/>
      <w:autoSpaceDE/>
      <w:autoSpaceDN/>
      <w:adjustRightInd/>
    </w:pPr>
    <w:rPr>
      <w:rFonts w:ascii="黑体" w:hAnsi="Times New Roman" w:eastAsia="黑体" w:cs="Times New Roman"/>
      <w:bCs/>
      <w:szCs w:val="28"/>
      <w:lang w:val="en-US"/>
    </w:rPr>
  </w:style>
  <w:style w:type="paragraph" w:customStyle="1" w:styleId="1115">
    <w:name w:val="Sun"/>
    <w:basedOn w:val="1"/>
    <w:qFormat/>
    <w:uiPriority w:val="0"/>
    <w:pPr>
      <w:adjustRightInd w:val="0"/>
      <w:ind w:firstLine="567" w:firstLineChars="0"/>
    </w:pPr>
    <w:rPr>
      <w:rFonts w:cs="Times New Roman"/>
      <w:kern w:val="28"/>
      <w:sz w:val="28"/>
      <w:szCs w:val="20"/>
    </w:rPr>
  </w:style>
  <w:style w:type="paragraph" w:customStyle="1" w:styleId="1116">
    <w:name w:val="表6-1"/>
    <w:basedOn w:val="73"/>
    <w:semiHidden/>
    <w:qFormat/>
    <w:uiPriority w:val="0"/>
    <w:pPr>
      <w:tabs>
        <w:tab w:val="left" w:pos="360"/>
        <w:tab w:val="center" w:pos="992"/>
      </w:tabs>
      <w:spacing w:beforeLines="50"/>
      <w:ind w:left="0" w:leftChars="0" w:firstLine="0" w:firstLineChars="0"/>
      <w:jc w:val="center"/>
    </w:pPr>
  </w:style>
  <w:style w:type="paragraph" w:customStyle="1" w:styleId="1117">
    <w:name w:val="表内容中"/>
    <w:basedOn w:val="50"/>
    <w:semiHidden/>
    <w:qFormat/>
    <w:uiPriority w:val="0"/>
    <w:pPr>
      <w:spacing w:line="240" w:lineRule="auto"/>
      <w:ind w:left="0" w:leftChars="0" w:firstLine="0" w:firstLineChars="0"/>
      <w:jc w:val="center"/>
    </w:pPr>
    <w:rPr>
      <w:rFonts w:ascii="楷体_GB2312" w:hAnsi="宋体" w:eastAsia="楷体_GB2312" w:cs="Times New Roman"/>
      <w:color w:val="000000"/>
      <w:kern w:val="0"/>
      <w:sz w:val="28"/>
      <w:szCs w:val="20"/>
    </w:rPr>
  </w:style>
  <w:style w:type="paragraph" w:customStyle="1" w:styleId="1118">
    <w:name w:val="Char Char Char Char Char Char Char Char Char Char Char Char Char Char Char Char Char Char Char Char Char Char Char Char"/>
    <w:basedOn w:val="5"/>
    <w:semiHidden/>
    <w:qFormat/>
    <w:uiPriority w:val="0"/>
    <w:pPr>
      <w:tabs>
        <w:tab w:val="left" w:pos="360"/>
        <w:tab w:val="left" w:pos="900"/>
      </w:tabs>
      <w:snapToGrid w:val="0"/>
      <w:spacing w:before="120" w:after="120"/>
      <w:ind w:left="542" w:leftChars="-12" w:firstLine="200" w:firstLineChars="200"/>
      <w:jc w:val="left"/>
    </w:pPr>
    <w:rPr>
      <w:b w:val="0"/>
      <w:bCs w:val="0"/>
      <w:sz w:val="24"/>
      <w:szCs w:val="24"/>
    </w:rPr>
  </w:style>
  <w:style w:type="paragraph" w:customStyle="1" w:styleId="1119">
    <w:name w:val="杨政文"/>
    <w:basedOn w:val="34"/>
    <w:semiHidden/>
    <w:qFormat/>
    <w:uiPriority w:val="0"/>
    <w:pPr>
      <w:spacing w:after="0" w:line="460" w:lineRule="exact"/>
    </w:pPr>
    <w:rPr>
      <w:rFonts w:cs="Times New Roman"/>
      <w:szCs w:val="24"/>
    </w:rPr>
  </w:style>
  <w:style w:type="paragraph" w:customStyle="1" w:styleId="1120">
    <w:name w:val="图表名zw"/>
    <w:basedOn w:val="34"/>
    <w:qFormat/>
    <w:uiPriority w:val="0"/>
    <w:pPr>
      <w:adjustRightInd w:val="0"/>
      <w:snapToGrid w:val="0"/>
      <w:spacing w:before="131" w:after="0" w:line="440" w:lineRule="exact"/>
      <w:ind w:firstLine="480"/>
      <w:jc w:val="center"/>
    </w:pPr>
    <w:rPr>
      <w:rFonts w:hAnsi="Courier New" w:eastAsia="Times New Roman" w:cs="Courier New"/>
      <w:kern w:val="0"/>
      <w:szCs w:val="24"/>
    </w:rPr>
  </w:style>
  <w:style w:type="paragraph" w:customStyle="1" w:styleId="1121">
    <w:name w:val="样式4 Char Char Char Char Char"/>
    <w:basedOn w:val="1"/>
    <w:semiHidden/>
    <w:qFormat/>
    <w:uiPriority w:val="0"/>
    <w:pPr>
      <w:ind w:firstLine="480"/>
    </w:pPr>
    <w:rPr>
      <w:rFonts w:ascii="宋体" w:hAnsi="宋体" w:cs="Times New Roman"/>
      <w:szCs w:val="20"/>
    </w:rPr>
  </w:style>
  <w:style w:type="character" w:customStyle="1" w:styleId="1122">
    <w:name w:val="正文（首行缩进） Char1"/>
    <w:link w:val="1123"/>
    <w:semiHidden/>
    <w:qFormat/>
    <w:locked/>
    <w:uiPriority w:val="0"/>
    <w:rPr>
      <w:szCs w:val="24"/>
    </w:rPr>
  </w:style>
  <w:style w:type="paragraph" w:customStyle="1" w:styleId="1123">
    <w:name w:val="正文（首行缩进）"/>
    <w:basedOn w:val="34"/>
    <w:link w:val="1122"/>
    <w:semiHidden/>
    <w:qFormat/>
    <w:uiPriority w:val="0"/>
    <w:pPr>
      <w:tabs>
        <w:tab w:val="left" w:pos="840"/>
      </w:tabs>
      <w:spacing w:after="0" w:line="300" w:lineRule="auto"/>
    </w:pPr>
    <w:rPr>
      <w:rFonts w:asciiTheme="minorHAnsi" w:hAnsiTheme="minorHAnsi" w:eastAsiaTheme="minorEastAsia"/>
      <w:sz w:val="21"/>
      <w:szCs w:val="24"/>
    </w:rPr>
  </w:style>
  <w:style w:type="paragraph" w:customStyle="1" w:styleId="1124">
    <w:name w:val="样式 样式 表格1 + 首行缩进:  2 字符 + 首行缩进:  2 字符"/>
    <w:basedOn w:val="1"/>
    <w:qFormat/>
    <w:uiPriority w:val="0"/>
    <w:pPr>
      <w:spacing w:line="400" w:lineRule="exact"/>
      <w:ind w:firstLine="0" w:firstLineChars="0"/>
      <w:jc w:val="left"/>
    </w:pPr>
    <w:rPr>
      <w:rFonts w:cs="宋体"/>
      <w:sz w:val="21"/>
      <w:szCs w:val="20"/>
    </w:rPr>
  </w:style>
  <w:style w:type="character" w:customStyle="1" w:styleId="1125">
    <w:name w:val="正文wang Char"/>
    <w:basedOn w:val="133"/>
    <w:link w:val="1126"/>
    <w:semiHidden/>
    <w:qFormat/>
    <w:locked/>
    <w:uiPriority w:val="0"/>
    <w:rPr>
      <w:rFonts w:ascii="宋体" w:hAnsi="宋体" w:eastAsia="宋体"/>
      <w:spacing w:val="-4"/>
      <w:sz w:val="24"/>
      <w:szCs w:val="24"/>
    </w:rPr>
  </w:style>
  <w:style w:type="paragraph" w:customStyle="1" w:styleId="1126">
    <w:name w:val="正文wang"/>
    <w:basedOn w:val="1"/>
    <w:link w:val="1125"/>
    <w:semiHidden/>
    <w:qFormat/>
    <w:uiPriority w:val="0"/>
    <w:pPr>
      <w:ind w:firstLine="464"/>
    </w:pPr>
    <w:rPr>
      <w:rFonts w:ascii="宋体" w:hAnsi="宋体"/>
      <w:spacing w:val="-4"/>
      <w:szCs w:val="24"/>
    </w:rPr>
  </w:style>
  <w:style w:type="paragraph" w:customStyle="1" w:styleId="1127">
    <w:name w:val="封面单位"/>
    <w:basedOn w:val="1"/>
    <w:qFormat/>
    <w:uiPriority w:val="0"/>
    <w:pPr>
      <w:adjustRightInd w:val="0"/>
      <w:snapToGrid w:val="0"/>
      <w:ind w:firstLine="480"/>
      <w:jc w:val="center"/>
    </w:pPr>
    <w:rPr>
      <w:rFonts w:cs="Times New Roman"/>
      <w:b/>
      <w:bCs/>
      <w:kern w:val="0"/>
      <w:sz w:val="36"/>
      <w:szCs w:val="24"/>
    </w:rPr>
  </w:style>
  <w:style w:type="paragraph" w:customStyle="1" w:styleId="1128">
    <w:name w:val="正文正文正文正文"/>
    <w:basedOn w:val="1"/>
    <w:next w:val="1"/>
    <w:semiHidden/>
    <w:qFormat/>
    <w:uiPriority w:val="0"/>
    <w:pPr>
      <w:keepNext/>
      <w:keepLines/>
      <w:widowControl/>
      <w:adjustRightInd w:val="0"/>
      <w:spacing w:before="40" w:after="40"/>
      <w:jc w:val="left"/>
    </w:pPr>
    <w:rPr>
      <w:rFonts w:ascii="宋体" w:cs="宋体"/>
      <w:bCs/>
      <w:kern w:val="0"/>
      <w:szCs w:val="28"/>
    </w:rPr>
  </w:style>
  <w:style w:type="paragraph" w:customStyle="1" w:styleId="1129">
    <w:name w:val="9"/>
    <w:basedOn w:val="1"/>
    <w:qFormat/>
    <w:uiPriority w:val="0"/>
    <w:pPr>
      <w:tabs>
        <w:tab w:val="left" w:pos="425"/>
        <w:tab w:val="left" w:pos="780"/>
      </w:tabs>
      <w:autoSpaceDE w:val="0"/>
      <w:autoSpaceDN w:val="0"/>
      <w:adjustRightInd w:val="0"/>
      <w:spacing w:beforeLines="30"/>
      <w:ind w:firstLine="478" w:firstLineChars="199"/>
    </w:pPr>
    <w:rPr>
      <w:rFonts w:ascii="仿宋_GB2312" w:hAnsi="宋体" w:eastAsia="仿宋_GB2312" w:cs="Times New Roman"/>
      <w:kern w:val="0"/>
      <w:szCs w:val="20"/>
    </w:rPr>
  </w:style>
  <w:style w:type="paragraph" w:customStyle="1" w:styleId="1130">
    <w:name w:val="dandan6-13正文 Char Char Char"/>
    <w:basedOn w:val="1"/>
    <w:next w:val="1"/>
    <w:semiHidden/>
    <w:qFormat/>
    <w:uiPriority w:val="0"/>
    <w:pPr>
      <w:keepNext/>
      <w:keepLines/>
      <w:widowControl/>
      <w:adjustRightInd w:val="0"/>
      <w:spacing w:before="40" w:after="40"/>
    </w:pPr>
    <w:rPr>
      <w:rFonts w:cs="宋体"/>
      <w:kern w:val="0"/>
      <w:szCs w:val="28"/>
    </w:rPr>
  </w:style>
  <w:style w:type="paragraph" w:customStyle="1" w:styleId="1131">
    <w:name w:val="_Style 28"/>
    <w:basedOn w:val="1"/>
    <w:semiHidden/>
    <w:qFormat/>
    <w:uiPriority w:val="0"/>
    <w:pPr>
      <w:spacing w:line="240" w:lineRule="auto"/>
      <w:ind w:firstLine="0" w:firstLineChars="0"/>
    </w:pPr>
    <w:rPr>
      <w:rFonts w:cs="Times New Roman"/>
      <w:kern w:val="0"/>
      <w:sz w:val="21"/>
      <w:szCs w:val="20"/>
    </w:rPr>
  </w:style>
  <w:style w:type="paragraph" w:customStyle="1" w:styleId="1132">
    <w:name w:val="0"/>
    <w:basedOn w:val="1"/>
    <w:semiHidden/>
    <w:qFormat/>
    <w:uiPriority w:val="0"/>
    <w:pPr>
      <w:snapToGrid w:val="0"/>
      <w:spacing w:line="336" w:lineRule="auto"/>
      <w:ind w:firstLine="0"/>
    </w:pPr>
    <w:rPr>
      <w:rFonts w:cs="Times New Roman"/>
      <w:szCs w:val="20"/>
    </w:rPr>
  </w:style>
  <w:style w:type="character" w:customStyle="1" w:styleId="1133">
    <w:name w:val="表格－正文 Char"/>
    <w:basedOn w:val="133"/>
    <w:link w:val="1134"/>
    <w:semiHidden/>
    <w:qFormat/>
    <w:locked/>
    <w:uiPriority w:val="0"/>
    <w:rPr>
      <w:rFonts w:ascii="Vrinda" w:hAnsi="Vrinda" w:cs="Vrinda"/>
    </w:rPr>
  </w:style>
  <w:style w:type="paragraph" w:customStyle="1" w:styleId="1134">
    <w:name w:val="表格－正文"/>
    <w:basedOn w:val="1"/>
    <w:link w:val="1133"/>
    <w:semiHidden/>
    <w:qFormat/>
    <w:uiPriority w:val="0"/>
    <w:pPr>
      <w:spacing w:line="300" w:lineRule="exact"/>
      <w:ind w:firstLine="0" w:firstLineChars="0"/>
      <w:jc w:val="center"/>
    </w:pPr>
    <w:rPr>
      <w:rFonts w:ascii="Vrinda" w:hAnsi="Vrinda" w:cs="Vrinda" w:eastAsiaTheme="minorEastAsia"/>
      <w:sz w:val="21"/>
    </w:rPr>
  </w:style>
  <w:style w:type="paragraph" w:customStyle="1" w:styleId="1135">
    <w:name w:val="样式 表头 + 段前: 0.5 行 段后: 0.5 行"/>
    <w:basedOn w:val="1"/>
    <w:semiHidden/>
    <w:qFormat/>
    <w:uiPriority w:val="0"/>
    <w:pPr>
      <w:autoSpaceDE w:val="0"/>
      <w:autoSpaceDN w:val="0"/>
      <w:adjustRightInd w:val="0"/>
      <w:spacing w:before="100" w:beforeAutospacing="1" w:after="100" w:afterAutospacing="1" w:line="480" w:lineRule="exact"/>
      <w:ind w:firstLine="0" w:firstLineChars="0"/>
      <w:jc w:val="center"/>
    </w:pPr>
    <w:rPr>
      <w:rFonts w:cs="Times New Roman"/>
      <w:b/>
      <w:bCs/>
      <w:szCs w:val="20"/>
      <w:lang w:val="zh-CN"/>
    </w:rPr>
  </w:style>
  <w:style w:type="character" w:customStyle="1" w:styleId="1136">
    <w:name w:val="样式 2 Char Char"/>
    <w:basedOn w:val="133"/>
    <w:link w:val="1137"/>
    <w:semiHidden/>
    <w:qFormat/>
    <w:locked/>
    <w:uiPriority w:val="0"/>
    <w:rPr>
      <w:rFonts w:ascii="宋体" w:hAnsi="宋体" w:eastAsia="宋体" w:cs="Arial"/>
      <w:b/>
      <w:sz w:val="28"/>
      <w:szCs w:val="30"/>
      <w:lang w:val="zh-CN"/>
    </w:rPr>
  </w:style>
  <w:style w:type="paragraph" w:customStyle="1" w:styleId="1137">
    <w:name w:val="样式 2"/>
    <w:basedOn w:val="5"/>
    <w:link w:val="1136"/>
    <w:semiHidden/>
    <w:qFormat/>
    <w:uiPriority w:val="0"/>
    <w:pPr>
      <w:tabs>
        <w:tab w:val="left" w:pos="3261"/>
        <w:tab w:val="center" w:pos="4156"/>
        <w:tab w:val="left" w:pos="6210"/>
      </w:tabs>
      <w:adjustRightInd w:val="0"/>
      <w:spacing w:beforeLines="50" w:afterLines="50" w:line="600" w:lineRule="exact"/>
      <w:jc w:val="center"/>
      <w:outlineLvl w:val="5"/>
    </w:pPr>
    <w:rPr>
      <w:rFonts w:ascii="宋体" w:hAnsi="宋体" w:eastAsia="宋体" w:cs="Arial"/>
      <w:bCs w:val="0"/>
      <w:szCs w:val="30"/>
      <w:lang w:val="zh-CN"/>
    </w:rPr>
  </w:style>
  <w:style w:type="paragraph" w:customStyle="1" w:styleId="1138">
    <w:name w:val="white"/>
    <w:basedOn w:val="1"/>
    <w:qFormat/>
    <w:uiPriority w:val="0"/>
    <w:pPr>
      <w:widowControl/>
      <w:spacing w:line="240" w:lineRule="auto"/>
      <w:ind w:firstLine="0" w:firstLineChars="0"/>
      <w:jc w:val="left"/>
    </w:pPr>
    <w:rPr>
      <w:rFonts w:ascii="宋体" w:hAnsi="宋体" w:cs="宋体"/>
      <w:color w:val="FFFFFF"/>
      <w:kern w:val="0"/>
      <w:szCs w:val="24"/>
    </w:rPr>
  </w:style>
  <w:style w:type="character" w:customStyle="1" w:styleId="1139">
    <w:name w:val="样式 亚行正文 + 自动设置 Char"/>
    <w:basedOn w:val="133"/>
    <w:link w:val="1140"/>
    <w:semiHidden/>
    <w:qFormat/>
    <w:locked/>
    <w:uiPriority w:val="0"/>
    <w:rPr>
      <w:snapToGrid w:val="0"/>
      <w:spacing w:val="-2"/>
      <w:sz w:val="24"/>
      <w:szCs w:val="24"/>
    </w:rPr>
  </w:style>
  <w:style w:type="paragraph" w:customStyle="1" w:styleId="1140">
    <w:name w:val="样式 亚行正文 + 自动设置"/>
    <w:basedOn w:val="1"/>
    <w:link w:val="1139"/>
    <w:semiHidden/>
    <w:qFormat/>
    <w:uiPriority w:val="0"/>
    <w:pPr>
      <w:snapToGrid w:val="0"/>
    </w:pPr>
    <w:rPr>
      <w:rFonts w:asciiTheme="minorHAnsi" w:hAnsiTheme="minorHAnsi" w:eastAsiaTheme="minorEastAsia"/>
      <w:snapToGrid w:val="0"/>
      <w:spacing w:val="-2"/>
      <w:szCs w:val="24"/>
    </w:rPr>
  </w:style>
  <w:style w:type="character" w:customStyle="1" w:styleId="1141">
    <w:name w:val="正文小四 Char"/>
    <w:basedOn w:val="133"/>
    <w:link w:val="1142"/>
    <w:semiHidden/>
    <w:qFormat/>
    <w:locked/>
    <w:uiPriority w:val="0"/>
    <w:rPr>
      <w:sz w:val="24"/>
    </w:rPr>
  </w:style>
  <w:style w:type="paragraph" w:customStyle="1" w:styleId="1142">
    <w:name w:val="正文小四"/>
    <w:basedOn w:val="1"/>
    <w:link w:val="1141"/>
    <w:semiHidden/>
    <w:qFormat/>
    <w:uiPriority w:val="0"/>
    <w:pPr>
      <w:jc w:val="left"/>
    </w:pPr>
    <w:rPr>
      <w:rFonts w:asciiTheme="minorHAnsi" w:hAnsiTheme="minorHAnsi" w:eastAsiaTheme="minorEastAsia"/>
    </w:rPr>
  </w:style>
  <w:style w:type="character" w:customStyle="1" w:styleId="1143">
    <w:name w:val="报告书正文 Char"/>
    <w:basedOn w:val="133"/>
    <w:link w:val="1144"/>
    <w:semiHidden/>
    <w:qFormat/>
    <w:locked/>
    <w:uiPriority w:val="0"/>
    <w:rPr>
      <w:sz w:val="24"/>
      <w:szCs w:val="24"/>
    </w:rPr>
  </w:style>
  <w:style w:type="paragraph" w:customStyle="1" w:styleId="1144">
    <w:name w:val="报告书正文"/>
    <w:basedOn w:val="1"/>
    <w:link w:val="1143"/>
    <w:semiHidden/>
    <w:qFormat/>
    <w:uiPriority w:val="0"/>
    <w:pPr>
      <w:ind w:firstLine="480"/>
    </w:pPr>
    <w:rPr>
      <w:rFonts w:asciiTheme="minorHAnsi" w:hAnsiTheme="minorHAnsi" w:eastAsiaTheme="minorEastAsia"/>
      <w:szCs w:val="24"/>
    </w:rPr>
  </w:style>
  <w:style w:type="paragraph" w:customStyle="1" w:styleId="1145">
    <w:name w:val="标题4-4"/>
    <w:basedOn w:val="6"/>
    <w:qFormat/>
    <w:uiPriority w:val="0"/>
    <w:pPr>
      <w:tabs>
        <w:tab w:val="left" w:pos="1134"/>
        <w:tab w:val="left" w:pos="1630"/>
      </w:tabs>
      <w:spacing w:before="240" w:after="120"/>
    </w:pPr>
    <w:rPr>
      <w:rFonts w:eastAsia="宋体" w:cs="Times New Roman"/>
      <w:szCs w:val="24"/>
    </w:rPr>
  </w:style>
  <w:style w:type="character" w:customStyle="1" w:styleId="1146">
    <w:name w:val="样式 样式 表格 + (中文) 黑体 + (中文) 黑体 Char"/>
    <w:basedOn w:val="133"/>
    <w:link w:val="1147"/>
    <w:semiHidden/>
    <w:qFormat/>
    <w:locked/>
    <w:uiPriority w:val="0"/>
    <w:rPr>
      <w:rFonts w:ascii="黑体" w:hAnsi="黑体" w:eastAsia="黑体"/>
      <w:color w:val="000000"/>
      <w:spacing w:val="-8"/>
      <w:sz w:val="18"/>
      <w:szCs w:val="18"/>
    </w:rPr>
  </w:style>
  <w:style w:type="paragraph" w:customStyle="1" w:styleId="1147">
    <w:name w:val="样式 样式 表格 + (中文) 黑体 + (中文) 黑体"/>
    <w:basedOn w:val="1"/>
    <w:link w:val="1146"/>
    <w:semiHidden/>
    <w:qFormat/>
    <w:uiPriority w:val="0"/>
    <w:pPr>
      <w:tabs>
        <w:tab w:val="left" w:pos="1680"/>
        <w:tab w:val="left" w:pos="3465"/>
      </w:tabs>
      <w:adjustRightInd w:val="0"/>
      <w:spacing w:line="240" w:lineRule="auto"/>
      <w:ind w:firstLine="0" w:firstLineChars="0"/>
      <w:jc w:val="center"/>
    </w:pPr>
    <w:rPr>
      <w:rFonts w:ascii="黑体" w:hAnsi="黑体" w:eastAsia="黑体"/>
      <w:color w:val="000000"/>
      <w:spacing w:val="-8"/>
      <w:sz w:val="18"/>
      <w:szCs w:val="18"/>
    </w:rPr>
  </w:style>
  <w:style w:type="character" w:customStyle="1" w:styleId="1148">
    <w:name w:val="表格1 Char"/>
    <w:basedOn w:val="133"/>
    <w:link w:val="1149"/>
    <w:semiHidden/>
    <w:qFormat/>
    <w:locked/>
    <w:uiPriority w:val="0"/>
    <w:rPr>
      <w:rFonts w:ascii="新宋体" w:hAnsi="新宋体" w:eastAsia="新宋体"/>
      <w:sz w:val="24"/>
      <w:szCs w:val="24"/>
    </w:rPr>
  </w:style>
  <w:style w:type="paragraph" w:customStyle="1" w:styleId="1149">
    <w:name w:val="表格1"/>
    <w:basedOn w:val="1"/>
    <w:link w:val="1148"/>
    <w:semiHidden/>
    <w:qFormat/>
    <w:uiPriority w:val="0"/>
    <w:pPr>
      <w:keepNext/>
      <w:ind w:firstLine="482"/>
    </w:pPr>
    <w:rPr>
      <w:rFonts w:ascii="新宋体" w:hAnsi="新宋体" w:eastAsia="新宋体"/>
      <w:szCs w:val="24"/>
    </w:rPr>
  </w:style>
  <w:style w:type="character" w:customStyle="1" w:styleId="1150">
    <w:name w:val="表头1 Char"/>
    <w:basedOn w:val="133"/>
    <w:link w:val="1151"/>
    <w:semiHidden/>
    <w:qFormat/>
    <w:locked/>
    <w:uiPriority w:val="0"/>
    <w:rPr>
      <w:rFonts w:ascii="黑体" w:hAnsi="黑体" w:eastAsia="黑体"/>
      <w:szCs w:val="21"/>
    </w:rPr>
  </w:style>
  <w:style w:type="paragraph" w:customStyle="1" w:styleId="1151">
    <w:name w:val="表头1"/>
    <w:basedOn w:val="1"/>
    <w:next w:val="1"/>
    <w:link w:val="1150"/>
    <w:semiHidden/>
    <w:qFormat/>
    <w:uiPriority w:val="0"/>
    <w:pPr>
      <w:tabs>
        <w:tab w:val="left" w:pos="605"/>
      </w:tabs>
      <w:adjustRightInd w:val="0"/>
      <w:snapToGrid w:val="0"/>
      <w:spacing w:line="240" w:lineRule="auto"/>
      <w:ind w:firstLine="0" w:firstLineChars="0"/>
      <w:jc w:val="center"/>
    </w:pPr>
    <w:rPr>
      <w:rFonts w:ascii="黑体" w:hAnsi="黑体" w:eastAsia="黑体"/>
      <w:sz w:val="21"/>
    </w:rPr>
  </w:style>
  <w:style w:type="paragraph" w:customStyle="1" w:styleId="1152">
    <w:name w:val="chapter"/>
    <w:basedOn w:val="1"/>
    <w:qFormat/>
    <w:uiPriority w:val="0"/>
    <w:pPr>
      <w:widowControl/>
      <w:spacing w:before="100" w:beforeAutospacing="1" w:after="100" w:afterAutospacing="1" w:line="240" w:lineRule="auto"/>
      <w:ind w:firstLine="0" w:firstLineChars="0"/>
      <w:jc w:val="left"/>
    </w:pPr>
    <w:rPr>
      <w:rFonts w:ascii="Arial" w:hAnsi="Arial" w:cs="Arial"/>
      <w:b/>
      <w:bCs/>
      <w:kern w:val="0"/>
      <w:sz w:val="19"/>
      <w:szCs w:val="19"/>
    </w:rPr>
  </w:style>
  <w:style w:type="character" w:customStyle="1" w:styleId="1153">
    <w:name w:val="样式 纯文本普通文字 Char普通文字 Char Char Char普通文字 Char Char Char Char Ch...1 Char"/>
    <w:basedOn w:val="133"/>
    <w:link w:val="1154"/>
    <w:semiHidden/>
    <w:qFormat/>
    <w:locked/>
    <w:uiPriority w:val="0"/>
    <w:rPr>
      <w:color w:val="000000"/>
      <w:sz w:val="28"/>
    </w:rPr>
  </w:style>
  <w:style w:type="paragraph" w:customStyle="1" w:styleId="1154">
    <w:name w:val="样式 纯文本普通文字 Char普通文字 Char Char Char普通文字 Char Char Char Char Ch...1"/>
    <w:basedOn w:val="45"/>
    <w:link w:val="1153"/>
    <w:semiHidden/>
    <w:qFormat/>
    <w:uiPriority w:val="0"/>
    <w:pPr>
      <w:spacing w:line="640" w:lineRule="exact"/>
      <w:ind w:firstLine="200" w:firstLineChars="200"/>
    </w:pPr>
    <w:rPr>
      <w:rFonts w:asciiTheme="minorHAnsi" w:hAnsiTheme="minorHAnsi"/>
      <w:color w:val="000000"/>
      <w:sz w:val="28"/>
    </w:rPr>
  </w:style>
  <w:style w:type="paragraph" w:customStyle="1" w:styleId="1155">
    <w:name w:val="样式 小四"/>
    <w:basedOn w:val="1"/>
    <w:qFormat/>
    <w:uiPriority w:val="0"/>
    <w:pPr>
      <w:adjustRightInd w:val="0"/>
      <w:spacing w:line="480" w:lineRule="atLeast"/>
      <w:ind w:firstLine="510" w:firstLineChars="0"/>
    </w:pPr>
    <w:rPr>
      <w:rFonts w:cs="Times New Roman"/>
      <w:kern w:val="0"/>
      <w:szCs w:val="20"/>
    </w:rPr>
  </w:style>
  <w:style w:type="character" w:customStyle="1" w:styleId="1156">
    <w:name w:val="燕山正文 Char"/>
    <w:basedOn w:val="133"/>
    <w:link w:val="1157"/>
    <w:semiHidden/>
    <w:qFormat/>
    <w:locked/>
    <w:uiPriority w:val="0"/>
    <w:rPr>
      <w:rFonts w:ascii="宋体" w:hAnsi="宋体" w:eastAsia="宋体"/>
      <w:color w:val="000000"/>
      <w:sz w:val="24"/>
      <w:szCs w:val="28"/>
    </w:rPr>
  </w:style>
  <w:style w:type="paragraph" w:customStyle="1" w:styleId="1157">
    <w:name w:val="燕山正文"/>
    <w:basedOn w:val="1"/>
    <w:link w:val="1156"/>
    <w:semiHidden/>
    <w:qFormat/>
    <w:uiPriority w:val="0"/>
    <w:pPr>
      <w:tabs>
        <w:tab w:val="left" w:pos="4680"/>
      </w:tabs>
      <w:adjustRightInd w:val="0"/>
      <w:snapToGrid w:val="0"/>
      <w:ind w:firstLine="560"/>
    </w:pPr>
    <w:rPr>
      <w:rFonts w:ascii="宋体" w:hAnsi="宋体"/>
      <w:color w:val="000000"/>
      <w:szCs w:val="28"/>
    </w:rPr>
  </w:style>
  <w:style w:type="character" w:customStyle="1" w:styleId="1158">
    <w:name w:val="通用正文 Char"/>
    <w:basedOn w:val="133"/>
    <w:link w:val="1159"/>
    <w:semiHidden/>
    <w:qFormat/>
    <w:locked/>
    <w:uiPriority w:val="0"/>
    <w:rPr>
      <w:rFonts w:ascii="新宋体" w:hAnsi="新宋体" w:eastAsia="新宋体"/>
      <w:sz w:val="24"/>
      <w:szCs w:val="24"/>
    </w:rPr>
  </w:style>
  <w:style w:type="paragraph" w:customStyle="1" w:styleId="1159">
    <w:name w:val="通用正文"/>
    <w:basedOn w:val="1"/>
    <w:link w:val="1158"/>
    <w:semiHidden/>
    <w:qFormat/>
    <w:uiPriority w:val="0"/>
    <w:pPr>
      <w:spacing w:line="600" w:lineRule="exact"/>
    </w:pPr>
    <w:rPr>
      <w:rFonts w:ascii="新宋体" w:hAnsi="新宋体" w:eastAsia="新宋体"/>
      <w:szCs w:val="24"/>
    </w:rPr>
  </w:style>
  <w:style w:type="paragraph" w:customStyle="1" w:styleId="1160">
    <w:name w:val="font14"/>
    <w:basedOn w:val="1"/>
    <w:semiHidden/>
    <w:qFormat/>
    <w:uiPriority w:val="0"/>
    <w:pPr>
      <w:widowControl/>
      <w:spacing w:before="100" w:beforeAutospacing="1" w:after="100" w:afterAutospacing="1" w:line="240" w:lineRule="auto"/>
      <w:ind w:firstLine="0" w:firstLineChars="0"/>
      <w:jc w:val="left"/>
    </w:pPr>
    <w:rPr>
      <w:rFonts w:ascii="宋体" w:hAnsi="宋体" w:cs="宋体"/>
      <w:color w:val="0000FF"/>
      <w:kern w:val="0"/>
      <w:sz w:val="21"/>
    </w:rPr>
  </w:style>
  <w:style w:type="paragraph" w:customStyle="1" w:styleId="1161">
    <w:name w:val="xl87"/>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1162">
    <w:name w:val="font15"/>
    <w:basedOn w:val="1"/>
    <w:semiHidden/>
    <w:qFormat/>
    <w:uiPriority w:val="0"/>
    <w:pPr>
      <w:widowControl/>
      <w:spacing w:before="100" w:beforeAutospacing="1" w:after="100" w:afterAutospacing="1" w:line="240" w:lineRule="auto"/>
      <w:ind w:firstLine="0" w:firstLineChars="0"/>
      <w:jc w:val="left"/>
    </w:pPr>
    <w:rPr>
      <w:rFonts w:ascii="宋体" w:hAnsi="宋体" w:cs="宋体"/>
      <w:color w:val="FF00FF"/>
      <w:kern w:val="0"/>
      <w:sz w:val="21"/>
    </w:rPr>
  </w:style>
  <w:style w:type="paragraph" w:customStyle="1" w:styleId="1163">
    <w:name w:val="样式 标题 3 + 行距: 固定值 28 磅"/>
    <w:basedOn w:val="5"/>
    <w:semiHidden/>
    <w:qFormat/>
    <w:uiPriority w:val="0"/>
    <w:pPr>
      <w:keepLines w:val="0"/>
      <w:adjustRightInd w:val="0"/>
      <w:spacing w:line="560" w:lineRule="exact"/>
    </w:pPr>
    <w:rPr>
      <w:rFonts w:cs="宋体"/>
      <w:sz w:val="24"/>
      <w:szCs w:val="20"/>
    </w:rPr>
  </w:style>
  <w:style w:type="paragraph" w:customStyle="1" w:styleId="1164">
    <w:name w:val="样式 节 + 段前: 0.5 行 段后: 0.5 行"/>
    <w:basedOn w:val="4"/>
    <w:qFormat/>
    <w:uiPriority w:val="0"/>
    <w:pPr>
      <w:tabs>
        <w:tab w:val="left" w:pos="840"/>
      </w:tabs>
      <w:spacing w:before="360" w:afterLines="50"/>
      <w:ind w:left="839" w:hanging="839"/>
      <w:outlineLvl w:val="2"/>
    </w:pPr>
    <w:rPr>
      <w:rFonts w:ascii="宋体" w:hAnsi="宋体" w:eastAsia="宋体"/>
      <w:b w:val="0"/>
      <w:bCs w:val="0"/>
      <w:sz w:val="28"/>
      <w:szCs w:val="20"/>
    </w:rPr>
  </w:style>
  <w:style w:type="paragraph" w:customStyle="1" w:styleId="1165">
    <w:name w:val="样式 样式 样式 8888 + 段前: 0.5 行 + 段前: 0.5 行 字距调整四号 + 段前: 0.5 行"/>
    <w:basedOn w:val="1"/>
    <w:next w:val="1"/>
    <w:semiHidden/>
    <w:qFormat/>
    <w:uiPriority w:val="0"/>
    <w:pPr>
      <w:spacing w:before="120" w:line="440" w:lineRule="exact"/>
      <w:ind w:firstLine="0" w:firstLineChars="0"/>
      <w:outlineLvl w:val="1"/>
    </w:pPr>
    <w:rPr>
      <w:rFonts w:ascii="黑体" w:hAnsi="宋体" w:eastAsia="黑体" w:cs="Times New Roman"/>
      <w:sz w:val="30"/>
      <w:szCs w:val="24"/>
    </w:rPr>
  </w:style>
  <w:style w:type="character" w:customStyle="1" w:styleId="1166">
    <w:name w:val="表文 Char Char"/>
    <w:link w:val="1167"/>
    <w:semiHidden/>
    <w:qFormat/>
    <w:locked/>
    <w:uiPriority w:val="0"/>
    <w:rPr>
      <w:rFonts w:ascii="宋体" w:hAnsi="宋体" w:eastAsia="宋体"/>
      <w:sz w:val="24"/>
      <w:szCs w:val="24"/>
    </w:rPr>
  </w:style>
  <w:style w:type="paragraph" w:customStyle="1" w:styleId="1167">
    <w:name w:val="表文"/>
    <w:basedOn w:val="34"/>
    <w:next w:val="21"/>
    <w:link w:val="1166"/>
    <w:qFormat/>
    <w:uiPriority w:val="0"/>
    <w:pPr>
      <w:spacing w:after="0" w:line="400" w:lineRule="exact"/>
      <w:ind w:firstLine="0" w:firstLineChars="0"/>
      <w:jc w:val="center"/>
    </w:pPr>
    <w:rPr>
      <w:rFonts w:ascii="宋体" w:hAnsi="宋体"/>
      <w:szCs w:val="24"/>
    </w:rPr>
  </w:style>
  <w:style w:type="paragraph" w:customStyle="1" w:styleId="1168">
    <w:name w:val="正文文本 22"/>
    <w:basedOn w:val="1"/>
    <w:qFormat/>
    <w:uiPriority w:val="0"/>
    <w:pPr>
      <w:adjustRightInd w:val="0"/>
      <w:snapToGrid w:val="0"/>
      <w:spacing w:line="480" w:lineRule="exact"/>
      <w:ind w:firstLine="510" w:firstLineChars="0"/>
    </w:pPr>
    <w:rPr>
      <w:rFonts w:eastAsia="仿宋_GB2312" w:cs="Times New Roman"/>
      <w:kern w:val="0"/>
      <w:sz w:val="28"/>
      <w:szCs w:val="20"/>
    </w:rPr>
  </w:style>
  <w:style w:type="paragraph" w:customStyle="1" w:styleId="1169">
    <w:name w:val="font22"/>
    <w:basedOn w:val="1"/>
    <w:semiHidden/>
    <w:qFormat/>
    <w:uiPriority w:val="0"/>
    <w:pPr>
      <w:widowControl/>
      <w:spacing w:before="100" w:beforeAutospacing="1" w:after="100" w:afterAutospacing="1" w:line="240" w:lineRule="auto"/>
      <w:ind w:firstLine="0" w:firstLineChars="0"/>
      <w:jc w:val="left"/>
    </w:pPr>
    <w:rPr>
      <w:rFonts w:ascii="宋体" w:hAnsi="宋体" w:cs="宋体"/>
      <w:color w:val="99CCFF"/>
      <w:kern w:val="0"/>
      <w:sz w:val="21"/>
    </w:rPr>
  </w:style>
  <w:style w:type="paragraph" w:customStyle="1" w:styleId="1170">
    <w:name w:val="正文5"/>
    <w:qFormat/>
    <w:uiPriority w:val="0"/>
    <w:pPr>
      <w:widowControl w:val="0"/>
      <w:adjustRightInd w:val="0"/>
      <w:spacing w:line="360" w:lineRule="atLeast"/>
    </w:pPr>
    <w:rPr>
      <w:rFonts w:ascii="Arial" w:hAnsi="Times New Roman" w:eastAsia="宋体" w:cs="Times New Roman"/>
      <w:sz w:val="34"/>
      <w:lang w:val="en-US" w:eastAsia="zh-CN" w:bidi="ar-SA"/>
    </w:rPr>
  </w:style>
  <w:style w:type="paragraph" w:customStyle="1" w:styleId="1171">
    <w:name w:val="xl126"/>
    <w:basedOn w:val="1"/>
    <w:semiHidden/>
    <w:qFormat/>
    <w:uiPriority w:val="0"/>
    <w:pPr>
      <w:widowControl/>
      <w:pBdr>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172">
    <w:name w:val="zw"/>
    <w:basedOn w:val="1"/>
    <w:qFormat/>
    <w:uiPriority w:val="0"/>
    <w:pPr>
      <w:tabs>
        <w:tab w:val="left" w:pos="3540"/>
      </w:tabs>
      <w:ind w:firstLine="0" w:firstLineChars="0"/>
    </w:pPr>
    <w:rPr>
      <w:rFonts w:ascii="楷体_GB2312" w:eastAsia="楷体_GB2312" w:cs="Times New Roman"/>
      <w:szCs w:val="24"/>
    </w:rPr>
  </w:style>
  <w:style w:type="paragraph" w:customStyle="1" w:styleId="1173">
    <w:name w:val="font17"/>
    <w:basedOn w:val="1"/>
    <w:semiHidden/>
    <w:qFormat/>
    <w:uiPriority w:val="0"/>
    <w:pPr>
      <w:widowControl/>
      <w:spacing w:before="100" w:beforeAutospacing="1" w:after="100" w:afterAutospacing="1" w:line="240" w:lineRule="auto"/>
      <w:ind w:firstLine="0" w:firstLineChars="0"/>
      <w:jc w:val="left"/>
    </w:pPr>
    <w:rPr>
      <w:rFonts w:cs="Times New Roman"/>
      <w:color w:val="000000"/>
      <w:kern w:val="0"/>
      <w:sz w:val="21"/>
    </w:rPr>
  </w:style>
  <w:style w:type="paragraph" w:customStyle="1" w:styleId="1174">
    <w:name w:val="样式 (中文) 仿宋_GB2312 小四 首行缩进:  0.85 厘米 行距: 1.5 倍行距3"/>
    <w:basedOn w:val="1"/>
    <w:next w:val="6"/>
    <w:semiHidden/>
    <w:qFormat/>
    <w:uiPriority w:val="0"/>
    <w:pPr>
      <w:ind w:firstLine="480" w:firstLineChars="0"/>
    </w:pPr>
    <w:rPr>
      <w:rFonts w:eastAsia="仿宋_GB2312" w:cs="宋体"/>
      <w:szCs w:val="20"/>
    </w:rPr>
  </w:style>
  <w:style w:type="paragraph" w:customStyle="1" w:styleId="1175">
    <w:name w:val="正文文本缩进1"/>
    <w:basedOn w:val="1"/>
    <w:semiHidden/>
    <w:qFormat/>
    <w:uiPriority w:val="0"/>
    <w:pPr>
      <w:spacing w:after="120" w:line="240" w:lineRule="auto"/>
      <w:ind w:left="420" w:firstLine="0" w:firstLineChars="0"/>
    </w:pPr>
    <w:rPr>
      <w:rFonts w:cs="Times New Roman"/>
      <w:sz w:val="21"/>
    </w:rPr>
  </w:style>
  <w:style w:type="paragraph" w:customStyle="1" w:styleId="1176">
    <w:name w:val="xl112"/>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177">
    <w:name w:val="正文正1"/>
    <w:basedOn w:val="1"/>
    <w:semiHidden/>
    <w:qFormat/>
    <w:uiPriority w:val="0"/>
    <w:pPr>
      <w:tabs>
        <w:tab w:val="left" w:pos="0"/>
      </w:tabs>
      <w:spacing w:line="240" w:lineRule="exact"/>
      <w:ind w:right="-105" w:rightChars="-50" w:firstLine="0" w:firstLineChars="0"/>
      <w:jc w:val="center"/>
    </w:pPr>
    <w:rPr>
      <w:rFonts w:cs="Times New Roman"/>
      <w:kern w:val="0"/>
      <w:sz w:val="18"/>
      <w:szCs w:val="18"/>
    </w:rPr>
  </w:style>
  <w:style w:type="paragraph" w:customStyle="1" w:styleId="1178">
    <w:name w:val="style2"/>
    <w:basedOn w:val="1"/>
    <w:qFormat/>
    <w:uiPriority w:val="0"/>
    <w:pPr>
      <w:widowControl/>
      <w:spacing w:before="100" w:beforeAutospacing="1" w:after="100" w:afterAutospacing="1" w:line="240" w:lineRule="auto"/>
      <w:ind w:firstLine="0" w:firstLineChars="0"/>
      <w:jc w:val="left"/>
    </w:pPr>
    <w:rPr>
      <w:rFonts w:ascii="宋体" w:hAnsi="宋体" w:cs="宋体"/>
      <w:kern w:val="0"/>
      <w:sz w:val="36"/>
      <w:szCs w:val="36"/>
    </w:rPr>
  </w:style>
  <w:style w:type="paragraph" w:customStyle="1" w:styleId="1179">
    <w:name w:val="Char4"/>
    <w:basedOn w:val="1"/>
    <w:semiHidden/>
    <w:qFormat/>
    <w:uiPriority w:val="0"/>
    <w:rPr>
      <w:rFonts w:ascii="宋体" w:hAnsi="宋体" w:cs="Times New Roman"/>
      <w:szCs w:val="20"/>
    </w:rPr>
  </w:style>
  <w:style w:type="paragraph" w:customStyle="1" w:styleId="1180">
    <w:name w:val="CM72"/>
    <w:basedOn w:val="157"/>
    <w:next w:val="157"/>
    <w:qFormat/>
    <w:uiPriority w:val="0"/>
    <w:pPr>
      <w:spacing w:line="323" w:lineRule="atLeast"/>
    </w:pPr>
    <w:rPr>
      <w:rFonts w:ascii="华文中宋" w:hAnsi="Chicago" w:eastAsia="华文中宋" w:cs="Chicago"/>
      <w:color w:val="auto"/>
    </w:rPr>
  </w:style>
  <w:style w:type="paragraph" w:customStyle="1" w:styleId="1181">
    <w:name w:val="xl129"/>
    <w:basedOn w:val="1"/>
    <w:semiHidden/>
    <w:qFormat/>
    <w:uiPriority w:val="0"/>
    <w:pPr>
      <w:widowControl/>
      <w:pBdr>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182">
    <w:name w:val="xl76"/>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1183">
    <w:name w:val="样式 标题 1 + 宋体 小四 加粗 行距: 1.5 倍行距"/>
    <w:basedOn w:val="3"/>
    <w:semiHidden/>
    <w:qFormat/>
    <w:uiPriority w:val="0"/>
    <w:pPr>
      <w:keepLines w:val="0"/>
    </w:pPr>
    <w:rPr>
      <w:rFonts w:ascii="黑体" w:hAnsi="宋体" w:cs="宋体"/>
      <w:kern w:val="2"/>
      <w:sz w:val="30"/>
      <w:szCs w:val="28"/>
    </w:rPr>
  </w:style>
  <w:style w:type="paragraph" w:customStyle="1" w:styleId="1184">
    <w:name w:val="样式 首行缩进:  2 字符 右侧:  0.5 厘米"/>
    <w:basedOn w:val="1"/>
    <w:qFormat/>
    <w:uiPriority w:val="0"/>
    <w:pPr>
      <w:spacing w:line="480" w:lineRule="exact"/>
      <w:ind w:right="284"/>
    </w:pPr>
    <w:rPr>
      <w:rFonts w:cs="宋体"/>
      <w:szCs w:val="20"/>
    </w:rPr>
  </w:style>
  <w:style w:type="paragraph" w:customStyle="1" w:styleId="1185">
    <w:name w:val="xl125"/>
    <w:basedOn w:val="1"/>
    <w:semiHidden/>
    <w:qFormat/>
    <w:uiPriority w:val="0"/>
    <w:pPr>
      <w:widowControl/>
      <w:pBdr>
        <w:lef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1186">
    <w:name w:val="样式 宋体 黑色 居中"/>
    <w:basedOn w:val="1"/>
    <w:qFormat/>
    <w:uiPriority w:val="0"/>
    <w:pPr>
      <w:spacing w:line="440" w:lineRule="exact"/>
      <w:ind w:firstLine="405" w:firstLineChars="193"/>
      <w:jc w:val="center"/>
    </w:pPr>
    <w:rPr>
      <w:rFonts w:ascii="FLGPEK+TimesNewRoman,Italic" w:hAnsi="Tahoma" w:eastAsia="华文仿宋" w:cs="Garamond"/>
      <w:color w:val="000000"/>
      <w:kern w:val="0"/>
      <w:szCs w:val="24"/>
    </w:rPr>
  </w:style>
  <w:style w:type="paragraph" w:customStyle="1" w:styleId="1187">
    <w:name w:val="xl99"/>
    <w:basedOn w:val="1"/>
    <w:semiHidden/>
    <w:qFormat/>
    <w:uiPriority w:val="0"/>
    <w:pPr>
      <w:widowControl/>
      <w:pBdr>
        <w:top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1188">
    <w:name w:val="五黑左对齐"/>
    <w:basedOn w:val="1"/>
    <w:semiHidden/>
    <w:qFormat/>
    <w:uiPriority w:val="0"/>
    <w:pPr>
      <w:adjustRightInd w:val="0"/>
      <w:snapToGrid w:val="0"/>
      <w:spacing w:line="240" w:lineRule="auto"/>
      <w:ind w:firstLine="0" w:firstLineChars="0"/>
    </w:pPr>
    <w:rPr>
      <w:rFonts w:ascii="黑体" w:eastAsia="黑体" w:cs="Times New Roman"/>
      <w:sz w:val="21"/>
    </w:rPr>
  </w:style>
  <w:style w:type="paragraph" w:customStyle="1" w:styleId="1189">
    <w:name w:val="xl98"/>
    <w:basedOn w:val="1"/>
    <w:semiHidden/>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1190">
    <w:name w:val="君邦正文"/>
    <w:semiHidden/>
    <w:qFormat/>
    <w:uiPriority w:val="0"/>
    <w:pPr>
      <w:snapToGrid w:val="0"/>
      <w:spacing w:after="60" w:line="360" w:lineRule="auto"/>
      <w:ind w:firstLine="480" w:firstLineChars="200"/>
      <w:jc w:val="both"/>
    </w:pPr>
    <w:rPr>
      <w:rFonts w:ascii="宋体" w:hAnsi="宋体" w:eastAsia="宋体" w:cs="Times New Roman"/>
      <w:sz w:val="24"/>
      <w:lang w:val="en-US" w:eastAsia="zh-CN" w:bidi="ar-SA"/>
    </w:rPr>
  </w:style>
  <w:style w:type="paragraph" w:customStyle="1" w:styleId="1191">
    <w:name w:val="样式 样式13 + 右侧:  1 字符"/>
    <w:basedOn w:val="768"/>
    <w:qFormat/>
    <w:uiPriority w:val="0"/>
    <w:pPr>
      <w:tabs>
        <w:tab w:val="left" w:pos="1440"/>
        <w:tab w:val="clear" w:pos="560"/>
        <w:tab w:val="clear" w:pos="927"/>
      </w:tabs>
      <w:overflowPunct w:val="0"/>
      <w:topLinePunct/>
      <w:autoSpaceDE w:val="0"/>
      <w:autoSpaceDN w:val="0"/>
      <w:adjustRightInd w:val="0"/>
      <w:snapToGrid w:val="0"/>
      <w:spacing w:before="0" w:after="0"/>
      <w:ind w:left="0"/>
      <w:jc w:val="left"/>
      <w:outlineLvl w:val="3"/>
    </w:pPr>
    <w:rPr>
      <w:rFonts w:hAnsi="宋体" w:eastAsia="宋体"/>
      <w:b w:val="0"/>
      <w:bCs w:val="0"/>
      <w:kern w:val="0"/>
      <w:sz w:val="24"/>
      <w:szCs w:val="20"/>
    </w:rPr>
  </w:style>
  <w:style w:type="paragraph" w:customStyle="1" w:styleId="1192">
    <w:name w:val="表格文本"/>
    <w:basedOn w:val="1"/>
    <w:next w:val="1"/>
    <w:semiHidden/>
    <w:qFormat/>
    <w:uiPriority w:val="0"/>
    <w:pPr>
      <w:spacing w:line="240" w:lineRule="exact"/>
      <w:ind w:firstLine="0" w:firstLineChars="0"/>
    </w:pPr>
    <w:rPr>
      <w:rFonts w:cs="Times New Roman"/>
      <w:sz w:val="21"/>
      <w:szCs w:val="20"/>
    </w:rPr>
  </w:style>
  <w:style w:type="paragraph" w:customStyle="1" w:styleId="1193">
    <w:name w:val="样式 小四 行距: 1.5 倍行距1"/>
    <w:basedOn w:val="1"/>
    <w:qFormat/>
    <w:uiPriority w:val="0"/>
    <w:pPr>
      <w:widowControl/>
      <w:ind w:firstLine="480"/>
      <w:jc w:val="left"/>
    </w:pPr>
    <w:rPr>
      <w:rFonts w:cs="宋体"/>
      <w:szCs w:val="24"/>
    </w:rPr>
  </w:style>
  <w:style w:type="paragraph" w:customStyle="1" w:styleId="1194">
    <w:name w:val="编号1"/>
    <w:basedOn w:val="1"/>
    <w:semiHidden/>
    <w:qFormat/>
    <w:uiPriority w:val="0"/>
    <w:pPr>
      <w:tabs>
        <w:tab w:val="left" w:pos="1320"/>
      </w:tabs>
      <w:spacing w:line="240" w:lineRule="auto"/>
      <w:ind w:left="1320" w:hanging="780" w:firstLineChars="0"/>
    </w:pPr>
    <w:rPr>
      <w:rFonts w:cs="Times New Roman"/>
      <w:sz w:val="21"/>
      <w:szCs w:val="20"/>
    </w:rPr>
  </w:style>
  <w:style w:type="paragraph" w:customStyle="1" w:styleId="1195">
    <w:name w:val="CM6"/>
    <w:basedOn w:val="157"/>
    <w:next w:val="157"/>
    <w:qFormat/>
    <w:uiPriority w:val="0"/>
    <w:pPr>
      <w:spacing w:line="320" w:lineRule="atLeast"/>
    </w:pPr>
    <w:rPr>
      <w:rFonts w:hAnsi="Calibri" w:cs="Times New Roman"/>
      <w:color w:val="auto"/>
    </w:rPr>
  </w:style>
  <w:style w:type="paragraph" w:customStyle="1" w:styleId="1196">
    <w:name w:val="xl89"/>
    <w:basedOn w:val="1"/>
    <w:semiHidden/>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1197">
    <w:name w:val="xl123"/>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198">
    <w:name w:val="xl111"/>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1199">
    <w:name w:val="xl51"/>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200">
    <w:name w:val="xl105"/>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1201">
    <w:name w:val="参加人员名单"/>
    <w:basedOn w:val="1"/>
    <w:next w:val="1"/>
    <w:semiHidden/>
    <w:qFormat/>
    <w:uiPriority w:val="0"/>
    <w:pPr>
      <w:spacing w:line="500" w:lineRule="atLeast"/>
      <w:ind w:firstLine="0" w:firstLineChars="0"/>
      <w:jc w:val="center"/>
      <w:outlineLvl w:val="0"/>
    </w:pPr>
    <w:rPr>
      <w:rFonts w:cs="Times New Roman"/>
      <w:sz w:val="32"/>
      <w:szCs w:val="32"/>
    </w:rPr>
  </w:style>
  <w:style w:type="paragraph" w:customStyle="1" w:styleId="1202">
    <w:name w:val="xl117"/>
    <w:basedOn w:val="1"/>
    <w:semiHidden/>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1203">
    <w:name w:val="xl124"/>
    <w:basedOn w:val="1"/>
    <w:semiHidden/>
    <w:qFormat/>
    <w:uiPriority w:val="0"/>
    <w:pPr>
      <w:widowControl/>
      <w:pBdr>
        <w:top w:val="single" w:color="auto" w:sz="8" w:space="0"/>
        <w:lef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1204">
    <w:name w:val="12"/>
    <w:basedOn w:val="1"/>
    <w:next w:val="21"/>
    <w:qFormat/>
    <w:uiPriority w:val="0"/>
    <w:pPr>
      <w:spacing w:line="240" w:lineRule="auto"/>
      <w:ind w:firstLine="420" w:firstLineChars="0"/>
    </w:pPr>
    <w:rPr>
      <w:rFonts w:ascii="仿宋_GB2312" w:eastAsia="仿宋_GB2312" w:cs="Times New Roman"/>
      <w:kern w:val="0"/>
      <w:sz w:val="28"/>
      <w:szCs w:val="20"/>
    </w:rPr>
  </w:style>
  <w:style w:type="paragraph" w:customStyle="1" w:styleId="1205">
    <w:name w:val="样式 居中"/>
    <w:basedOn w:val="1"/>
    <w:qFormat/>
    <w:uiPriority w:val="0"/>
    <w:pPr>
      <w:adjustRightInd w:val="0"/>
      <w:snapToGrid w:val="0"/>
      <w:spacing w:line="440" w:lineRule="atLeast"/>
      <w:jc w:val="center"/>
    </w:pPr>
    <w:rPr>
      <w:rFonts w:cs="Times New Roman"/>
      <w:szCs w:val="20"/>
    </w:rPr>
  </w:style>
  <w:style w:type="paragraph" w:customStyle="1" w:styleId="1206">
    <w:name w:val="xl79"/>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1207">
    <w:name w:val="表中正文"/>
    <w:basedOn w:val="1"/>
    <w:qFormat/>
    <w:uiPriority w:val="0"/>
    <w:pPr>
      <w:spacing w:beforeLines="50" w:afterLines="50" w:line="240" w:lineRule="exact"/>
      <w:ind w:firstLine="0" w:firstLineChars="0"/>
      <w:jc w:val="center"/>
    </w:pPr>
    <w:rPr>
      <w:rFonts w:ascii="宋体" w:hAnsi="宋体" w:cs="Times New Roman"/>
      <w:spacing w:val="-8"/>
      <w:sz w:val="21"/>
      <w:szCs w:val="24"/>
    </w:rPr>
  </w:style>
  <w:style w:type="paragraph" w:customStyle="1" w:styleId="1208">
    <w:name w:val="样式 标题 21.1标题 21.1_Heading 2标题 2 Char1节标2节标题 1.11.1标题2h..."/>
    <w:basedOn w:val="4"/>
    <w:qFormat/>
    <w:uiPriority w:val="0"/>
    <w:pPr>
      <w:tabs>
        <w:tab w:val="left" w:pos="927"/>
        <w:tab w:val="left" w:pos="1134"/>
      </w:tabs>
      <w:adjustRightInd w:val="0"/>
      <w:jc w:val="left"/>
    </w:pPr>
    <w:rPr>
      <w:b w:val="0"/>
      <w:bCs w:val="0"/>
      <w:color w:val="0000FF"/>
      <w:sz w:val="28"/>
      <w:szCs w:val="28"/>
    </w:rPr>
  </w:style>
  <w:style w:type="paragraph" w:customStyle="1" w:styleId="1209">
    <w:name w:val="表头11"/>
    <w:basedOn w:val="1"/>
    <w:semiHidden/>
    <w:qFormat/>
    <w:uiPriority w:val="0"/>
    <w:pPr>
      <w:ind w:firstLine="602" w:firstLineChars="250"/>
      <w:jc w:val="center"/>
    </w:pPr>
    <w:rPr>
      <w:rFonts w:cs="Times New Roman"/>
      <w:b/>
      <w:szCs w:val="24"/>
    </w:rPr>
  </w:style>
  <w:style w:type="paragraph" w:customStyle="1" w:styleId="1210">
    <w:name w:val="xl113"/>
    <w:basedOn w:val="1"/>
    <w:semiHidden/>
    <w:qFormat/>
    <w:uiPriority w:val="0"/>
    <w:pPr>
      <w:widowControl/>
      <w:pBdr>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211">
    <w:name w:val="样式 标题 1 + 段后: 1 行"/>
    <w:basedOn w:val="3"/>
    <w:semiHidden/>
    <w:qFormat/>
    <w:uiPriority w:val="0"/>
    <w:pPr>
      <w:jc w:val="center"/>
    </w:pPr>
    <w:rPr>
      <w:rFonts w:ascii="黑体" w:hAnsi="宋体"/>
      <w:b w:val="0"/>
      <w:bCs w:val="0"/>
      <w:sz w:val="32"/>
      <w:szCs w:val="20"/>
    </w:rPr>
  </w:style>
  <w:style w:type="paragraph" w:customStyle="1" w:styleId="1212">
    <w:name w:val="样式 正文文本缩进 + 小四 非加粗 非倾斜 行距: 固定值 20 磅"/>
    <w:basedOn w:val="35"/>
    <w:qFormat/>
    <w:uiPriority w:val="0"/>
    <w:pPr>
      <w:spacing w:after="0" w:line="440" w:lineRule="exact"/>
      <w:ind w:left="0" w:leftChars="0" w:firstLine="454" w:firstLineChars="0"/>
    </w:pPr>
    <w:rPr>
      <w:rFonts w:cs="Times New Roman"/>
      <w:szCs w:val="20"/>
    </w:rPr>
  </w:style>
  <w:style w:type="paragraph" w:customStyle="1" w:styleId="1213">
    <w:name w:val="表格内文字"/>
    <w:basedOn w:val="34"/>
    <w:semiHidden/>
    <w:qFormat/>
    <w:uiPriority w:val="0"/>
    <w:pPr>
      <w:spacing w:after="0" w:line="320" w:lineRule="exact"/>
      <w:ind w:firstLine="0" w:firstLineChars="0"/>
      <w:jc w:val="center"/>
    </w:pPr>
    <w:rPr>
      <w:rFonts w:cs="Times New Roman"/>
      <w:spacing w:val="10"/>
      <w:szCs w:val="20"/>
    </w:rPr>
  </w:style>
  <w:style w:type="paragraph" w:customStyle="1" w:styleId="1214">
    <w:name w:val="font11"/>
    <w:basedOn w:val="1"/>
    <w:semiHidden/>
    <w:qFormat/>
    <w:uiPriority w:val="0"/>
    <w:pPr>
      <w:widowControl/>
      <w:spacing w:before="100" w:beforeAutospacing="1" w:after="100" w:afterAutospacing="1" w:line="240" w:lineRule="auto"/>
      <w:ind w:firstLine="0" w:firstLineChars="0"/>
      <w:jc w:val="left"/>
    </w:pPr>
    <w:rPr>
      <w:rFonts w:ascii="宋体" w:hAnsi="宋体" w:cs="宋体"/>
      <w:color w:val="FF0000"/>
      <w:kern w:val="0"/>
      <w:sz w:val="21"/>
    </w:rPr>
  </w:style>
  <w:style w:type="paragraph" w:customStyle="1" w:styleId="1215">
    <w:name w:val="PP 行"/>
    <w:basedOn w:val="58"/>
    <w:qFormat/>
    <w:uiPriority w:val="0"/>
    <w:rPr>
      <w:rFonts w:ascii="宋体" w:hAnsi="Times New Roman"/>
      <w:spacing w:val="5"/>
      <w:sz w:val="25"/>
      <w:szCs w:val="25"/>
    </w:rPr>
  </w:style>
  <w:style w:type="paragraph" w:customStyle="1" w:styleId="1216">
    <w:name w:val="msolistparagraph"/>
    <w:basedOn w:val="1"/>
    <w:semiHidden/>
    <w:qFormat/>
    <w:uiPriority w:val="0"/>
    <w:pPr>
      <w:widowControl/>
      <w:ind w:left="720"/>
    </w:pPr>
    <w:rPr>
      <w:rFonts w:ascii="Calibri" w:hAnsi="Calibri" w:cs="Times New Roman"/>
      <w:kern w:val="0"/>
      <w:lang w:eastAsia="en-US" w:bidi="en-US"/>
    </w:rPr>
  </w:style>
  <w:style w:type="paragraph" w:customStyle="1" w:styleId="1217">
    <w:name w:val="xl122"/>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cs="Times New Roman"/>
      <w:color w:val="0000FF"/>
      <w:kern w:val="0"/>
      <w:sz w:val="21"/>
    </w:rPr>
  </w:style>
  <w:style w:type="paragraph" w:customStyle="1" w:styleId="1218">
    <w:name w:val="样式 样式 标题 2 + 宋体 行距: 固定值 30 磅 + 行距: 1.5 倍行距"/>
    <w:basedOn w:val="896"/>
    <w:semiHidden/>
    <w:qFormat/>
    <w:uiPriority w:val="0"/>
    <w:pPr>
      <w:spacing w:line="560" w:lineRule="exact"/>
    </w:pPr>
    <w:rPr>
      <w:szCs w:val="20"/>
    </w:rPr>
  </w:style>
  <w:style w:type="paragraph" w:customStyle="1" w:styleId="1219">
    <w:name w:val="xl108"/>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220">
    <w:name w:val="xl74"/>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right"/>
    </w:pPr>
    <w:rPr>
      <w:rFonts w:cs="Times New Roman"/>
      <w:kern w:val="0"/>
      <w:sz w:val="21"/>
    </w:rPr>
  </w:style>
  <w:style w:type="paragraph" w:customStyle="1" w:styleId="1221">
    <w:name w:val="样式 标题 1 + 宋体 小四 加粗 行距: 固定值 28 磅"/>
    <w:basedOn w:val="3"/>
    <w:semiHidden/>
    <w:qFormat/>
    <w:uiPriority w:val="0"/>
    <w:pPr>
      <w:keepNext w:val="0"/>
      <w:keepLines w:val="0"/>
      <w:pageBreakBefore/>
      <w:spacing w:line="560" w:lineRule="exact"/>
      <w:jc w:val="left"/>
    </w:pPr>
    <w:rPr>
      <w:rFonts w:ascii="宋体" w:hAnsi="宋体" w:eastAsia="宋体" w:cs="宋体"/>
      <w:kern w:val="2"/>
      <w:sz w:val="24"/>
      <w:szCs w:val="24"/>
    </w:rPr>
  </w:style>
  <w:style w:type="paragraph" w:customStyle="1" w:styleId="1222">
    <w:name w:val="样式 标题 4 + 首行缩进:  2 字符1"/>
    <w:basedOn w:val="6"/>
    <w:qFormat/>
    <w:uiPriority w:val="0"/>
    <w:pPr>
      <w:tabs>
        <w:tab w:val="left" w:pos="1134"/>
        <w:tab w:val="left" w:pos="1630"/>
      </w:tabs>
      <w:adjustRightInd w:val="0"/>
      <w:snapToGrid w:val="0"/>
      <w:spacing w:line="480" w:lineRule="atLeast"/>
      <w:ind w:firstLine="480" w:firstLineChars="200"/>
    </w:pPr>
    <w:rPr>
      <w:rFonts w:ascii="Arial" w:hAnsi="Arial" w:eastAsia="宋体" w:cs="Times New Roman"/>
      <w:bCs w:val="0"/>
      <w:szCs w:val="24"/>
    </w:rPr>
  </w:style>
  <w:style w:type="paragraph" w:customStyle="1" w:styleId="1223">
    <w:name w:val="xl104"/>
    <w:basedOn w:val="1"/>
    <w:semiHidden/>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1224">
    <w:name w:val="g14"/>
    <w:basedOn w:val="1"/>
    <w:qFormat/>
    <w:uiPriority w:val="0"/>
    <w:pPr>
      <w:widowControl/>
      <w:spacing w:before="100" w:beforeAutospacing="1" w:after="100" w:afterAutospacing="1" w:line="253" w:lineRule="atLeast"/>
      <w:ind w:firstLine="480"/>
      <w:jc w:val="left"/>
    </w:pPr>
    <w:rPr>
      <w:rFonts w:ascii="宋体" w:hAnsi="宋体" w:cs="宋体"/>
      <w:color w:val="009900"/>
      <w:kern w:val="0"/>
      <w:sz w:val="16"/>
      <w:szCs w:val="16"/>
    </w:rPr>
  </w:style>
  <w:style w:type="paragraph" w:customStyle="1" w:styleId="1225">
    <w:name w:val="插表头"/>
    <w:basedOn w:val="1"/>
    <w:semiHidden/>
    <w:qFormat/>
    <w:uiPriority w:val="0"/>
    <w:pPr>
      <w:spacing w:beforeLines="50" w:line="360" w:lineRule="exact"/>
      <w:ind w:firstLine="0" w:firstLineChars="0"/>
      <w:jc w:val="left"/>
    </w:pPr>
    <w:rPr>
      <w:rFonts w:ascii="宋体" w:cs="宋体"/>
      <w:b/>
      <w:sz w:val="21"/>
    </w:rPr>
  </w:style>
  <w:style w:type="paragraph" w:customStyle="1" w:styleId="1226">
    <w:name w:val="样式 样式 标题 3 + 宋体 黑色 首行缩进:  2 字符 段前: 6 磅 段后: 6 磅 行距: 最小值 24 磅 + 首行..."/>
    <w:basedOn w:val="408"/>
    <w:qFormat/>
    <w:uiPriority w:val="0"/>
    <w:pPr>
      <w:ind w:firstLine="562"/>
    </w:pPr>
    <w:rPr>
      <w:rFonts w:ascii="Times New Roman" w:hAnsi="Times New Roman"/>
    </w:rPr>
  </w:style>
  <w:style w:type="paragraph" w:customStyle="1" w:styleId="1227">
    <w:name w:val="xl139"/>
    <w:basedOn w:val="1"/>
    <w:semiHidden/>
    <w:qFormat/>
    <w:uiPriority w:val="0"/>
    <w:pPr>
      <w:widowControl/>
      <w:pBdr>
        <w:lef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1228">
    <w:name w:val="表格（5号）"/>
    <w:semiHidden/>
    <w:qFormat/>
    <w:uiPriority w:val="0"/>
    <w:pPr>
      <w:adjustRightInd w:val="0"/>
      <w:snapToGrid w:val="0"/>
      <w:jc w:val="center"/>
    </w:pPr>
    <w:rPr>
      <w:rFonts w:ascii="Times New Roman" w:hAnsi="Times New Roman" w:eastAsia="仿宋_GB2312" w:cs="Times New Roman"/>
      <w:color w:val="000000"/>
      <w:sz w:val="21"/>
      <w:lang w:val="en-US" w:eastAsia="zh-CN" w:bidi="ar-SA"/>
    </w:rPr>
  </w:style>
  <w:style w:type="paragraph" w:customStyle="1" w:styleId="1229">
    <w:name w:val="样式 标题 1 + 浅蓝 首行缩进:  0 厘米"/>
    <w:basedOn w:val="3"/>
    <w:qFormat/>
    <w:uiPriority w:val="0"/>
    <w:pPr>
      <w:tabs>
        <w:tab w:val="left" w:pos="360"/>
      </w:tabs>
      <w:adjustRightInd w:val="0"/>
      <w:snapToGrid w:val="0"/>
      <w:ind w:firstLine="567"/>
      <w:jc w:val="left"/>
    </w:pPr>
    <w:rPr>
      <w:rFonts w:eastAsia="宋体"/>
      <w:bCs w:val="0"/>
      <w:color w:val="3366FF"/>
      <w:sz w:val="32"/>
      <w:szCs w:val="20"/>
    </w:rPr>
  </w:style>
  <w:style w:type="paragraph" w:customStyle="1" w:styleId="1230">
    <w:name w:val="xl114"/>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231">
    <w:name w:val="Char1 Char Char1 Char"/>
    <w:basedOn w:val="1"/>
    <w:qFormat/>
    <w:uiPriority w:val="0"/>
    <w:rPr>
      <w:rFonts w:ascii="宋体" w:hAnsi="宋体" w:cs="宋体"/>
      <w:szCs w:val="28"/>
    </w:rPr>
  </w:style>
  <w:style w:type="paragraph" w:customStyle="1" w:styleId="1232">
    <w:name w:val="注解"/>
    <w:basedOn w:val="1"/>
    <w:semiHidden/>
    <w:qFormat/>
    <w:uiPriority w:val="0"/>
    <w:pPr>
      <w:adjustRightInd w:val="0"/>
      <w:snapToGrid w:val="0"/>
      <w:spacing w:line="240" w:lineRule="auto"/>
      <w:ind w:left="624" w:right="170" w:hanging="454" w:firstLineChars="0"/>
    </w:pPr>
    <w:rPr>
      <w:rFonts w:ascii="宋体" w:hAnsi="宋体" w:cs="Times New Roman"/>
      <w:color w:val="000000"/>
      <w:sz w:val="15"/>
      <w:szCs w:val="20"/>
    </w:rPr>
  </w:style>
  <w:style w:type="paragraph" w:customStyle="1" w:styleId="1233">
    <w:name w:val="样式14"/>
    <w:basedOn w:val="5"/>
    <w:qFormat/>
    <w:uiPriority w:val="0"/>
    <w:pPr>
      <w:tabs>
        <w:tab w:val="left" w:pos="1256"/>
      </w:tabs>
      <w:spacing w:before="60" w:after="60" w:line="480" w:lineRule="exact"/>
      <w:ind w:left="-31"/>
    </w:pPr>
    <w:rPr>
      <w:rFonts w:eastAsia="宋体"/>
    </w:rPr>
  </w:style>
  <w:style w:type="paragraph" w:customStyle="1" w:styleId="1234">
    <w:name w:val="xl56"/>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right"/>
    </w:pPr>
    <w:rPr>
      <w:rFonts w:cs="Times New Roman"/>
      <w:kern w:val="0"/>
      <w:sz w:val="21"/>
    </w:rPr>
  </w:style>
  <w:style w:type="paragraph" w:customStyle="1" w:styleId="1235">
    <w:name w:val="xl49"/>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1236">
    <w:name w:val="样式 标题 2节标题 1.1标题 2 Char1标题 2 Char Char1.1标题 21.1标题2标题 2 C..."/>
    <w:basedOn w:val="4"/>
    <w:qFormat/>
    <w:uiPriority w:val="0"/>
    <w:pPr>
      <w:tabs>
        <w:tab w:val="left" w:pos="927"/>
      </w:tabs>
      <w:spacing w:before="60" w:after="60" w:line="480" w:lineRule="exact"/>
      <w:ind w:firstLine="567"/>
    </w:pPr>
    <w:rPr>
      <w:rFonts w:eastAsia="宋体"/>
      <w:sz w:val="28"/>
    </w:rPr>
  </w:style>
  <w:style w:type="paragraph" w:customStyle="1" w:styleId="1237">
    <w:name w:val="样式 左侧:  0.85 厘米 首行缩进:  2 字符"/>
    <w:basedOn w:val="1"/>
    <w:qFormat/>
    <w:uiPriority w:val="0"/>
    <w:pPr>
      <w:spacing w:line="480" w:lineRule="exact"/>
    </w:pPr>
    <w:rPr>
      <w:rFonts w:cs="Times New Roman"/>
      <w:szCs w:val="20"/>
    </w:rPr>
  </w:style>
  <w:style w:type="paragraph" w:customStyle="1" w:styleId="1238">
    <w:name w:val="xl69"/>
    <w:basedOn w:val="1"/>
    <w:semiHidden/>
    <w:qFormat/>
    <w:uiPriority w:val="0"/>
    <w:pPr>
      <w:widowControl/>
      <w:pBdr>
        <w:top w:val="single" w:color="auto" w:sz="12" w:space="0"/>
        <w:bottom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239">
    <w:name w:val="流程"/>
    <w:basedOn w:val="1"/>
    <w:semiHidden/>
    <w:qFormat/>
    <w:uiPriority w:val="0"/>
    <w:pPr>
      <w:topLinePunct/>
      <w:adjustRightInd w:val="0"/>
      <w:snapToGrid w:val="0"/>
      <w:spacing w:line="240" w:lineRule="auto"/>
      <w:ind w:firstLine="0" w:firstLineChars="0"/>
      <w:jc w:val="center"/>
    </w:pPr>
    <w:rPr>
      <w:rFonts w:cs="Times New Roman"/>
      <w:sz w:val="18"/>
      <w:szCs w:val="20"/>
    </w:rPr>
  </w:style>
  <w:style w:type="paragraph" w:customStyle="1" w:styleId="1240">
    <w:name w:val="索引 61"/>
    <w:basedOn w:val="1"/>
    <w:next w:val="1"/>
    <w:qFormat/>
    <w:uiPriority w:val="0"/>
    <w:pPr>
      <w:spacing w:line="440" w:lineRule="exact"/>
      <w:ind w:left="1260" w:hanging="210"/>
      <w:jc w:val="left"/>
    </w:pPr>
    <w:rPr>
      <w:rFonts w:ascii="Batang" w:hAnsi="Batang" w:cs="Batang"/>
      <w:kern w:val="0"/>
      <w:szCs w:val="24"/>
    </w:rPr>
  </w:style>
  <w:style w:type="paragraph" w:customStyle="1" w:styleId="1241">
    <w:name w:val="纯文本11"/>
    <w:basedOn w:val="1"/>
    <w:semiHidden/>
    <w:qFormat/>
    <w:uiPriority w:val="0"/>
    <w:pPr>
      <w:adjustRightInd w:val="0"/>
      <w:spacing w:line="240" w:lineRule="auto"/>
      <w:ind w:firstLine="0" w:firstLineChars="0"/>
    </w:pPr>
    <w:rPr>
      <w:rFonts w:ascii="宋体" w:hAnsi="Courier New" w:eastAsia="仿宋_GB2312" w:cs="Times New Roman"/>
      <w:sz w:val="28"/>
      <w:szCs w:val="20"/>
    </w:rPr>
  </w:style>
  <w:style w:type="paragraph" w:customStyle="1" w:styleId="1242">
    <w:name w:val="Char Char1 Char Char Char Char Char Char Char Char Char Char Char Char Char Char1 Char Char Char Char Char Char1"/>
    <w:basedOn w:val="1"/>
    <w:qFormat/>
    <w:uiPriority w:val="0"/>
    <w:pPr>
      <w:widowControl/>
      <w:spacing w:line="300" w:lineRule="auto"/>
    </w:pPr>
    <w:rPr>
      <w:rFonts w:cs="Times New Roman"/>
      <w:sz w:val="21"/>
      <w:szCs w:val="24"/>
    </w:rPr>
  </w:style>
  <w:style w:type="paragraph" w:customStyle="1" w:styleId="1243">
    <w:name w:val="Char Char Char1 Char1"/>
    <w:basedOn w:val="1"/>
    <w:qFormat/>
    <w:uiPriority w:val="0"/>
    <w:pPr>
      <w:adjustRightInd w:val="0"/>
      <w:snapToGrid w:val="0"/>
      <w:spacing w:line="240" w:lineRule="auto"/>
      <w:ind w:left="-45" w:firstLine="0" w:firstLineChars="0"/>
    </w:pPr>
    <w:rPr>
      <w:rFonts w:cs="Times New Roman"/>
      <w:sz w:val="21"/>
      <w:szCs w:val="24"/>
    </w:rPr>
  </w:style>
  <w:style w:type="paragraph" w:customStyle="1" w:styleId="1244">
    <w:name w:val="font18"/>
    <w:basedOn w:val="1"/>
    <w:semiHidden/>
    <w:qFormat/>
    <w:uiPriority w:val="0"/>
    <w:pPr>
      <w:widowControl/>
      <w:spacing w:before="100" w:beforeAutospacing="1" w:after="100" w:afterAutospacing="1" w:line="240" w:lineRule="auto"/>
      <w:ind w:firstLine="0" w:firstLineChars="0"/>
      <w:jc w:val="left"/>
    </w:pPr>
    <w:rPr>
      <w:rFonts w:cs="Times New Roman"/>
      <w:color w:val="000000"/>
      <w:kern w:val="0"/>
      <w:sz w:val="21"/>
    </w:rPr>
  </w:style>
  <w:style w:type="paragraph" w:customStyle="1" w:styleId="1245">
    <w:name w:val="样式 标题 4款标题1.1.1.1标题 4 Char + (中文) 楷体_GB2312 四号 加粗 段前: 3 磅 ..."/>
    <w:basedOn w:val="6"/>
    <w:semiHidden/>
    <w:qFormat/>
    <w:uiPriority w:val="0"/>
    <w:pPr>
      <w:widowControl/>
      <w:adjustRightInd w:val="0"/>
      <w:spacing w:before="60" w:afterLines="50" w:line="240" w:lineRule="auto"/>
      <w:jc w:val="left"/>
    </w:pPr>
    <w:rPr>
      <w:rFonts w:eastAsia="楷体_GB2312" w:cs="宋体"/>
      <w:color w:val="000000"/>
      <w:spacing w:val="6"/>
      <w:szCs w:val="20"/>
    </w:rPr>
  </w:style>
  <w:style w:type="paragraph" w:customStyle="1" w:styleId="1246">
    <w:name w:val="标题四"/>
    <w:basedOn w:val="1"/>
    <w:next w:val="1"/>
    <w:qFormat/>
    <w:uiPriority w:val="0"/>
    <w:pPr>
      <w:tabs>
        <w:tab w:val="left" w:pos="1077"/>
      </w:tabs>
      <w:spacing w:beforeLines="50" w:line="440" w:lineRule="exact"/>
      <w:ind w:left="1077" w:hanging="510"/>
    </w:pPr>
    <w:rPr>
      <w:rFonts w:ascii="宋体" w:hAnsi="宋体" w:cs="Times New Roman"/>
      <w:b/>
      <w:szCs w:val="24"/>
    </w:rPr>
  </w:style>
  <w:style w:type="paragraph" w:customStyle="1" w:styleId="1247">
    <w:name w:val="xl71"/>
    <w:basedOn w:val="1"/>
    <w:semiHidden/>
    <w:qFormat/>
    <w:uiPriority w:val="0"/>
    <w:pPr>
      <w:widowControl/>
      <w:pBdr>
        <w:lef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248">
    <w:name w:val="xl107"/>
    <w:basedOn w:val="1"/>
    <w:semiHidden/>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249">
    <w:name w:val="Pa1"/>
    <w:basedOn w:val="1"/>
    <w:next w:val="1"/>
    <w:qFormat/>
    <w:uiPriority w:val="0"/>
    <w:pPr>
      <w:autoSpaceDE w:val="0"/>
      <w:autoSpaceDN w:val="0"/>
      <w:spacing w:line="221" w:lineRule="atLeast"/>
      <w:ind w:firstLine="0" w:firstLineChars="0"/>
      <w:jc w:val="left"/>
    </w:pPr>
    <w:rPr>
      <w:rFonts w:ascii="黑体" w:hAnsi="黑体" w:eastAsia="黑体" w:cs="Times New Roman"/>
      <w:color w:val="000000"/>
      <w:kern w:val="0"/>
      <w:szCs w:val="20"/>
    </w:rPr>
  </w:style>
  <w:style w:type="paragraph" w:customStyle="1" w:styleId="1250">
    <w:name w:val="6"/>
    <w:basedOn w:val="1"/>
    <w:next w:val="81"/>
    <w:semiHidden/>
    <w:qFormat/>
    <w:uiPriority w:val="0"/>
    <w:pPr>
      <w:widowControl/>
      <w:spacing w:before="100" w:beforeAutospacing="1" w:after="100" w:afterAutospacing="1" w:line="240" w:lineRule="auto"/>
      <w:ind w:firstLine="0" w:firstLineChars="0"/>
      <w:jc w:val="left"/>
    </w:pPr>
    <w:rPr>
      <w:rFonts w:ascii="Arial Unicode MS" w:hAnsi="Arial Unicode MS" w:eastAsia="Times New Roman" w:cs="Times New Roman"/>
      <w:kern w:val="0"/>
      <w:szCs w:val="24"/>
    </w:rPr>
  </w:style>
  <w:style w:type="paragraph" w:customStyle="1" w:styleId="1251">
    <w:name w:val="xl133"/>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252">
    <w:name w:val="索引 11"/>
    <w:basedOn w:val="1"/>
    <w:next w:val="1"/>
    <w:qFormat/>
    <w:uiPriority w:val="0"/>
    <w:pPr>
      <w:tabs>
        <w:tab w:val="left" w:pos="3420"/>
      </w:tabs>
      <w:spacing w:line="380" w:lineRule="exact"/>
      <w:jc w:val="center"/>
    </w:pPr>
    <w:rPr>
      <w:rFonts w:ascii="Tahoma" w:hAnsi="Tahoma" w:cs="Garamond"/>
      <w:kern w:val="0"/>
      <w:szCs w:val="24"/>
    </w:rPr>
  </w:style>
  <w:style w:type="paragraph" w:customStyle="1" w:styleId="1253">
    <w:name w:val="样式 燕山正文 + 首行缩进:  2 字符"/>
    <w:basedOn w:val="1"/>
    <w:semiHidden/>
    <w:qFormat/>
    <w:uiPriority w:val="0"/>
    <w:pPr>
      <w:tabs>
        <w:tab w:val="left" w:pos="4680"/>
      </w:tabs>
      <w:adjustRightInd w:val="0"/>
      <w:snapToGrid w:val="0"/>
      <w:ind w:firstLine="480"/>
      <w:jc w:val="left"/>
    </w:pPr>
    <w:rPr>
      <w:rFonts w:ascii="宋体" w:hAnsi="宋体" w:cs="宋体"/>
      <w:color w:val="000000"/>
      <w:szCs w:val="20"/>
    </w:rPr>
  </w:style>
  <w:style w:type="paragraph" w:customStyle="1" w:styleId="1254">
    <w:name w:val="中文报告书样式 Char"/>
    <w:basedOn w:val="1"/>
    <w:qFormat/>
    <w:uiPriority w:val="0"/>
    <w:pPr>
      <w:adjustRightInd w:val="0"/>
      <w:spacing w:line="480" w:lineRule="atLeast"/>
      <w:ind w:firstLine="482" w:firstLineChars="0"/>
    </w:pPr>
    <w:rPr>
      <w:rFonts w:cs="Times New Roman"/>
      <w:kern w:val="24"/>
      <w:szCs w:val="20"/>
    </w:rPr>
  </w:style>
  <w:style w:type="paragraph" w:customStyle="1" w:styleId="1255">
    <w:name w:val="xl102"/>
    <w:basedOn w:val="1"/>
    <w:semiHidden/>
    <w:qFormat/>
    <w:uiPriority w:val="0"/>
    <w:pPr>
      <w:widowControl/>
      <w:pBdr>
        <w:top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1256">
    <w:name w:val="样式17"/>
    <w:basedOn w:val="1"/>
    <w:qFormat/>
    <w:uiPriority w:val="0"/>
    <w:pPr>
      <w:overflowPunct w:val="0"/>
      <w:topLinePunct/>
      <w:autoSpaceDE w:val="0"/>
      <w:autoSpaceDN w:val="0"/>
      <w:adjustRightInd w:val="0"/>
      <w:snapToGrid w:val="0"/>
      <w:spacing w:line="480" w:lineRule="exact"/>
      <w:ind w:firstLine="0" w:firstLineChars="0"/>
      <w:jc w:val="center"/>
    </w:pPr>
    <w:rPr>
      <w:rFonts w:ascii="黑体" w:eastAsia="黑体" w:cs="Times New Roman"/>
      <w:color w:val="000000"/>
      <w:kern w:val="0"/>
      <w:sz w:val="21"/>
      <w:szCs w:val="20"/>
    </w:rPr>
  </w:style>
  <w:style w:type="paragraph" w:customStyle="1" w:styleId="1257">
    <w:name w:val="xl93"/>
    <w:basedOn w:val="1"/>
    <w:semiHidden/>
    <w:qFormat/>
    <w:uiPriority w:val="0"/>
    <w:pPr>
      <w:widowControl/>
      <w:pBdr>
        <w:top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1258">
    <w:name w:val="表内序号"/>
    <w:basedOn w:val="1"/>
    <w:qFormat/>
    <w:uiPriority w:val="0"/>
    <w:pPr>
      <w:widowControl/>
      <w:adjustRightInd w:val="0"/>
      <w:snapToGrid w:val="0"/>
      <w:ind w:right="-99" w:rightChars="-47" w:firstLine="0" w:firstLineChars="0"/>
      <w:jc w:val="center"/>
    </w:pPr>
    <w:rPr>
      <w:rFonts w:cs="Times New Roman"/>
      <w:kern w:val="0"/>
      <w:szCs w:val="20"/>
    </w:rPr>
  </w:style>
  <w:style w:type="paragraph" w:customStyle="1" w:styleId="1259">
    <w:name w:val="Plain Text1"/>
    <w:basedOn w:val="1"/>
    <w:semiHidden/>
    <w:qFormat/>
    <w:uiPriority w:val="0"/>
    <w:pPr>
      <w:autoSpaceDE w:val="0"/>
      <w:autoSpaceDN w:val="0"/>
      <w:adjustRightInd w:val="0"/>
      <w:spacing w:line="240" w:lineRule="auto"/>
      <w:ind w:firstLine="0" w:firstLineChars="0"/>
    </w:pPr>
    <w:rPr>
      <w:rFonts w:ascii="宋体" w:hAnsi="Tms Rmn" w:cs="Times New Roman"/>
      <w:kern w:val="0"/>
      <w:sz w:val="21"/>
      <w:szCs w:val="20"/>
    </w:rPr>
  </w:style>
  <w:style w:type="paragraph" w:customStyle="1" w:styleId="1260">
    <w:name w:val="第五章表头"/>
    <w:basedOn w:val="1"/>
    <w:semiHidden/>
    <w:qFormat/>
    <w:uiPriority w:val="0"/>
    <w:pPr>
      <w:ind w:firstLine="0" w:firstLineChars="0"/>
      <w:jc w:val="center"/>
    </w:pPr>
    <w:rPr>
      <w:rFonts w:cs="Times New Roman"/>
      <w:b/>
      <w:color w:val="0000FF"/>
      <w:szCs w:val="24"/>
    </w:rPr>
  </w:style>
  <w:style w:type="paragraph" w:customStyle="1" w:styleId="1261">
    <w:name w:val="font16"/>
    <w:basedOn w:val="1"/>
    <w:semiHidden/>
    <w:qFormat/>
    <w:uiPriority w:val="0"/>
    <w:pPr>
      <w:widowControl/>
      <w:spacing w:before="100" w:beforeAutospacing="1" w:after="100" w:afterAutospacing="1" w:line="240" w:lineRule="auto"/>
      <w:ind w:firstLine="0" w:firstLineChars="0"/>
      <w:jc w:val="left"/>
    </w:pPr>
    <w:rPr>
      <w:rFonts w:cs="Times New Roman"/>
      <w:color w:val="FF00FF"/>
      <w:kern w:val="0"/>
      <w:sz w:val="21"/>
    </w:rPr>
  </w:style>
  <w:style w:type="paragraph" w:customStyle="1" w:styleId="1262">
    <w:name w:val="第八章表头"/>
    <w:basedOn w:val="1"/>
    <w:semiHidden/>
    <w:qFormat/>
    <w:uiPriority w:val="0"/>
    <w:pPr>
      <w:tabs>
        <w:tab w:val="left" w:pos="720"/>
      </w:tabs>
      <w:ind w:left="720" w:firstLine="0" w:firstLineChars="0"/>
      <w:jc w:val="center"/>
    </w:pPr>
    <w:rPr>
      <w:rFonts w:cs="Times New Roman"/>
      <w:b/>
      <w:color w:val="0000FF"/>
      <w:szCs w:val="24"/>
    </w:rPr>
  </w:style>
  <w:style w:type="paragraph" w:customStyle="1" w:styleId="1263">
    <w:name w:val="xl39"/>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1264">
    <w:name w:val="表内5S"/>
    <w:basedOn w:val="1"/>
    <w:semiHidden/>
    <w:qFormat/>
    <w:uiPriority w:val="0"/>
    <w:pPr>
      <w:spacing w:line="300" w:lineRule="atLeast"/>
      <w:ind w:firstLine="0" w:firstLineChars="0"/>
      <w:jc w:val="center"/>
    </w:pPr>
    <w:rPr>
      <w:rFonts w:eastAsia="方正宋三简体" w:cs="Times New Roman"/>
      <w:sz w:val="21"/>
      <w:szCs w:val="20"/>
    </w:rPr>
  </w:style>
  <w:style w:type="paragraph" w:customStyle="1" w:styleId="1265">
    <w:name w:val="xl118"/>
    <w:basedOn w:val="1"/>
    <w:semiHidden/>
    <w:qFormat/>
    <w:uiPriority w:val="0"/>
    <w:pPr>
      <w:widowControl/>
      <w:pBdr>
        <w:top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FF"/>
      <w:kern w:val="0"/>
      <w:sz w:val="21"/>
    </w:rPr>
  </w:style>
  <w:style w:type="paragraph" w:customStyle="1" w:styleId="1266">
    <w:name w:val="xl145"/>
    <w:basedOn w:val="1"/>
    <w:semiHidden/>
    <w:qFormat/>
    <w:uiPriority w:val="0"/>
    <w:pPr>
      <w:widowControl/>
      <w:pBdr>
        <w:bottom w:val="single" w:color="auto" w:sz="12"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267">
    <w:name w:val="xl77"/>
    <w:basedOn w:val="1"/>
    <w:semiHidden/>
    <w:qFormat/>
    <w:uiPriority w:val="0"/>
    <w:pPr>
      <w:widowControl/>
      <w:pBdr>
        <w:right w:val="single" w:color="auto" w:sz="8" w:space="0"/>
      </w:pBdr>
      <w:spacing w:before="100" w:beforeAutospacing="1" w:after="100" w:afterAutospacing="1" w:line="240" w:lineRule="auto"/>
      <w:ind w:firstLine="0" w:firstLineChars="0"/>
      <w:jc w:val="center"/>
    </w:pPr>
    <w:rPr>
      <w:rFonts w:cs="Times New Roman"/>
      <w:color w:val="0000FF"/>
      <w:kern w:val="0"/>
      <w:sz w:val="21"/>
    </w:rPr>
  </w:style>
  <w:style w:type="paragraph" w:customStyle="1" w:styleId="1268">
    <w:name w:val="样式 样式 标题 1 + 宋体 小四 加粗 + 非加粗"/>
    <w:basedOn w:val="907"/>
    <w:semiHidden/>
    <w:qFormat/>
    <w:uiPriority w:val="0"/>
    <w:rPr>
      <w:bCs w:val="0"/>
    </w:rPr>
  </w:style>
  <w:style w:type="paragraph" w:customStyle="1" w:styleId="1269">
    <w:name w:val="p0"/>
    <w:basedOn w:val="1"/>
    <w:semiHidden/>
    <w:qFormat/>
    <w:uiPriority w:val="0"/>
    <w:pPr>
      <w:widowControl/>
      <w:spacing w:line="480" w:lineRule="atLeast"/>
      <w:ind w:firstLine="0" w:firstLineChars="0"/>
    </w:pPr>
    <w:rPr>
      <w:rFonts w:ascii="Arial" w:hAnsi="Arial" w:cs="Arial"/>
      <w:kern w:val="0"/>
      <w:sz w:val="28"/>
      <w:szCs w:val="28"/>
    </w:rPr>
  </w:style>
  <w:style w:type="paragraph" w:customStyle="1" w:styleId="1270">
    <w:name w:val="样式a1"/>
    <w:basedOn w:val="1"/>
    <w:semiHidden/>
    <w:qFormat/>
    <w:uiPriority w:val="0"/>
    <w:pPr>
      <w:spacing w:line="336" w:lineRule="auto"/>
      <w:ind w:firstLine="0" w:firstLineChars="0"/>
    </w:pPr>
    <w:rPr>
      <w:rFonts w:ascii="楷体_GB2312" w:eastAsia="楷体_GB2312" w:cs="Times New Roman"/>
      <w:sz w:val="32"/>
      <w:szCs w:val="24"/>
    </w:rPr>
  </w:style>
  <w:style w:type="paragraph" w:customStyle="1" w:styleId="1271">
    <w:name w:val="xl119"/>
    <w:basedOn w:val="1"/>
    <w:semiHidden/>
    <w:qFormat/>
    <w:uiPriority w:val="0"/>
    <w:pPr>
      <w:widowControl/>
      <w:pBdr>
        <w:right w:val="single" w:color="auto" w:sz="8" w:space="0"/>
      </w:pBdr>
      <w:spacing w:before="100" w:beforeAutospacing="1" w:after="100" w:afterAutospacing="1" w:line="240" w:lineRule="auto"/>
      <w:ind w:firstLine="0" w:firstLineChars="0"/>
      <w:jc w:val="center"/>
    </w:pPr>
    <w:rPr>
      <w:rFonts w:ascii="宋体" w:hAnsi="宋体" w:cs="宋体"/>
      <w:color w:val="0000FF"/>
      <w:kern w:val="0"/>
      <w:sz w:val="21"/>
    </w:rPr>
  </w:style>
  <w:style w:type="paragraph" w:customStyle="1" w:styleId="1272">
    <w:name w:val="单位名称"/>
    <w:basedOn w:val="1"/>
    <w:next w:val="1"/>
    <w:semiHidden/>
    <w:qFormat/>
    <w:uiPriority w:val="0"/>
    <w:pPr>
      <w:spacing w:line="500" w:lineRule="atLeast"/>
      <w:ind w:firstLine="0" w:firstLineChars="0"/>
      <w:jc w:val="center"/>
    </w:pPr>
    <w:rPr>
      <w:rFonts w:cs="Times New Roman"/>
      <w:sz w:val="44"/>
      <w:szCs w:val="44"/>
    </w:rPr>
  </w:style>
  <w:style w:type="paragraph" w:customStyle="1" w:styleId="1273">
    <w:name w:val="xl64"/>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cs="Times New Roman"/>
      <w:color w:val="0000FF"/>
      <w:kern w:val="0"/>
      <w:sz w:val="21"/>
    </w:rPr>
  </w:style>
  <w:style w:type="paragraph" w:customStyle="1" w:styleId="1274">
    <w:name w:val="文件编号"/>
    <w:basedOn w:val="1"/>
    <w:next w:val="1"/>
    <w:semiHidden/>
    <w:qFormat/>
    <w:uiPriority w:val="0"/>
    <w:pPr>
      <w:spacing w:line="500" w:lineRule="atLeast"/>
      <w:ind w:firstLine="0" w:firstLineChars="0"/>
      <w:jc w:val="center"/>
    </w:pPr>
    <w:rPr>
      <w:rFonts w:ascii="黑体" w:eastAsia="黑体" w:cs="Times New Roman"/>
      <w:sz w:val="44"/>
      <w:szCs w:val="44"/>
    </w:rPr>
  </w:style>
  <w:style w:type="paragraph" w:customStyle="1" w:styleId="1275">
    <w:name w:val="xl85"/>
    <w:basedOn w:val="1"/>
    <w:semiHidden/>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276">
    <w:name w:val="文件名称"/>
    <w:basedOn w:val="1"/>
    <w:next w:val="1"/>
    <w:semiHidden/>
    <w:qFormat/>
    <w:uiPriority w:val="0"/>
    <w:pPr>
      <w:spacing w:beforeLines="100" w:line="500" w:lineRule="atLeast"/>
      <w:ind w:firstLine="0" w:firstLineChars="0"/>
      <w:jc w:val="center"/>
    </w:pPr>
    <w:rPr>
      <w:rFonts w:ascii="黑体" w:eastAsia="黑体" w:cs="Times New Roman"/>
      <w:sz w:val="84"/>
      <w:szCs w:val="84"/>
    </w:rPr>
  </w:style>
  <w:style w:type="paragraph" w:customStyle="1" w:styleId="1277">
    <w:name w:val="xl144"/>
    <w:basedOn w:val="1"/>
    <w:semiHidden/>
    <w:qFormat/>
    <w:uiPriority w:val="0"/>
    <w:pPr>
      <w:widowControl/>
      <w:pBdr>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1278">
    <w:name w:val="xl120"/>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cs="Times New Roman"/>
      <w:color w:val="0000FF"/>
      <w:kern w:val="0"/>
      <w:sz w:val="21"/>
    </w:rPr>
  </w:style>
  <w:style w:type="paragraph" w:customStyle="1" w:styleId="1279">
    <w:name w:val="xl43"/>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1280">
    <w:name w:val="xl135"/>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1281">
    <w:name w:val="样式 首行缩进:  2 字符17"/>
    <w:basedOn w:val="1"/>
    <w:qFormat/>
    <w:uiPriority w:val="0"/>
    <w:pPr>
      <w:spacing w:line="520" w:lineRule="exact"/>
      <w:ind w:firstLine="560"/>
    </w:pPr>
    <w:rPr>
      <w:rFonts w:cs="Times New Roman"/>
      <w:szCs w:val="20"/>
    </w:rPr>
  </w:style>
  <w:style w:type="paragraph" w:customStyle="1" w:styleId="1282">
    <w:name w:val="样式 标题 1 + 宋体 小四 加粗 左"/>
    <w:basedOn w:val="3"/>
    <w:semiHidden/>
    <w:qFormat/>
    <w:uiPriority w:val="0"/>
    <w:pPr>
      <w:keepNext w:val="0"/>
      <w:keepLines w:val="0"/>
      <w:pageBreakBefore/>
      <w:spacing w:line="600" w:lineRule="exact"/>
      <w:jc w:val="left"/>
    </w:pPr>
    <w:rPr>
      <w:rFonts w:ascii="宋体" w:hAnsi="宋体" w:eastAsia="宋体" w:cs="宋体"/>
      <w:bCs w:val="0"/>
      <w:kern w:val="2"/>
      <w:sz w:val="24"/>
      <w:szCs w:val="20"/>
    </w:rPr>
  </w:style>
  <w:style w:type="paragraph" w:customStyle="1" w:styleId="1283">
    <w:name w:val="表格填充1"/>
    <w:basedOn w:val="1"/>
    <w:semiHidden/>
    <w:qFormat/>
    <w:uiPriority w:val="0"/>
    <w:pPr>
      <w:adjustRightInd w:val="0"/>
      <w:snapToGrid w:val="0"/>
      <w:spacing w:line="400" w:lineRule="exact"/>
      <w:ind w:firstLine="0" w:firstLineChars="0"/>
      <w:jc w:val="center"/>
    </w:pPr>
    <w:rPr>
      <w:rFonts w:cs="Times New Roman"/>
      <w:sz w:val="21"/>
      <w:szCs w:val="18"/>
    </w:rPr>
  </w:style>
  <w:style w:type="paragraph" w:customStyle="1" w:styleId="1284">
    <w:name w:val="xl116"/>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cs="Times New Roman"/>
      <w:kern w:val="0"/>
      <w:sz w:val="21"/>
    </w:rPr>
  </w:style>
  <w:style w:type="paragraph" w:customStyle="1" w:styleId="1285">
    <w:name w:val="xl121"/>
    <w:basedOn w:val="1"/>
    <w:semiHidden/>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cs="Times New Roman"/>
      <w:color w:val="0000FF"/>
      <w:kern w:val="0"/>
      <w:sz w:val="21"/>
    </w:rPr>
  </w:style>
  <w:style w:type="paragraph" w:customStyle="1" w:styleId="1286">
    <w:name w:val="toplogo"/>
    <w:basedOn w:val="1"/>
    <w:qFormat/>
    <w:uiPriority w:val="0"/>
    <w:pPr>
      <w:widowControl/>
      <w:spacing w:before="100" w:beforeAutospacing="1" w:line="240" w:lineRule="auto"/>
      <w:ind w:firstLine="0" w:firstLineChars="0"/>
      <w:jc w:val="left"/>
    </w:pPr>
    <w:rPr>
      <w:rFonts w:ascii="Arial" w:hAnsi="Arial" w:cs="Arial"/>
      <w:b/>
      <w:bCs/>
      <w:kern w:val="0"/>
      <w:sz w:val="17"/>
      <w:szCs w:val="17"/>
    </w:rPr>
  </w:style>
  <w:style w:type="paragraph" w:customStyle="1" w:styleId="1287">
    <w:name w:val="xl128"/>
    <w:basedOn w:val="1"/>
    <w:semiHidden/>
    <w:qFormat/>
    <w:uiPriority w:val="0"/>
    <w:pPr>
      <w:widowControl/>
      <w:pBdr>
        <w:left w:val="single" w:color="auto" w:sz="8"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1288">
    <w:name w:val="付2"/>
    <w:basedOn w:val="4"/>
    <w:semiHidden/>
    <w:qFormat/>
    <w:uiPriority w:val="0"/>
    <w:pPr>
      <w:jc w:val="left"/>
    </w:pPr>
    <w:rPr>
      <w:rFonts w:ascii="黑体" w:hAnsi="Arial"/>
      <w:b w:val="0"/>
      <w:sz w:val="28"/>
    </w:rPr>
  </w:style>
  <w:style w:type="paragraph" w:customStyle="1" w:styleId="1289">
    <w:name w:val="dxj标题2"/>
    <w:basedOn w:val="4"/>
    <w:qFormat/>
    <w:uiPriority w:val="0"/>
    <w:pPr>
      <w:tabs>
        <w:tab w:val="left" w:pos="927"/>
        <w:tab w:val="left" w:pos="1134"/>
      </w:tabs>
      <w:adjustRightInd w:val="0"/>
      <w:snapToGrid w:val="0"/>
      <w:spacing w:beforeLines="50"/>
    </w:pPr>
    <w:rPr>
      <w:b w:val="0"/>
      <w:bCs w:val="0"/>
      <w:color w:val="000000"/>
      <w:sz w:val="28"/>
      <w:szCs w:val="30"/>
    </w:rPr>
  </w:style>
  <w:style w:type="paragraph" w:customStyle="1" w:styleId="1290">
    <w:name w:val="付3"/>
    <w:basedOn w:val="5"/>
    <w:semiHidden/>
    <w:qFormat/>
    <w:uiPriority w:val="0"/>
    <w:pPr>
      <w:jc w:val="left"/>
    </w:pPr>
    <w:rPr>
      <w:rFonts w:ascii="黑体"/>
      <w:b w:val="0"/>
      <w:color w:val="000000"/>
      <w:sz w:val="24"/>
    </w:rPr>
  </w:style>
  <w:style w:type="paragraph" w:customStyle="1" w:styleId="1291">
    <w:name w:val="Char Char3 Char Char Char Char"/>
    <w:basedOn w:val="1"/>
    <w:semiHidden/>
    <w:qFormat/>
    <w:uiPriority w:val="0"/>
    <w:pPr>
      <w:widowControl/>
      <w:spacing w:after="160" w:line="240" w:lineRule="exact"/>
      <w:ind w:firstLine="0" w:firstLineChars="0"/>
      <w:jc w:val="left"/>
    </w:pPr>
    <w:rPr>
      <w:rFonts w:ascii="Verdana" w:hAnsi="Verdana" w:cs="Times New Roman"/>
      <w:kern w:val="0"/>
      <w:sz w:val="20"/>
      <w:szCs w:val="20"/>
      <w:lang w:eastAsia="en-US"/>
    </w:rPr>
  </w:style>
  <w:style w:type="paragraph" w:customStyle="1" w:styleId="1292">
    <w:name w:val="Char Char5 Char Char Char Char Char Char Char Char Char2 Char"/>
    <w:basedOn w:val="5"/>
    <w:semiHidden/>
    <w:qFormat/>
    <w:uiPriority w:val="0"/>
    <w:pPr>
      <w:widowControl/>
      <w:tabs>
        <w:tab w:val="left" w:pos="360"/>
        <w:tab w:val="left" w:pos="900"/>
      </w:tabs>
      <w:snapToGrid w:val="0"/>
      <w:spacing w:before="120" w:after="120"/>
      <w:ind w:left="542" w:leftChars="-12" w:firstLine="200" w:firstLineChars="200"/>
      <w:jc w:val="left"/>
    </w:pPr>
    <w:rPr>
      <w:b w:val="0"/>
      <w:sz w:val="24"/>
      <w:szCs w:val="24"/>
    </w:rPr>
  </w:style>
  <w:style w:type="paragraph" w:customStyle="1" w:styleId="1293">
    <w:name w:val="Char11 Char Char Char"/>
    <w:basedOn w:val="1"/>
    <w:semiHidden/>
    <w:qFormat/>
    <w:uiPriority w:val="0"/>
    <w:rPr>
      <w:rFonts w:ascii="宋体" w:hAnsi="宋体" w:cs="宋体"/>
      <w:szCs w:val="24"/>
    </w:rPr>
  </w:style>
  <w:style w:type="paragraph" w:customStyle="1" w:styleId="1294">
    <w:name w:val="表格2"/>
    <w:basedOn w:val="1"/>
    <w:qFormat/>
    <w:uiPriority w:val="0"/>
    <w:pPr>
      <w:adjustRightInd w:val="0"/>
      <w:spacing w:line="240" w:lineRule="auto"/>
      <w:ind w:firstLine="0" w:firstLineChars="0"/>
      <w:jc w:val="center"/>
    </w:pPr>
    <w:rPr>
      <w:rFonts w:ascii="宋体" w:cs="Times New Roman"/>
      <w:kern w:val="0"/>
      <w:sz w:val="21"/>
      <w:szCs w:val="24"/>
    </w:rPr>
  </w:style>
  <w:style w:type="paragraph" w:customStyle="1" w:styleId="1295">
    <w:name w:val="!Texte courant"/>
    <w:qFormat/>
    <w:uiPriority w:val="0"/>
    <w:pPr>
      <w:spacing w:before="120" w:line="280" w:lineRule="atLeast"/>
      <w:jc w:val="both"/>
    </w:pPr>
    <w:rPr>
      <w:rFonts w:ascii="Times New Roman" w:hAnsi="Times New Roman" w:eastAsia="宋体" w:cs="Times New Roman"/>
      <w:sz w:val="24"/>
      <w:lang w:val="fr-FR" w:eastAsia="en-US" w:bidi="ar-SA"/>
    </w:rPr>
  </w:style>
  <w:style w:type="paragraph" w:customStyle="1" w:styleId="1296">
    <w:name w:val="初设正文"/>
    <w:basedOn w:val="1"/>
    <w:qFormat/>
    <w:uiPriority w:val="0"/>
    <w:pPr>
      <w:spacing w:after="120" w:line="440" w:lineRule="exact"/>
      <w:ind w:left="425" w:firstLine="425" w:firstLineChars="0"/>
    </w:pPr>
    <w:rPr>
      <w:rFonts w:ascii="Arial" w:hAnsi="Arial" w:cs="Times New Roman"/>
      <w:kern w:val="0"/>
      <w:szCs w:val="20"/>
    </w:rPr>
  </w:style>
  <w:style w:type="paragraph" w:customStyle="1" w:styleId="1297">
    <w:name w:val="样式 表格内容 + (中文) 宋体 居中"/>
    <w:basedOn w:val="1"/>
    <w:qFormat/>
    <w:uiPriority w:val="0"/>
    <w:pPr>
      <w:overflowPunct w:val="0"/>
      <w:adjustRightInd w:val="0"/>
      <w:snapToGrid w:val="0"/>
      <w:spacing w:after="120" w:line="440" w:lineRule="exact"/>
      <w:ind w:firstLine="0" w:firstLineChars="0"/>
      <w:jc w:val="center"/>
    </w:pPr>
    <w:rPr>
      <w:rFonts w:ascii="Arial" w:hAnsi="Arial" w:cs="Times New Roman"/>
      <w:kern w:val="0"/>
      <w:sz w:val="21"/>
    </w:rPr>
  </w:style>
  <w:style w:type="character" w:customStyle="1" w:styleId="1298">
    <w:name w:val="正文01 Char"/>
    <w:basedOn w:val="133"/>
    <w:link w:val="1299"/>
    <w:qFormat/>
    <w:locked/>
    <w:uiPriority w:val="0"/>
    <w:rPr>
      <w:sz w:val="24"/>
      <w:szCs w:val="24"/>
    </w:rPr>
  </w:style>
  <w:style w:type="paragraph" w:customStyle="1" w:styleId="1299">
    <w:name w:val="正文01"/>
    <w:basedOn w:val="1"/>
    <w:link w:val="1298"/>
    <w:qFormat/>
    <w:uiPriority w:val="0"/>
    <w:pPr>
      <w:spacing w:before="60" w:line="460" w:lineRule="exact"/>
    </w:pPr>
    <w:rPr>
      <w:rFonts w:asciiTheme="minorHAnsi" w:hAnsiTheme="minorHAnsi" w:eastAsiaTheme="minorEastAsia"/>
      <w:szCs w:val="24"/>
    </w:rPr>
  </w:style>
  <w:style w:type="paragraph" w:customStyle="1" w:styleId="1300">
    <w:name w:val="_Style 459"/>
    <w:basedOn w:val="1"/>
    <w:qFormat/>
    <w:uiPriority w:val="0"/>
    <w:pPr>
      <w:spacing w:line="240" w:lineRule="auto"/>
      <w:ind w:firstLine="0" w:firstLineChars="0"/>
    </w:pPr>
    <w:rPr>
      <w:rFonts w:cs="Times New Roman"/>
      <w:sz w:val="21"/>
      <w:szCs w:val="24"/>
    </w:rPr>
  </w:style>
  <w:style w:type="paragraph" w:customStyle="1" w:styleId="1301">
    <w:name w:val="标题 3 + Arial 小四 非加粗 段前: 0 磅 段后: 6 磅 行距: 固定值 22 磅"/>
    <w:basedOn w:val="5"/>
    <w:next w:val="1"/>
    <w:qFormat/>
    <w:uiPriority w:val="0"/>
    <w:pPr>
      <w:spacing w:line="440" w:lineRule="exact"/>
    </w:pPr>
    <w:rPr>
      <w:rFonts w:ascii="宋体" w:hAnsi="宋体" w:eastAsia="宋体"/>
      <w:sz w:val="24"/>
      <w:szCs w:val="20"/>
    </w:rPr>
  </w:style>
  <w:style w:type="paragraph" w:customStyle="1" w:styleId="1302">
    <w:name w:val="悬挂式正文"/>
    <w:basedOn w:val="1"/>
    <w:qFormat/>
    <w:uiPriority w:val="0"/>
    <w:pPr>
      <w:tabs>
        <w:tab w:val="center" w:pos="6804"/>
        <w:tab w:val="right" w:pos="7371"/>
      </w:tabs>
      <w:overflowPunct w:val="0"/>
      <w:adjustRightInd w:val="0"/>
      <w:ind w:left="1701" w:hanging="1134" w:firstLineChars="0"/>
    </w:pPr>
    <w:rPr>
      <w:rFonts w:cs="Times New Roman"/>
      <w:kern w:val="0"/>
      <w:sz w:val="28"/>
      <w:szCs w:val="20"/>
    </w:rPr>
  </w:style>
  <w:style w:type="paragraph" w:customStyle="1" w:styleId="1303">
    <w:name w:val="单行表格样式(居中)"/>
    <w:qFormat/>
    <w:uiPriority w:val="0"/>
    <w:pPr>
      <w:jc w:val="center"/>
    </w:pPr>
    <w:rPr>
      <w:rFonts w:ascii="宋体" w:hAnsi="宋体" w:eastAsia="宋体" w:cs="Times New Roman"/>
      <w:kern w:val="2"/>
      <w:sz w:val="21"/>
      <w:szCs w:val="28"/>
      <w:lang w:val="en-US" w:eastAsia="zh-CN" w:bidi="ar-SA"/>
    </w:rPr>
  </w:style>
  <w:style w:type="paragraph" w:customStyle="1" w:styleId="1304">
    <w:name w:val="正文 + 首行缩进:  2 字符"/>
    <w:basedOn w:val="1"/>
    <w:qFormat/>
    <w:uiPriority w:val="0"/>
    <w:pPr>
      <w:spacing w:line="460" w:lineRule="atLeast"/>
      <w:ind w:firstLine="528"/>
    </w:pPr>
    <w:rPr>
      <w:rFonts w:cs="Times New Roman"/>
      <w:spacing w:val="12"/>
      <w:szCs w:val="20"/>
    </w:rPr>
  </w:style>
  <w:style w:type="paragraph" w:customStyle="1" w:styleId="1305">
    <w:name w:val="Char Char1 Char Char"/>
    <w:basedOn w:val="1"/>
    <w:semiHidden/>
    <w:qFormat/>
    <w:uiPriority w:val="0"/>
    <w:pPr>
      <w:spacing w:line="240" w:lineRule="auto"/>
      <w:ind w:firstLine="0" w:firstLineChars="0"/>
    </w:pPr>
    <w:rPr>
      <w:rFonts w:cs="Times New Roman"/>
      <w:sz w:val="21"/>
      <w:szCs w:val="24"/>
    </w:rPr>
  </w:style>
  <w:style w:type="paragraph" w:customStyle="1" w:styleId="1306">
    <w:name w:val="图表目录1"/>
    <w:basedOn w:val="594"/>
    <w:next w:val="594"/>
    <w:qFormat/>
    <w:uiPriority w:val="0"/>
    <w:pPr>
      <w:tabs>
        <w:tab w:val="right" w:leader="dot" w:pos="8051"/>
      </w:tabs>
      <w:spacing w:line="360" w:lineRule="atLeast"/>
      <w:ind w:left="840" w:hanging="840"/>
    </w:pPr>
    <w:rPr>
      <w:sz w:val="24"/>
    </w:rPr>
  </w:style>
  <w:style w:type="paragraph" w:customStyle="1" w:styleId="1307">
    <w:name w:val="尾注文本1"/>
    <w:basedOn w:val="594"/>
    <w:qFormat/>
    <w:uiPriority w:val="0"/>
    <w:pPr>
      <w:spacing w:line="360" w:lineRule="atLeast"/>
    </w:pPr>
    <w:rPr>
      <w:sz w:val="21"/>
    </w:rPr>
  </w:style>
  <w:style w:type="paragraph" w:customStyle="1" w:styleId="1308">
    <w:name w:val="样式1－表头"/>
    <w:basedOn w:val="1"/>
    <w:qFormat/>
    <w:uiPriority w:val="0"/>
    <w:pPr>
      <w:adjustRightInd w:val="0"/>
      <w:snapToGrid w:val="0"/>
      <w:spacing w:beforeLines="50" w:afterLines="50" w:line="336" w:lineRule="auto"/>
      <w:ind w:firstLine="0" w:firstLineChars="0"/>
      <w:jc w:val="center"/>
    </w:pPr>
    <w:rPr>
      <w:rFonts w:eastAsia="黑体" w:cs="Times New Roman"/>
      <w:spacing w:val="6"/>
      <w:szCs w:val="20"/>
    </w:rPr>
  </w:style>
  <w:style w:type="paragraph" w:customStyle="1" w:styleId="1309">
    <w:name w:val="样式3wf"/>
    <w:basedOn w:val="654"/>
    <w:qFormat/>
    <w:uiPriority w:val="0"/>
    <w:pPr>
      <w:autoSpaceDE w:val="0"/>
      <w:autoSpaceDN w:val="0"/>
      <w:adjustRightInd w:val="0"/>
      <w:snapToGrid w:val="0"/>
      <w:spacing w:before="120"/>
    </w:pPr>
  </w:style>
  <w:style w:type="paragraph" w:customStyle="1" w:styleId="1310">
    <w:name w:val="fontsmall"/>
    <w:basedOn w:val="1"/>
    <w:qFormat/>
    <w:uiPriority w:val="0"/>
    <w:pPr>
      <w:widowControl/>
      <w:spacing w:before="100" w:beforeAutospacing="1" w:after="100" w:afterAutospacing="1" w:line="240" w:lineRule="auto"/>
      <w:ind w:firstLine="0" w:firstLineChars="0"/>
      <w:jc w:val="left"/>
    </w:pPr>
    <w:rPr>
      <w:rFonts w:ascii="Arial" w:hAnsi="Arial" w:cs="Arial"/>
      <w:kern w:val="0"/>
      <w:sz w:val="13"/>
      <w:szCs w:val="13"/>
    </w:rPr>
  </w:style>
  <w:style w:type="paragraph" w:customStyle="1" w:styleId="1311">
    <w:name w:val="样式 样式2 + 段前: 6 磅 行距: 单倍行距2"/>
    <w:basedOn w:val="654"/>
    <w:qFormat/>
    <w:uiPriority w:val="0"/>
    <w:pPr>
      <w:autoSpaceDE w:val="0"/>
      <w:autoSpaceDN w:val="0"/>
      <w:adjustRightInd w:val="0"/>
      <w:snapToGrid w:val="0"/>
      <w:spacing w:before="120"/>
    </w:pPr>
    <w:rPr>
      <w:spacing w:val="-16"/>
    </w:rPr>
  </w:style>
  <w:style w:type="paragraph" w:customStyle="1" w:styleId="1312">
    <w:name w:val="样式 样式 首行缩进:  2 字符 + 首行缩进:  2 字符"/>
    <w:basedOn w:val="1"/>
    <w:qFormat/>
    <w:uiPriority w:val="0"/>
    <w:pPr>
      <w:spacing w:line="240" w:lineRule="auto"/>
      <w:ind w:firstLine="587"/>
    </w:pPr>
    <w:rPr>
      <w:rFonts w:ascii="宋体" w:cs="Times New Roman"/>
      <w:sz w:val="27"/>
      <w:szCs w:val="27"/>
    </w:rPr>
  </w:style>
  <w:style w:type="paragraph" w:customStyle="1" w:styleId="1313">
    <w:name w:val="S表格"/>
    <w:basedOn w:val="1"/>
    <w:qFormat/>
    <w:uiPriority w:val="0"/>
    <w:pPr>
      <w:spacing w:before="240"/>
      <w:ind w:firstLine="0" w:firstLineChars="0"/>
      <w:outlineLvl w:val="2"/>
    </w:pPr>
    <w:rPr>
      <w:rFonts w:cs="Times New Roman"/>
      <w:bCs/>
      <w:szCs w:val="24"/>
    </w:rPr>
  </w:style>
  <w:style w:type="paragraph" w:customStyle="1" w:styleId="1314">
    <w:name w:val="样式 样式 样式 首行缩进:  2 字符 + 首行缩进:  2 字符 + 首行缩进:  2 字符"/>
    <w:basedOn w:val="1312"/>
    <w:qFormat/>
    <w:uiPriority w:val="0"/>
    <w:pPr>
      <w:ind w:firstLine="567"/>
    </w:pPr>
    <w:rPr>
      <w:szCs w:val="20"/>
    </w:rPr>
  </w:style>
  <w:style w:type="paragraph" w:customStyle="1" w:styleId="1315">
    <w:name w:val="样式 标题 1 + 自动设置"/>
    <w:basedOn w:val="3"/>
    <w:qFormat/>
    <w:uiPriority w:val="0"/>
    <w:pPr>
      <w:tabs>
        <w:tab w:val="left" w:pos="700"/>
        <w:tab w:val="left" w:pos="1440"/>
      </w:tabs>
      <w:autoSpaceDE w:val="0"/>
      <w:autoSpaceDN w:val="0"/>
      <w:adjustRightInd w:val="0"/>
      <w:ind w:left="431" w:hanging="431"/>
      <w:jc w:val="center"/>
    </w:pPr>
    <w:rPr>
      <w:rFonts w:eastAsia="宋体"/>
      <w:sz w:val="28"/>
      <w:szCs w:val="20"/>
    </w:rPr>
  </w:style>
  <w:style w:type="paragraph" w:customStyle="1" w:styleId="1316">
    <w:name w:val="表字"/>
    <w:basedOn w:val="1"/>
    <w:qFormat/>
    <w:uiPriority w:val="0"/>
    <w:pPr>
      <w:spacing w:line="240" w:lineRule="auto"/>
      <w:ind w:firstLine="0" w:firstLineChars="0"/>
      <w:jc w:val="center"/>
    </w:pPr>
    <w:rPr>
      <w:rFonts w:ascii="宋体" w:cs="Times New Roman"/>
      <w:sz w:val="21"/>
      <w:szCs w:val="20"/>
    </w:rPr>
  </w:style>
  <w:style w:type="character" w:customStyle="1" w:styleId="1317">
    <w:name w:val="样式 样式 方正宋三简体 14 磅 行距: 1.5 倍行距1 + 首行缩进:  2 字符 Char"/>
    <w:link w:val="1318"/>
    <w:qFormat/>
    <w:locked/>
    <w:uiPriority w:val="0"/>
    <w:rPr>
      <w:rFonts w:ascii="宋体" w:hAnsi="方正宋三简体" w:eastAsia="宋体" w:cs="宋体"/>
      <w:sz w:val="27"/>
      <w:szCs w:val="27"/>
    </w:rPr>
  </w:style>
  <w:style w:type="paragraph" w:customStyle="1" w:styleId="1318">
    <w:name w:val="样式 样式 方正宋三简体 14 磅 行距: 1.5 倍行距1 + 首行缩进:  2 字符"/>
    <w:basedOn w:val="1"/>
    <w:link w:val="1317"/>
    <w:qFormat/>
    <w:uiPriority w:val="0"/>
    <w:pPr>
      <w:spacing w:line="240" w:lineRule="auto"/>
    </w:pPr>
    <w:rPr>
      <w:rFonts w:ascii="宋体" w:hAnsi="方正宋三简体" w:cs="宋体"/>
      <w:sz w:val="27"/>
      <w:szCs w:val="27"/>
    </w:rPr>
  </w:style>
  <w:style w:type="paragraph" w:customStyle="1" w:styleId="1319">
    <w:name w:val="样式 标题 3 + Arial"/>
    <w:basedOn w:val="1"/>
    <w:qFormat/>
    <w:uiPriority w:val="0"/>
    <w:pPr>
      <w:spacing w:line="240" w:lineRule="auto"/>
      <w:ind w:firstLine="0" w:firstLineChars="0"/>
    </w:pPr>
    <w:rPr>
      <w:rFonts w:cs="Times New Roman"/>
      <w:sz w:val="21"/>
      <w:szCs w:val="20"/>
    </w:rPr>
  </w:style>
  <w:style w:type="paragraph" w:customStyle="1" w:styleId="1320">
    <w:name w:val="Body Text First Indent3"/>
    <w:basedOn w:val="34"/>
    <w:qFormat/>
    <w:uiPriority w:val="0"/>
    <w:pPr>
      <w:adjustRightInd w:val="0"/>
      <w:spacing w:after="0" w:line="312" w:lineRule="auto"/>
      <w:ind w:firstLine="567" w:firstLineChars="0"/>
    </w:pPr>
    <w:rPr>
      <w:rFonts w:cs="Times New Roman"/>
      <w:kern w:val="0"/>
      <w:sz w:val="28"/>
      <w:szCs w:val="20"/>
    </w:rPr>
  </w:style>
  <w:style w:type="paragraph" w:customStyle="1" w:styleId="1321">
    <w:name w:val="正文标题3"/>
    <w:basedOn w:val="5"/>
    <w:qFormat/>
    <w:uiPriority w:val="0"/>
    <w:rPr>
      <w:b w:val="0"/>
    </w:rPr>
  </w:style>
  <w:style w:type="paragraph" w:customStyle="1" w:styleId="1322">
    <w:name w:val="页脚1"/>
    <w:basedOn w:val="594"/>
    <w:qFormat/>
    <w:uiPriority w:val="0"/>
    <w:pPr>
      <w:tabs>
        <w:tab w:val="center" w:pos="4153"/>
        <w:tab w:val="right" w:pos="8306"/>
      </w:tabs>
      <w:spacing w:line="240" w:lineRule="atLeast"/>
    </w:pPr>
    <w:rPr>
      <w:sz w:val="18"/>
    </w:rPr>
  </w:style>
  <w:style w:type="paragraph" w:customStyle="1" w:styleId="1323">
    <w:name w:val="font1"/>
    <w:basedOn w:val="1"/>
    <w:qFormat/>
    <w:uiPriority w:val="0"/>
    <w:pPr>
      <w:widowControl/>
      <w:spacing w:before="100" w:beforeAutospacing="1" w:after="100" w:afterAutospacing="1" w:line="240" w:lineRule="auto"/>
      <w:ind w:firstLine="0" w:firstLineChars="0"/>
      <w:jc w:val="left"/>
    </w:pPr>
    <w:rPr>
      <w:rFonts w:ascii="宋体" w:hAnsi="宋体" w:cs="Times New Roman"/>
      <w:kern w:val="0"/>
      <w:szCs w:val="24"/>
    </w:rPr>
  </w:style>
  <w:style w:type="paragraph" w:customStyle="1" w:styleId="1324">
    <w:name w:val="规划正文样式"/>
    <w:basedOn w:val="1"/>
    <w:qFormat/>
    <w:uiPriority w:val="0"/>
    <w:pPr>
      <w:spacing w:line="400" w:lineRule="exact"/>
      <w:ind w:firstLine="480"/>
    </w:pPr>
    <w:rPr>
      <w:rFonts w:cs="Times New Roman"/>
      <w:szCs w:val="24"/>
    </w:rPr>
  </w:style>
  <w:style w:type="paragraph" w:customStyle="1" w:styleId="1325">
    <w:name w:val="样式 首行缩进:  2 字符 行距: 最小值 19 磅"/>
    <w:basedOn w:val="1"/>
    <w:qFormat/>
    <w:uiPriority w:val="0"/>
    <w:pPr>
      <w:spacing w:line="480" w:lineRule="exact"/>
    </w:pPr>
    <w:rPr>
      <w:rFonts w:cs="宋体"/>
      <w:szCs w:val="20"/>
    </w:rPr>
  </w:style>
  <w:style w:type="paragraph" w:customStyle="1" w:styleId="1326">
    <w:name w:val="章标题(不加入目录内)"/>
    <w:basedOn w:val="84"/>
    <w:qFormat/>
    <w:uiPriority w:val="0"/>
    <w:pPr>
      <w:keepLines/>
      <w:pageBreakBefore/>
      <w:spacing w:after="120"/>
      <w:ind w:left="0" w:firstLine="0"/>
      <w:outlineLvl w:val="9"/>
    </w:pPr>
    <w:rPr>
      <w:rFonts w:ascii="Times New Roman" w:hAnsi="Times New Roman" w:eastAsia="黑体"/>
      <w:sz w:val="36"/>
    </w:rPr>
  </w:style>
  <w:style w:type="paragraph" w:customStyle="1" w:styleId="1327">
    <w:name w:val="灯泡注释(打印无效)"/>
    <w:basedOn w:val="86"/>
    <w:qFormat/>
    <w:uiPriority w:val="0"/>
    <w:pPr>
      <w:snapToGrid w:val="0"/>
      <w:spacing w:after="0"/>
      <w:ind w:firstLine="0" w:firstLineChars="0"/>
    </w:pPr>
    <w:rPr>
      <w:i/>
      <w:vanish/>
      <w:color w:val="FF0000"/>
      <w:szCs w:val="21"/>
    </w:rPr>
  </w:style>
  <w:style w:type="paragraph" w:customStyle="1" w:styleId="1328">
    <w:name w:val="WPS Plain"/>
    <w:qFormat/>
    <w:uiPriority w:val="0"/>
    <w:rPr>
      <w:rFonts w:ascii="Times New Roman" w:hAnsi="Times New Roman" w:eastAsia="宋体" w:cs="Times New Roman"/>
      <w:lang w:val="en-US" w:eastAsia="zh-CN" w:bidi="ar-SA"/>
    </w:rPr>
  </w:style>
  <w:style w:type="paragraph" w:customStyle="1" w:styleId="1329">
    <w:name w:val="正文文本最新 Char Char Char1 Char Char Char Char Char Char"/>
    <w:qFormat/>
    <w:uiPriority w:val="0"/>
    <w:pPr>
      <w:spacing w:line="360" w:lineRule="auto"/>
      <w:ind w:firstLine="200" w:firstLineChars="200"/>
      <w:jc w:val="both"/>
    </w:pPr>
    <w:rPr>
      <w:rFonts w:ascii="Times New Roman" w:hAnsi="Times New Roman" w:eastAsia="宋体" w:cs="Times New Roman"/>
      <w:b/>
      <w:bCs/>
      <w:kern w:val="2"/>
      <w:sz w:val="28"/>
      <w:szCs w:val="24"/>
      <w:lang w:val="en-US" w:eastAsia="zh-CN" w:bidi="ar-SA"/>
    </w:rPr>
  </w:style>
  <w:style w:type="paragraph" w:customStyle="1" w:styleId="1330">
    <w:name w:val="自定义正文 Char Char Char"/>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331">
    <w:name w:val="04"/>
    <w:basedOn w:val="1"/>
    <w:qFormat/>
    <w:uiPriority w:val="0"/>
    <w:pPr>
      <w:spacing w:line="312" w:lineRule="auto"/>
      <w:ind w:firstLine="0" w:firstLineChars="0"/>
    </w:pPr>
    <w:rPr>
      <w:rFonts w:eastAsia="华文仿宋" w:cs="Times New Roman"/>
      <w:szCs w:val="30"/>
    </w:rPr>
  </w:style>
  <w:style w:type="paragraph" w:customStyle="1" w:styleId="1332">
    <w:name w:val="正文文本最新 Char Char Char1 Char Char Char Char Char"/>
    <w:qFormat/>
    <w:uiPriority w:val="0"/>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333">
    <w:name w:val="基准脚注"/>
    <w:basedOn w:val="1"/>
    <w:qFormat/>
    <w:uiPriority w:val="0"/>
    <w:pPr>
      <w:widowControl/>
      <w:spacing w:line="240" w:lineRule="auto"/>
      <w:ind w:firstLine="0" w:firstLineChars="0"/>
      <w:jc w:val="left"/>
    </w:pPr>
    <w:rPr>
      <w:rFonts w:ascii="Garamond" w:hAnsi="Garamond" w:cs="Times New Roman"/>
      <w:kern w:val="0"/>
      <w:szCs w:val="20"/>
    </w:rPr>
  </w:style>
  <w:style w:type="paragraph" w:customStyle="1" w:styleId="1334">
    <w:name w:val="PSPSPSPS"/>
    <w:basedOn w:val="1"/>
    <w:qFormat/>
    <w:uiPriority w:val="0"/>
    <w:pPr>
      <w:adjustRightInd w:val="0"/>
      <w:spacing w:line="600" w:lineRule="atLeast"/>
      <w:ind w:firstLine="0" w:firstLineChars="0"/>
    </w:pPr>
    <w:rPr>
      <w:rFonts w:cs="Times New Roman"/>
      <w:kern w:val="0"/>
      <w:sz w:val="28"/>
      <w:szCs w:val="20"/>
    </w:rPr>
  </w:style>
  <w:style w:type="character" w:customStyle="1" w:styleId="1335">
    <w:name w:val="白正文 Char Char"/>
    <w:link w:val="1336"/>
    <w:qFormat/>
    <w:locked/>
    <w:uiPriority w:val="0"/>
    <w:rPr>
      <w:rFonts w:ascii="宋体" w:hAnsi="宋体" w:eastAsia="宋体"/>
      <w:color w:val="000000"/>
      <w:sz w:val="24"/>
      <w:szCs w:val="24"/>
    </w:rPr>
  </w:style>
  <w:style w:type="paragraph" w:customStyle="1" w:styleId="1336">
    <w:name w:val="白正文"/>
    <w:basedOn w:val="1"/>
    <w:link w:val="1335"/>
    <w:qFormat/>
    <w:uiPriority w:val="0"/>
    <w:rPr>
      <w:rFonts w:ascii="宋体" w:hAnsi="宋体"/>
      <w:color w:val="000000"/>
      <w:szCs w:val="24"/>
    </w:rPr>
  </w:style>
  <w:style w:type="paragraph" w:customStyle="1" w:styleId="1337">
    <w:name w:val="Char Char13 Char Char Char Char Char Char Char Char Char Char Char Char Char Char"/>
    <w:basedOn w:val="1"/>
    <w:semiHidden/>
    <w:qFormat/>
    <w:uiPriority w:val="0"/>
    <w:rPr>
      <w:rFonts w:ascii="宋体" w:hAnsi="宋体" w:cs="宋体"/>
      <w:szCs w:val="24"/>
    </w:rPr>
  </w:style>
  <w:style w:type="paragraph" w:customStyle="1" w:styleId="1338">
    <w:name w:val="Char Char27 Char Char Char Char"/>
    <w:basedOn w:val="1"/>
    <w:qFormat/>
    <w:uiPriority w:val="0"/>
    <w:rPr>
      <w:rFonts w:ascii="宋体" w:hAnsi="宋体" w:cs="宋体"/>
      <w:szCs w:val="24"/>
    </w:rPr>
  </w:style>
  <w:style w:type="paragraph" w:customStyle="1" w:styleId="1339">
    <w:name w:val="Heading 1 Text"/>
    <w:basedOn w:val="1"/>
    <w:qFormat/>
    <w:uiPriority w:val="0"/>
    <w:pPr>
      <w:widowControl/>
      <w:suppressAutoHyphens/>
      <w:spacing w:before="120" w:after="120"/>
      <w:ind w:left="720" w:firstLine="480"/>
    </w:pPr>
    <w:rPr>
      <w:rFonts w:ascii="CG Omega" w:hAnsi="CG Omega" w:cs="Times New Roman"/>
      <w:kern w:val="0"/>
      <w:sz w:val="22"/>
      <w:szCs w:val="24"/>
      <w:lang w:eastAsia="en-US"/>
    </w:rPr>
  </w:style>
  <w:style w:type="paragraph" w:customStyle="1" w:styleId="1340">
    <w:name w:val="样式 正文 +1"/>
    <w:basedOn w:val="1"/>
    <w:qFormat/>
    <w:uiPriority w:val="0"/>
    <w:pPr>
      <w:jc w:val="left"/>
    </w:pPr>
    <w:rPr>
      <w:rFonts w:cs="宋体"/>
      <w:szCs w:val="20"/>
    </w:rPr>
  </w:style>
  <w:style w:type="paragraph" w:customStyle="1" w:styleId="1341">
    <w:name w:val="标2"/>
    <w:basedOn w:val="4"/>
    <w:next w:val="1"/>
    <w:semiHidden/>
    <w:qFormat/>
    <w:uiPriority w:val="0"/>
    <w:pPr>
      <w:ind w:firstLine="200" w:firstLineChars="200"/>
    </w:pPr>
    <w:rPr>
      <w:rFonts w:ascii="Arial" w:hAnsi="Arial"/>
      <w:b w:val="0"/>
      <w:sz w:val="28"/>
    </w:rPr>
  </w:style>
  <w:style w:type="character" w:customStyle="1" w:styleId="1342">
    <w:name w:val="表格内容新 Char"/>
    <w:basedOn w:val="133"/>
    <w:link w:val="1343"/>
    <w:qFormat/>
    <w:locked/>
    <w:uiPriority w:val="0"/>
    <w:rPr>
      <w:rFonts w:ascii="宋体" w:hAnsi="宋体" w:eastAsia="宋体" w:cs="宋体"/>
      <w:spacing w:val="-2"/>
      <w:sz w:val="18"/>
      <w:szCs w:val="18"/>
    </w:rPr>
  </w:style>
  <w:style w:type="paragraph" w:customStyle="1" w:styleId="1343">
    <w:name w:val="表格内容新"/>
    <w:basedOn w:val="1"/>
    <w:link w:val="1342"/>
    <w:qFormat/>
    <w:uiPriority w:val="0"/>
    <w:pPr>
      <w:adjustRightInd w:val="0"/>
      <w:snapToGrid w:val="0"/>
      <w:spacing w:line="360" w:lineRule="exact"/>
      <w:ind w:left="-105" w:leftChars="-50" w:firstLine="0" w:firstLineChars="0"/>
      <w:jc w:val="center"/>
    </w:pPr>
    <w:rPr>
      <w:rFonts w:ascii="宋体" w:hAnsi="宋体" w:cs="宋体"/>
      <w:spacing w:val="-2"/>
      <w:sz w:val="18"/>
      <w:szCs w:val="18"/>
    </w:rPr>
  </w:style>
  <w:style w:type="paragraph" w:customStyle="1" w:styleId="1344">
    <w:name w:val="样式 标题 1标题 1 Char章节标题 + 黑体"/>
    <w:basedOn w:val="3"/>
    <w:qFormat/>
    <w:uiPriority w:val="0"/>
    <w:rPr>
      <w:rFonts w:ascii="黑体" w:hAnsi="黑体"/>
      <w:kern w:val="2"/>
      <w:szCs w:val="52"/>
    </w:rPr>
  </w:style>
  <w:style w:type="character" w:customStyle="1" w:styleId="1345">
    <w:name w:val="表格标题3 Char"/>
    <w:basedOn w:val="133"/>
    <w:link w:val="1346"/>
    <w:qFormat/>
    <w:locked/>
    <w:uiPriority w:val="0"/>
    <w:rPr>
      <w:b/>
      <w:sz w:val="24"/>
      <w:szCs w:val="24"/>
    </w:rPr>
  </w:style>
  <w:style w:type="paragraph" w:customStyle="1" w:styleId="1346">
    <w:name w:val="表格标题3"/>
    <w:basedOn w:val="1"/>
    <w:link w:val="1345"/>
    <w:qFormat/>
    <w:uiPriority w:val="0"/>
    <w:pPr>
      <w:ind w:right="-120" w:rightChars="-50" w:firstLine="360" w:firstLineChars="150"/>
      <w:jc w:val="center"/>
    </w:pPr>
    <w:rPr>
      <w:rFonts w:asciiTheme="minorHAnsi" w:hAnsiTheme="minorHAnsi" w:eastAsiaTheme="minorEastAsia"/>
      <w:b/>
      <w:szCs w:val="24"/>
    </w:rPr>
  </w:style>
  <w:style w:type="paragraph" w:customStyle="1" w:styleId="1347">
    <w:name w:val="标题五"/>
    <w:basedOn w:val="1"/>
    <w:qFormat/>
    <w:uiPriority w:val="0"/>
    <w:pPr>
      <w:tabs>
        <w:tab w:val="left" w:pos="720"/>
        <w:tab w:val="left" w:pos="2007"/>
      </w:tabs>
      <w:spacing w:line="240" w:lineRule="auto"/>
      <w:ind w:left="620" w:firstLine="567" w:firstLineChars="0"/>
    </w:pPr>
    <w:rPr>
      <w:rFonts w:cs="Times New Roman"/>
      <w:sz w:val="28"/>
      <w:szCs w:val="20"/>
    </w:rPr>
  </w:style>
  <w:style w:type="paragraph" w:customStyle="1" w:styleId="1348">
    <w:name w:val="带编号的正文缩进"/>
    <w:basedOn w:val="21"/>
    <w:qFormat/>
    <w:uiPriority w:val="0"/>
    <w:pPr>
      <w:tabs>
        <w:tab w:val="left" w:pos="1680"/>
      </w:tabs>
      <w:ind w:left="1680" w:hanging="420" w:firstLineChars="0"/>
    </w:pPr>
    <w:rPr>
      <w:rFonts w:asciiTheme="minorHAnsi" w:hAnsiTheme="minorHAnsi" w:eastAsiaTheme="minorEastAsia" w:cstheme="minorBidi"/>
      <w:sz w:val="28"/>
      <w:szCs w:val="22"/>
    </w:rPr>
  </w:style>
  <w:style w:type="paragraph" w:customStyle="1" w:styleId="1349">
    <w:name w:val="样式 标题 3标题 3 Char标题 3 Char Char Char Char Char标题 3 Char Char C..."/>
    <w:basedOn w:val="5"/>
    <w:qFormat/>
    <w:uiPriority w:val="0"/>
    <w:pPr>
      <w:tabs>
        <w:tab w:val="left" w:pos="636"/>
      </w:tabs>
      <w:adjustRightInd w:val="0"/>
      <w:spacing w:before="240" w:line="480" w:lineRule="exact"/>
      <w:jc w:val="left"/>
    </w:pPr>
    <w:rPr>
      <w:rFonts w:ascii="宋体" w:hAnsi="宋体" w:eastAsia="宋体"/>
      <w:bCs w:val="0"/>
      <w:kern w:val="0"/>
      <w:sz w:val="24"/>
      <w:szCs w:val="20"/>
    </w:rPr>
  </w:style>
  <w:style w:type="paragraph" w:customStyle="1" w:styleId="1350">
    <w:name w:val="style9"/>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351">
    <w:name w:val="分标题"/>
    <w:basedOn w:val="1"/>
    <w:next w:val="1"/>
    <w:qFormat/>
    <w:uiPriority w:val="0"/>
    <w:pPr>
      <w:widowControl/>
      <w:spacing w:before="60" w:after="60"/>
      <w:ind w:firstLine="0" w:firstLineChars="0"/>
      <w:jc w:val="left"/>
    </w:pPr>
    <w:rPr>
      <w:rFonts w:ascii="宋体" w:cs="Times New Roman"/>
      <w:b/>
      <w:kern w:val="0"/>
      <w:szCs w:val="24"/>
    </w:rPr>
  </w:style>
  <w:style w:type="paragraph" w:customStyle="1" w:styleId="1352">
    <w:name w:val="ENUM"/>
    <w:basedOn w:val="1"/>
    <w:qFormat/>
    <w:uiPriority w:val="0"/>
    <w:pPr>
      <w:widowControl/>
      <w:tabs>
        <w:tab w:val="left" w:pos="1418"/>
      </w:tabs>
      <w:spacing w:before="60" w:after="60" w:line="240" w:lineRule="auto"/>
      <w:ind w:left="1418" w:hanging="284"/>
    </w:pPr>
    <w:rPr>
      <w:rFonts w:ascii="Arial" w:hAnsi="Arial" w:cs="Times New Roman"/>
      <w:kern w:val="0"/>
      <w:sz w:val="22"/>
      <w:szCs w:val="20"/>
      <w:lang w:val="en-GB"/>
    </w:rPr>
  </w:style>
  <w:style w:type="paragraph" w:customStyle="1" w:styleId="1353">
    <w:name w:val="Char Char Char Char Char Char Char Char Char1 Char Char Char1 Char"/>
    <w:basedOn w:val="1"/>
    <w:qFormat/>
    <w:uiPriority w:val="0"/>
    <w:pPr>
      <w:spacing w:line="240" w:lineRule="auto"/>
      <w:ind w:firstLine="0" w:firstLineChars="0"/>
    </w:pPr>
    <w:rPr>
      <w:rFonts w:ascii="宋体" w:hAnsi="宋体" w:cs="Courier New"/>
      <w:sz w:val="32"/>
      <w:szCs w:val="32"/>
    </w:rPr>
  </w:style>
  <w:style w:type="paragraph" w:customStyle="1" w:styleId="1354">
    <w:name w:val="29"/>
    <w:basedOn w:val="1"/>
    <w:qFormat/>
    <w:uiPriority w:val="0"/>
    <w:pPr>
      <w:widowControl/>
      <w:spacing w:before="100" w:beforeAutospacing="1" w:after="100" w:afterAutospacing="1" w:line="240" w:lineRule="auto"/>
      <w:ind w:firstLine="0" w:firstLineChars="0"/>
      <w:jc w:val="left"/>
    </w:pPr>
    <w:rPr>
      <w:rFonts w:ascii="宋体" w:hAnsi="宋体" w:cs="Times New Roman"/>
      <w:kern w:val="0"/>
      <w:szCs w:val="20"/>
    </w:rPr>
  </w:style>
  <w:style w:type="paragraph" w:customStyle="1" w:styleId="1355">
    <w:name w:val="Char Char1 Char Char Char Char Char Char"/>
    <w:basedOn w:val="1"/>
    <w:semiHidden/>
    <w:qFormat/>
    <w:uiPriority w:val="0"/>
    <w:pPr>
      <w:spacing w:line="440" w:lineRule="exact"/>
      <w:ind w:firstLine="720"/>
    </w:pPr>
    <w:rPr>
      <w:rFonts w:cs="Times New Roman"/>
      <w:kern w:val="0"/>
      <w:szCs w:val="24"/>
    </w:rPr>
  </w:style>
  <w:style w:type="paragraph" w:customStyle="1" w:styleId="1356">
    <w:name w:val="Char Char Char Char Char Char1 Char"/>
    <w:basedOn w:val="1"/>
    <w:qFormat/>
    <w:uiPriority w:val="0"/>
    <w:pPr>
      <w:spacing w:line="240" w:lineRule="auto"/>
      <w:ind w:firstLine="0" w:firstLineChars="0"/>
    </w:pPr>
    <w:rPr>
      <w:rFonts w:cs="Times New Roman"/>
      <w:sz w:val="21"/>
      <w:szCs w:val="24"/>
    </w:rPr>
  </w:style>
  <w:style w:type="paragraph" w:customStyle="1" w:styleId="1357">
    <w:name w:val="reader-word-layer reader-word-s41-5"/>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358">
    <w:name w:val="【表中文字】 Char"/>
    <w:link w:val="1359"/>
    <w:qFormat/>
    <w:locked/>
    <w:uiPriority w:val="0"/>
  </w:style>
  <w:style w:type="paragraph" w:customStyle="1" w:styleId="1359">
    <w:name w:val="【表中文字】"/>
    <w:basedOn w:val="1"/>
    <w:link w:val="1358"/>
    <w:qFormat/>
    <w:uiPriority w:val="0"/>
    <w:pPr>
      <w:spacing w:line="240" w:lineRule="auto"/>
      <w:ind w:firstLine="0" w:firstLineChars="0"/>
      <w:jc w:val="center"/>
    </w:pPr>
    <w:rPr>
      <w:rFonts w:asciiTheme="minorHAnsi" w:hAnsiTheme="minorHAnsi" w:eastAsiaTheme="minorEastAsia"/>
      <w:sz w:val="21"/>
    </w:rPr>
  </w:style>
  <w:style w:type="paragraph" w:customStyle="1" w:styleId="1360">
    <w:name w:val="样式 首行缩进:  2 字符 行距: 1.5 倍行距"/>
    <w:basedOn w:val="1"/>
    <w:qFormat/>
    <w:uiPriority w:val="0"/>
    <w:pPr>
      <w:spacing w:line="440" w:lineRule="exact"/>
    </w:pPr>
    <w:rPr>
      <w:rFonts w:cs="宋体"/>
      <w:szCs w:val="20"/>
    </w:rPr>
  </w:style>
  <w:style w:type="character" w:customStyle="1" w:styleId="1361">
    <w:name w:val="标题6 Char"/>
    <w:link w:val="1362"/>
    <w:qFormat/>
    <w:locked/>
    <w:uiPriority w:val="0"/>
    <w:rPr>
      <w:sz w:val="28"/>
      <w:szCs w:val="21"/>
    </w:rPr>
  </w:style>
  <w:style w:type="paragraph" w:customStyle="1" w:styleId="1362">
    <w:name w:val="标题6"/>
    <w:basedOn w:val="1"/>
    <w:next w:val="86"/>
    <w:link w:val="1361"/>
    <w:qFormat/>
    <w:uiPriority w:val="0"/>
    <w:pPr>
      <w:keepNext/>
      <w:ind w:firstLine="567" w:firstLineChars="0"/>
      <w:jc w:val="left"/>
      <w:outlineLvl w:val="5"/>
    </w:pPr>
    <w:rPr>
      <w:rFonts w:asciiTheme="minorHAnsi" w:hAnsiTheme="minorHAnsi" w:eastAsiaTheme="minorEastAsia"/>
      <w:sz w:val="28"/>
    </w:rPr>
  </w:style>
  <w:style w:type="paragraph" w:customStyle="1" w:styleId="1363">
    <w:name w:val="Char Char Char Char Char Char2"/>
    <w:basedOn w:val="1"/>
    <w:qFormat/>
    <w:uiPriority w:val="0"/>
    <w:pPr>
      <w:spacing w:line="240" w:lineRule="auto"/>
      <w:ind w:firstLine="0" w:firstLineChars="0"/>
    </w:pPr>
    <w:rPr>
      <w:rFonts w:cs="Times New Roman"/>
      <w:sz w:val="21"/>
      <w:szCs w:val="24"/>
    </w:rPr>
  </w:style>
  <w:style w:type="character" w:customStyle="1" w:styleId="1364">
    <w:name w:val="热电厂正文 Char Char Char"/>
    <w:link w:val="1365"/>
    <w:qFormat/>
    <w:locked/>
    <w:uiPriority w:val="0"/>
    <w:rPr>
      <w:sz w:val="24"/>
      <w:szCs w:val="24"/>
    </w:rPr>
  </w:style>
  <w:style w:type="paragraph" w:customStyle="1" w:styleId="1365">
    <w:name w:val="热电厂正文 Char Char"/>
    <w:basedOn w:val="1"/>
    <w:link w:val="1364"/>
    <w:qFormat/>
    <w:uiPriority w:val="0"/>
    <w:pPr>
      <w:spacing w:line="440" w:lineRule="exact"/>
      <w:ind w:firstLine="480"/>
    </w:pPr>
    <w:rPr>
      <w:rFonts w:asciiTheme="minorHAnsi" w:hAnsiTheme="minorHAnsi" w:eastAsiaTheme="minorEastAsia"/>
      <w:szCs w:val="24"/>
    </w:rPr>
  </w:style>
  <w:style w:type="paragraph" w:customStyle="1" w:styleId="1366">
    <w:name w:val="条(四级)"/>
    <w:basedOn w:val="1"/>
    <w:next w:val="1"/>
    <w:qFormat/>
    <w:uiPriority w:val="0"/>
    <w:pPr>
      <w:keepNext/>
      <w:keepLines/>
      <w:widowControl/>
      <w:autoSpaceDE w:val="0"/>
      <w:autoSpaceDN w:val="0"/>
      <w:adjustRightInd w:val="0"/>
      <w:spacing w:line="460" w:lineRule="exact"/>
      <w:ind w:firstLine="0" w:firstLineChars="0"/>
      <w:jc w:val="left"/>
    </w:pPr>
    <w:rPr>
      <w:rFonts w:ascii="宋体" w:hAnsi="Arial" w:cs="Times New Roman"/>
      <w:spacing w:val="3"/>
      <w:kern w:val="24"/>
      <w:sz w:val="26"/>
      <w:szCs w:val="20"/>
    </w:rPr>
  </w:style>
  <w:style w:type="character" w:customStyle="1" w:styleId="1367">
    <w:name w:val="z-窗体底端 Char"/>
    <w:link w:val="1368"/>
    <w:qFormat/>
    <w:locked/>
    <w:uiPriority w:val="0"/>
    <w:rPr>
      <w:rFonts w:ascii="Arial" w:hAnsi="Arial" w:cs="Arial"/>
      <w:vanish/>
      <w:sz w:val="16"/>
      <w:szCs w:val="16"/>
    </w:rPr>
  </w:style>
  <w:style w:type="paragraph" w:customStyle="1" w:styleId="1368">
    <w:name w:val="z-窗体底端1"/>
    <w:basedOn w:val="1"/>
    <w:next w:val="1"/>
    <w:link w:val="1367"/>
    <w:qFormat/>
    <w:uiPriority w:val="0"/>
    <w:pPr>
      <w:widowControl/>
      <w:pBdr>
        <w:top w:val="single" w:color="auto" w:sz="6" w:space="1"/>
      </w:pBdr>
      <w:spacing w:line="240" w:lineRule="auto"/>
      <w:ind w:firstLine="0" w:firstLineChars="0"/>
      <w:jc w:val="center"/>
    </w:pPr>
    <w:rPr>
      <w:rFonts w:ascii="Arial" w:hAnsi="Arial" w:cs="Arial" w:eastAsiaTheme="minorEastAsia"/>
      <w:vanish/>
      <w:sz w:val="16"/>
      <w:szCs w:val="16"/>
    </w:rPr>
  </w:style>
  <w:style w:type="character" w:customStyle="1" w:styleId="1369">
    <w:name w:val="陈表格中内容 Char"/>
    <w:link w:val="1370"/>
    <w:qFormat/>
    <w:locked/>
    <w:uiPriority w:val="0"/>
    <w:rPr>
      <w:rFonts w:ascii="仿宋_GB2312" w:eastAsia="仿宋_GB2312"/>
      <w:szCs w:val="21"/>
    </w:rPr>
  </w:style>
  <w:style w:type="paragraph" w:customStyle="1" w:styleId="1370">
    <w:name w:val="陈表格中内容"/>
    <w:basedOn w:val="1"/>
    <w:next w:val="1"/>
    <w:link w:val="1369"/>
    <w:qFormat/>
    <w:uiPriority w:val="0"/>
    <w:pPr>
      <w:spacing w:line="240" w:lineRule="auto"/>
      <w:ind w:left="-139" w:leftChars="-66" w:firstLine="105" w:firstLineChars="50"/>
    </w:pPr>
    <w:rPr>
      <w:rFonts w:ascii="仿宋_GB2312" w:eastAsia="仿宋_GB2312" w:hAnsiTheme="minorHAnsi"/>
      <w:sz w:val="21"/>
    </w:rPr>
  </w:style>
  <w:style w:type="paragraph" w:customStyle="1" w:styleId="1371">
    <w:name w:val="样式 标题 2 + Times New Roman 段前: 0.5 行 段后: 0.5 行"/>
    <w:basedOn w:val="4"/>
    <w:qFormat/>
    <w:uiPriority w:val="0"/>
    <w:pPr>
      <w:tabs>
        <w:tab w:val="left" w:pos="4500"/>
      </w:tabs>
      <w:adjustRightInd w:val="0"/>
      <w:snapToGrid w:val="0"/>
      <w:spacing w:before="93" w:after="93" w:line="460" w:lineRule="exact"/>
    </w:pPr>
    <w:rPr>
      <w:rFonts w:eastAsia="宋体"/>
      <w:bCs w:val="0"/>
      <w:kern w:val="0"/>
      <w:sz w:val="28"/>
      <w:szCs w:val="20"/>
    </w:rPr>
  </w:style>
  <w:style w:type="character" w:customStyle="1" w:styleId="1372">
    <w:name w:val="正文-自建 Char"/>
    <w:link w:val="1373"/>
    <w:qFormat/>
    <w:locked/>
    <w:uiPriority w:val="0"/>
    <w:rPr>
      <w:sz w:val="28"/>
      <w:szCs w:val="28"/>
    </w:rPr>
  </w:style>
  <w:style w:type="paragraph" w:customStyle="1" w:styleId="1373">
    <w:name w:val="正文-自建"/>
    <w:basedOn w:val="21"/>
    <w:link w:val="1372"/>
    <w:qFormat/>
    <w:uiPriority w:val="0"/>
    <w:pPr>
      <w:spacing w:line="600" w:lineRule="exact"/>
      <w:ind w:firstLine="200"/>
    </w:pPr>
    <w:rPr>
      <w:rFonts w:asciiTheme="minorHAnsi" w:hAnsiTheme="minorHAnsi" w:eastAsiaTheme="minorEastAsia" w:cstheme="minorBidi"/>
      <w:sz w:val="28"/>
      <w:szCs w:val="28"/>
    </w:rPr>
  </w:style>
  <w:style w:type="paragraph" w:customStyle="1" w:styleId="1374">
    <w:name w:val="Char Char Char Char Char Char1 Char2"/>
    <w:basedOn w:val="1"/>
    <w:qFormat/>
    <w:uiPriority w:val="0"/>
    <w:pPr>
      <w:spacing w:line="240" w:lineRule="auto"/>
      <w:ind w:firstLine="0" w:firstLineChars="0"/>
    </w:pPr>
    <w:rPr>
      <w:rFonts w:cs="Times New Roman"/>
      <w:sz w:val="21"/>
      <w:szCs w:val="24"/>
    </w:rPr>
  </w:style>
  <w:style w:type="character" w:customStyle="1" w:styleId="1375">
    <w:name w:val="众联表头 Char"/>
    <w:link w:val="1376"/>
    <w:qFormat/>
    <w:locked/>
    <w:uiPriority w:val="0"/>
    <w:rPr>
      <w:rFonts w:ascii="宋体" w:hAnsi="宋体" w:eastAsia="宋体"/>
      <w:spacing w:val="5"/>
      <w:sz w:val="25"/>
      <w:szCs w:val="25"/>
    </w:rPr>
  </w:style>
  <w:style w:type="paragraph" w:customStyle="1" w:styleId="1376">
    <w:name w:val="众联表头"/>
    <w:basedOn w:val="1"/>
    <w:link w:val="1375"/>
    <w:qFormat/>
    <w:uiPriority w:val="0"/>
    <w:pPr>
      <w:spacing w:line="460" w:lineRule="exact"/>
      <w:ind w:firstLine="520"/>
    </w:pPr>
    <w:rPr>
      <w:rFonts w:ascii="宋体" w:hAnsi="宋体"/>
      <w:spacing w:val="5"/>
      <w:sz w:val="25"/>
      <w:szCs w:val="25"/>
    </w:rPr>
  </w:style>
  <w:style w:type="character" w:customStyle="1" w:styleId="1377">
    <w:name w:val="核查报告正文 Char Char"/>
    <w:link w:val="1378"/>
    <w:qFormat/>
    <w:locked/>
    <w:uiPriority w:val="0"/>
    <w:rPr>
      <w:rFonts w:ascii="Arial" w:hAnsi="Arial" w:eastAsia="楷体_GB2312" w:cs="Arial"/>
      <w:sz w:val="24"/>
      <w:szCs w:val="52"/>
    </w:rPr>
  </w:style>
  <w:style w:type="paragraph" w:customStyle="1" w:styleId="1378">
    <w:name w:val="核查报告正文 Char"/>
    <w:link w:val="1377"/>
    <w:qFormat/>
    <w:uiPriority w:val="0"/>
    <w:pPr>
      <w:spacing w:line="440" w:lineRule="exact"/>
      <w:ind w:firstLine="200" w:firstLineChars="200"/>
    </w:pPr>
    <w:rPr>
      <w:rFonts w:ascii="Arial" w:hAnsi="Arial" w:eastAsia="楷体_GB2312" w:cs="Arial"/>
      <w:kern w:val="2"/>
      <w:sz w:val="24"/>
      <w:szCs w:val="52"/>
      <w:lang w:val="en-US" w:eastAsia="zh-CN" w:bidi="ar-SA"/>
    </w:rPr>
  </w:style>
  <w:style w:type="character" w:customStyle="1" w:styleId="1379">
    <w:name w:val="正文首行缩进 Char2 Char"/>
    <w:link w:val="1380"/>
    <w:qFormat/>
    <w:locked/>
    <w:uiPriority w:val="0"/>
    <w:rPr>
      <w:sz w:val="24"/>
    </w:rPr>
  </w:style>
  <w:style w:type="paragraph" w:customStyle="1" w:styleId="1380">
    <w:name w:val="正文首行缩进1"/>
    <w:basedOn w:val="34"/>
    <w:link w:val="1379"/>
    <w:qFormat/>
    <w:uiPriority w:val="0"/>
    <w:pPr>
      <w:spacing w:line="240" w:lineRule="auto"/>
      <w:ind w:firstLine="420" w:firstLineChars="100"/>
    </w:pPr>
    <w:rPr>
      <w:rFonts w:asciiTheme="minorHAnsi" w:hAnsiTheme="minorHAnsi" w:eastAsiaTheme="minorEastAsia"/>
    </w:rPr>
  </w:style>
  <w:style w:type="character" w:customStyle="1" w:styleId="1381">
    <w:name w:val="2级标题 Char"/>
    <w:link w:val="1382"/>
    <w:qFormat/>
    <w:locked/>
    <w:uiPriority w:val="0"/>
    <w:rPr>
      <w:rFonts w:ascii="黑体" w:hAnsi="宋体" w:eastAsia="黑体"/>
      <w:bCs/>
      <w:spacing w:val="5"/>
      <w:sz w:val="28"/>
      <w:szCs w:val="25"/>
    </w:rPr>
  </w:style>
  <w:style w:type="paragraph" w:customStyle="1" w:styleId="1382">
    <w:name w:val="2级标题"/>
    <w:basedOn w:val="1"/>
    <w:link w:val="1381"/>
    <w:qFormat/>
    <w:uiPriority w:val="0"/>
    <w:pPr>
      <w:keepNext/>
      <w:keepLines/>
      <w:snapToGrid w:val="0"/>
      <w:ind w:firstLine="0" w:firstLineChars="0"/>
      <w:outlineLvl w:val="1"/>
    </w:pPr>
    <w:rPr>
      <w:rFonts w:ascii="黑体" w:hAnsi="宋体" w:eastAsia="黑体"/>
      <w:bCs/>
      <w:spacing w:val="5"/>
      <w:sz w:val="28"/>
      <w:szCs w:val="25"/>
    </w:rPr>
  </w:style>
  <w:style w:type="character" w:customStyle="1" w:styleId="1383">
    <w:name w:val="保定正文 Char"/>
    <w:link w:val="1384"/>
    <w:qFormat/>
    <w:locked/>
    <w:uiPriority w:val="0"/>
    <w:rPr>
      <w:snapToGrid w:val="0"/>
    </w:rPr>
  </w:style>
  <w:style w:type="paragraph" w:customStyle="1" w:styleId="1384">
    <w:name w:val="保定正文"/>
    <w:basedOn w:val="1"/>
    <w:link w:val="1383"/>
    <w:qFormat/>
    <w:uiPriority w:val="0"/>
    <w:pPr>
      <w:snapToGrid w:val="0"/>
    </w:pPr>
    <w:rPr>
      <w:rFonts w:asciiTheme="minorHAnsi" w:hAnsiTheme="minorHAnsi" w:eastAsiaTheme="minorEastAsia"/>
      <w:snapToGrid w:val="0"/>
      <w:sz w:val="21"/>
    </w:rPr>
  </w:style>
  <w:style w:type="character" w:customStyle="1" w:styleId="1385">
    <w:name w:val="l_text Char Char"/>
    <w:link w:val="1386"/>
    <w:qFormat/>
    <w:locked/>
    <w:uiPriority w:val="0"/>
    <w:rPr>
      <w:sz w:val="28"/>
    </w:rPr>
  </w:style>
  <w:style w:type="paragraph" w:customStyle="1" w:styleId="1386">
    <w:name w:val="l_text"/>
    <w:basedOn w:val="1"/>
    <w:link w:val="1385"/>
    <w:qFormat/>
    <w:uiPriority w:val="0"/>
    <w:pPr>
      <w:widowControl/>
      <w:overflowPunct w:val="0"/>
      <w:autoSpaceDE w:val="0"/>
      <w:autoSpaceDN w:val="0"/>
      <w:adjustRightInd w:val="0"/>
      <w:spacing w:before="60" w:after="60" w:line="480" w:lineRule="exact"/>
      <w:ind w:firstLine="567" w:firstLineChars="0"/>
    </w:pPr>
    <w:rPr>
      <w:rFonts w:asciiTheme="minorHAnsi" w:hAnsiTheme="minorHAnsi" w:eastAsiaTheme="minorEastAsia"/>
      <w:sz w:val="28"/>
    </w:rPr>
  </w:style>
  <w:style w:type="character" w:customStyle="1" w:styleId="1387">
    <w:name w:val="样式 正文缩进正文（首行缩进两字）s4 + Arial Char"/>
    <w:link w:val="1388"/>
    <w:semiHidden/>
    <w:qFormat/>
    <w:locked/>
    <w:uiPriority w:val="0"/>
    <w:rPr>
      <w:sz w:val="24"/>
      <w:szCs w:val="24"/>
    </w:rPr>
  </w:style>
  <w:style w:type="paragraph" w:customStyle="1" w:styleId="1388">
    <w:name w:val="样式 正文缩进正文（首行缩进两字）s4 + Arial"/>
    <w:basedOn w:val="21"/>
    <w:link w:val="1387"/>
    <w:semiHidden/>
    <w:qFormat/>
    <w:uiPriority w:val="0"/>
    <w:pPr>
      <w:spacing w:after="60" w:line="400" w:lineRule="exact"/>
      <w:ind w:firstLine="0" w:firstLineChars="0"/>
    </w:pPr>
    <w:rPr>
      <w:rFonts w:asciiTheme="minorHAnsi" w:hAnsiTheme="minorHAnsi" w:eastAsiaTheme="minorEastAsia" w:cstheme="minorBidi"/>
      <w:sz w:val="24"/>
    </w:rPr>
  </w:style>
  <w:style w:type="character" w:customStyle="1" w:styleId="1389">
    <w:name w:val="样式 正文文本缩进 2正文文字缩进 2 + 四号 蓝色 Char Char"/>
    <w:link w:val="1390"/>
    <w:qFormat/>
    <w:locked/>
    <w:uiPriority w:val="0"/>
    <w:rPr>
      <w:color w:val="0000FF"/>
      <w:sz w:val="24"/>
      <w:szCs w:val="24"/>
    </w:rPr>
  </w:style>
  <w:style w:type="paragraph" w:customStyle="1" w:styleId="1390">
    <w:name w:val="样式 正文文本缩进 2正文文字缩进 2 + 四号 蓝色 Char"/>
    <w:basedOn w:val="51"/>
    <w:link w:val="1389"/>
    <w:qFormat/>
    <w:uiPriority w:val="0"/>
    <w:pPr>
      <w:adjustRightInd w:val="0"/>
      <w:spacing w:after="0" w:line="480" w:lineRule="exact"/>
      <w:ind w:left="0" w:leftChars="0" w:firstLine="709" w:firstLineChars="0"/>
    </w:pPr>
    <w:rPr>
      <w:rFonts w:asciiTheme="minorHAnsi" w:hAnsiTheme="minorHAnsi" w:eastAsiaTheme="minorEastAsia"/>
      <w:color w:val="0000FF"/>
      <w:szCs w:val="24"/>
    </w:rPr>
  </w:style>
  <w:style w:type="character" w:customStyle="1" w:styleId="1391">
    <w:name w:val="标准 Char Char"/>
    <w:link w:val="1392"/>
    <w:qFormat/>
    <w:locked/>
    <w:uiPriority w:val="0"/>
    <w:rPr>
      <w:sz w:val="28"/>
    </w:rPr>
  </w:style>
  <w:style w:type="paragraph" w:customStyle="1" w:styleId="1392">
    <w:name w:val="标准 Char"/>
    <w:basedOn w:val="1"/>
    <w:link w:val="1391"/>
    <w:qFormat/>
    <w:uiPriority w:val="0"/>
    <w:pPr>
      <w:adjustRightInd w:val="0"/>
      <w:spacing w:line="480" w:lineRule="exact"/>
      <w:ind w:firstLine="0" w:firstLineChars="0"/>
    </w:pPr>
    <w:rPr>
      <w:rFonts w:asciiTheme="minorHAnsi" w:hAnsiTheme="minorHAnsi" w:eastAsiaTheme="minorEastAsia"/>
      <w:sz w:val="28"/>
    </w:rPr>
  </w:style>
  <w:style w:type="character" w:customStyle="1" w:styleId="1393">
    <w:name w:val="样式 小四 Char Char"/>
    <w:link w:val="1394"/>
    <w:qFormat/>
    <w:locked/>
    <w:uiPriority w:val="0"/>
    <w:rPr>
      <w:b/>
      <w:color w:val="000000"/>
      <w:szCs w:val="21"/>
    </w:rPr>
  </w:style>
  <w:style w:type="paragraph" w:customStyle="1" w:styleId="1394">
    <w:name w:val="样式 小四 Char"/>
    <w:basedOn w:val="1"/>
    <w:link w:val="1393"/>
    <w:qFormat/>
    <w:uiPriority w:val="0"/>
    <w:pPr>
      <w:adjustRightInd w:val="0"/>
      <w:spacing w:line="400" w:lineRule="atLeast"/>
      <w:ind w:firstLine="510" w:firstLineChars="0"/>
    </w:pPr>
    <w:rPr>
      <w:rFonts w:asciiTheme="minorHAnsi" w:hAnsiTheme="minorHAnsi" w:eastAsiaTheme="minorEastAsia"/>
      <w:b/>
      <w:color w:val="000000"/>
      <w:sz w:val="21"/>
    </w:rPr>
  </w:style>
  <w:style w:type="character" w:customStyle="1" w:styleId="1395">
    <w:name w:val="样式 题注 + (西文) Times New Roman (中文) 宋体 小四 加粗 黑色 Char Char"/>
    <w:link w:val="1396"/>
    <w:qFormat/>
    <w:locked/>
    <w:uiPriority w:val="0"/>
    <w:rPr>
      <w:rFonts w:ascii="Arial" w:hAnsi="Arial" w:cs="Arial"/>
      <w:b/>
      <w:bCs/>
      <w:color w:val="000000"/>
      <w:sz w:val="24"/>
      <w:szCs w:val="24"/>
    </w:rPr>
  </w:style>
  <w:style w:type="paragraph" w:customStyle="1" w:styleId="1396">
    <w:name w:val="样式 题注 + (西文) Times New Roman (中文) 宋体 小四 加粗 黑色 Char"/>
    <w:basedOn w:val="22"/>
    <w:link w:val="1395"/>
    <w:qFormat/>
    <w:uiPriority w:val="0"/>
    <w:pPr>
      <w:adjustRightInd w:val="0"/>
      <w:spacing w:beforeLines="100" w:line="360" w:lineRule="auto"/>
    </w:pPr>
    <w:rPr>
      <w:rFonts w:ascii="Arial" w:eastAsiaTheme="minorEastAsia"/>
      <w:b/>
      <w:bCs/>
      <w:color w:val="000000"/>
      <w:sz w:val="24"/>
      <w:szCs w:val="24"/>
    </w:rPr>
  </w:style>
  <w:style w:type="character" w:customStyle="1" w:styleId="1397">
    <w:name w:val="正文qrz Char Char Char"/>
    <w:link w:val="1398"/>
    <w:qFormat/>
    <w:locked/>
    <w:uiPriority w:val="0"/>
    <w:rPr>
      <w:rFonts w:ascii="宋体" w:hAnsi="宋体" w:eastAsia="宋体"/>
      <w:color w:val="FF00FF"/>
      <w:sz w:val="24"/>
      <w:szCs w:val="28"/>
    </w:rPr>
  </w:style>
  <w:style w:type="paragraph" w:customStyle="1" w:styleId="1398">
    <w:name w:val="正文qrz Char Char"/>
    <w:basedOn w:val="1"/>
    <w:link w:val="1397"/>
    <w:qFormat/>
    <w:uiPriority w:val="0"/>
    <w:pPr>
      <w:snapToGrid w:val="0"/>
      <w:ind w:firstLine="480"/>
    </w:pPr>
    <w:rPr>
      <w:rFonts w:ascii="宋体" w:hAnsi="宋体"/>
      <w:color w:val="FF00FF"/>
      <w:szCs w:val="28"/>
    </w:rPr>
  </w:style>
  <w:style w:type="character" w:customStyle="1" w:styleId="1399">
    <w:name w:val="正文qrz Char"/>
    <w:link w:val="1400"/>
    <w:qFormat/>
    <w:locked/>
    <w:uiPriority w:val="0"/>
    <w:rPr>
      <w:color w:val="FF00FF"/>
      <w:sz w:val="24"/>
      <w:szCs w:val="24"/>
    </w:rPr>
  </w:style>
  <w:style w:type="paragraph" w:customStyle="1" w:styleId="1400">
    <w:name w:val="正文qrz"/>
    <w:basedOn w:val="1"/>
    <w:link w:val="1399"/>
    <w:qFormat/>
    <w:uiPriority w:val="0"/>
    <w:pPr>
      <w:snapToGrid w:val="0"/>
      <w:spacing w:line="440" w:lineRule="exact"/>
      <w:ind w:firstLine="480"/>
      <w:jc w:val="left"/>
    </w:pPr>
    <w:rPr>
      <w:rFonts w:asciiTheme="minorHAnsi" w:hAnsiTheme="minorHAnsi" w:eastAsiaTheme="minorEastAsia"/>
      <w:color w:val="FF00FF"/>
      <w:szCs w:val="24"/>
    </w:rPr>
  </w:style>
  <w:style w:type="character" w:customStyle="1" w:styleId="1401">
    <w:name w:val="正文宋体小四 Char"/>
    <w:link w:val="1402"/>
    <w:qFormat/>
    <w:locked/>
    <w:uiPriority w:val="0"/>
    <w:rPr>
      <w:sz w:val="24"/>
      <w:szCs w:val="24"/>
    </w:rPr>
  </w:style>
  <w:style w:type="paragraph" w:customStyle="1" w:styleId="1402">
    <w:name w:val="正文宋体小四"/>
    <w:basedOn w:val="21"/>
    <w:link w:val="1401"/>
    <w:qFormat/>
    <w:uiPriority w:val="0"/>
    <w:pPr>
      <w:adjustRightInd w:val="0"/>
      <w:spacing w:line="480" w:lineRule="exact"/>
      <w:ind w:firstLine="480"/>
    </w:pPr>
    <w:rPr>
      <w:rFonts w:asciiTheme="minorHAnsi" w:hAnsiTheme="minorHAnsi" w:eastAsiaTheme="minorEastAsia" w:cstheme="minorBidi"/>
      <w:sz w:val="24"/>
    </w:rPr>
  </w:style>
  <w:style w:type="character" w:customStyle="1" w:styleId="1403">
    <w:name w:val="样式 正文（首行缩进两字） + 小三 首行缩进:  1 厘米 行距: 固定值 24 磅 Char Char"/>
    <w:link w:val="1404"/>
    <w:qFormat/>
    <w:locked/>
    <w:uiPriority w:val="0"/>
    <w:rPr>
      <w:sz w:val="28"/>
      <w:szCs w:val="30"/>
    </w:rPr>
  </w:style>
  <w:style w:type="paragraph" w:customStyle="1" w:styleId="1404">
    <w:name w:val="样式 正文（首行缩进两字） + 小三 首行缩进:  1 厘米 行距: 固定值 24 磅 Char"/>
    <w:basedOn w:val="21"/>
    <w:link w:val="1403"/>
    <w:qFormat/>
    <w:uiPriority w:val="0"/>
    <w:pPr>
      <w:adjustRightInd w:val="0"/>
      <w:spacing w:line="480" w:lineRule="exact"/>
      <w:ind w:firstLine="567" w:firstLineChars="0"/>
    </w:pPr>
    <w:rPr>
      <w:rFonts w:asciiTheme="minorHAnsi" w:hAnsiTheme="minorHAnsi" w:eastAsiaTheme="minorEastAsia" w:cstheme="minorBidi"/>
      <w:sz w:val="28"/>
      <w:szCs w:val="30"/>
    </w:rPr>
  </w:style>
  <w:style w:type="character" w:customStyle="1" w:styleId="1405">
    <w:name w:val="样式 样式 正文（首行缩进两字） + 小三 首行缩进:  1 厘米 行距: 固定值 24 磅 + 宋体 黑色 Char"/>
    <w:link w:val="1406"/>
    <w:qFormat/>
    <w:locked/>
    <w:uiPriority w:val="0"/>
    <w:rPr>
      <w:color w:val="000000"/>
      <w:sz w:val="28"/>
      <w:szCs w:val="28"/>
    </w:rPr>
  </w:style>
  <w:style w:type="paragraph" w:customStyle="1" w:styleId="1406">
    <w:name w:val="样式 样式 正文（首行缩进两字） + 小三 首行缩进:  1 厘米 行距: 固定值 24 磅 + 宋体 黑色"/>
    <w:basedOn w:val="1404"/>
    <w:link w:val="1405"/>
    <w:qFormat/>
    <w:uiPriority w:val="0"/>
    <w:rPr>
      <w:color w:val="000000"/>
      <w:szCs w:val="28"/>
    </w:rPr>
  </w:style>
  <w:style w:type="character" w:customStyle="1" w:styleId="1407">
    <w:name w:val="样式 首行缩进:  2 字符 行距: 最小值 24 磅 Char Char Char"/>
    <w:link w:val="1408"/>
    <w:semiHidden/>
    <w:qFormat/>
    <w:locked/>
    <w:uiPriority w:val="0"/>
    <w:rPr>
      <w:sz w:val="24"/>
      <w:szCs w:val="24"/>
    </w:rPr>
  </w:style>
  <w:style w:type="paragraph" w:customStyle="1" w:styleId="1408">
    <w:name w:val="样式 首行缩进:  2 字符 行距: 最小值 24 磅 Char Char"/>
    <w:basedOn w:val="1"/>
    <w:link w:val="1407"/>
    <w:semiHidden/>
    <w:qFormat/>
    <w:uiPriority w:val="0"/>
    <w:pPr>
      <w:spacing w:line="480" w:lineRule="atLeast"/>
      <w:ind w:firstLine="560"/>
    </w:pPr>
    <w:rPr>
      <w:rFonts w:asciiTheme="minorHAnsi" w:hAnsiTheme="minorHAnsi" w:eastAsiaTheme="minorEastAsia"/>
      <w:szCs w:val="24"/>
    </w:rPr>
  </w:style>
  <w:style w:type="character" w:customStyle="1" w:styleId="1409">
    <w:name w:val="样式 样式 首行缩进:  2 字符 行距: 最小值 24 磅 + 首行缩进:  2 字符 Char Char Char"/>
    <w:link w:val="1410"/>
    <w:qFormat/>
    <w:locked/>
    <w:uiPriority w:val="0"/>
    <w:rPr>
      <w:sz w:val="24"/>
      <w:szCs w:val="24"/>
    </w:rPr>
  </w:style>
  <w:style w:type="paragraph" w:customStyle="1" w:styleId="1410">
    <w:name w:val="样式 样式 首行缩进:  2 字符 行距: 最小值 24 磅 + 首行缩进:  2 字符 Char Char"/>
    <w:basedOn w:val="1"/>
    <w:link w:val="1409"/>
    <w:qFormat/>
    <w:uiPriority w:val="0"/>
    <w:pPr>
      <w:spacing w:line="480" w:lineRule="atLeast"/>
      <w:ind w:firstLine="480"/>
    </w:pPr>
    <w:rPr>
      <w:rFonts w:asciiTheme="minorHAnsi" w:hAnsiTheme="minorHAnsi" w:eastAsiaTheme="minorEastAsia"/>
      <w:szCs w:val="24"/>
    </w:rPr>
  </w:style>
  <w:style w:type="character" w:customStyle="1" w:styleId="1411">
    <w:name w:val="c正文 Char"/>
    <w:link w:val="1412"/>
    <w:qFormat/>
    <w:locked/>
    <w:uiPriority w:val="0"/>
    <w:rPr>
      <w:rFonts w:ascii="仿宋_GB2312" w:eastAsia="仿宋_GB2312"/>
      <w:sz w:val="28"/>
      <w:szCs w:val="28"/>
    </w:rPr>
  </w:style>
  <w:style w:type="paragraph" w:customStyle="1" w:styleId="1412">
    <w:name w:val="c正文"/>
    <w:basedOn w:val="1"/>
    <w:link w:val="1411"/>
    <w:qFormat/>
    <w:uiPriority w:val="0"/>
    <w:pPr>
      <w:adjustRightInd w:val="0"/>
      <w:snapToGrid w:val="0"/>
    </w:pPr>
    <w:rPr>
      <w:rFonts w:ascii="仿宋_GB2312" w:eastAsia="仿宋_GB2312" w:hAnsiTheme="minorHAnsi"/>
      <w:sz w:val="28"/>
      <w:szCs w:val="28"/>
    </w:rPr>
  </w:style>
  <w:style w:type="character" w:customStyle="1" w:styleId="1413">
    <w:name w:val="样式 标题 2 + (西文) Times New Roman (中文) 宋体 段前: 12 磅 段后: 6 磅 行距: ... Char"/>
    <w:link w:val="1414"/>
    <w:qFormat/>
    <w:locked/>
    <w:uiPriority w:val="0"/>
    <w:rPr>
      <w:rFonts w:ascii="宋体" w:hAnsi="宋体" w:eastAsia="宋体" w:cs="宋体"/>
      <w:b/>
      <w:bCs/>
      <w:sz w:val="32"/>
    </w:rPr>
  </w:style>
  <w:style w:type="paragraph" w:customStyle="1" w:styleId="1414">
    <w:name w:val="样式 标题 2 + (西文) Times New Roman (中文) 宋体 段前: 12 磅 段后: 6 磅 行距: ..."/>
    <w:basedOn w:val="4"/>
    <w:link w:val="1413"/>
    <w:qFormat/>
    <w:uiPriority w:val="0"/>
    <w:pPr>
      <w:tabs>
        <w:tab w:val="left" w:pos="927"/>
        <w:tab w:val="left" w:pos="1134"/>
      </w:tabs>
      <w:spacing w:beforeLines="50" w:afterLines="50" w:line="300" w:lineRule="auto"/>
    </w:pPr>
    <w:rPr>
      <w:rFonts w:ascii="宋体" w:hAnsi="宋体" w:eastAsia="宋体" w:cs="宋体"/>
      <w:szCs w:val="22"/>
    </w:rPr>
  </w:style>
  <w:style w:type="character" w:customStyle="1" w:styleId="1415">
    <w:name w:val="样式 热电厂正文 + 首行缩进:  2 字符 Char Char Char Char"/>
    <w:link w:val="1416"/>
    <w:qFormat/>
    <w:locked/>
    <w:uiPriority w:val="0"/>
    <w:rPr>
      <w:sz w:val="24"/>
      <w:szCs w:val="24"/>
    </w:rPr>
  </w:style>
  <w:style w:type="paragraph" w:customStyle="1" w:styleId="1416">
    <w:name w:val="样式 热电厂正文 + 首行缩进:  2 字符 Char Char Char"/>
    <w:link w:val="1415"/>
    <w:qFormat/>
    <w:uiPriority w:val="0"/>
    <w:pPr>
      <w:ind w:firstLine="480"/>
    </w:pPr>
    <w:rPr>
      <w:rFonts w:asciiTheme="minorHAnsi" w:hAnsiTheme="minorHAnsi" w:eastAsiaTheme="minorEastAsia" w:cstheme="minorBidi"/>
      <w:kern w:val="2"/>
      <w:sz w:val="24"/>
      <w:szCs w:val="24"/>
      <w:lang w:val="en-US" w:eastAsia="zh-CN" w:bidi="ar-SA"/>
    </w:rPr>
  </w:style>
  <w:style w:type="character" w:customStyle="1" w:styleId="1417">
    <w:name w:val="陈正文 Char"/>
    <w:link w:val="1418"/>
    <w:qFormat/>
    <w:locked/>
    <w:uiPriority w:val="0"/>
    <w:rPr>
      <w:b/>
      <w:sz w:val="24"/>
      <w:szCs w:val="24"/>
    </w:rPr>
  </w:style>
  <w:style w:type="paragraph" w:customStyle="1" w:styleId="1418">
    <w:name w:val="陈正文"/>
    <w:basedOn w:val="1"/>
    <w:next w:val="1"/>
    <w:link w:val="1417"/>
    <w:qFormat/>
    <w:uiPriority w:val="0"/>
    <w:pPr>
      <w:ind w:firstLine="0" w:firstLineChars="0"/>
      <w:jc w:val="center"/>
    </w:pPr>
    <w:rPr>
      <w:rFonts w:asciiTheme="minorHAnsi" w:hAnsiTheme="minorHAnsi" w:eastAsiaTheme="minorEastAsia"/>
      <w:b/>
      <w:szCs w:val="24"/>
    </w:rPr>
  </w:style>
  <w:style w:type="character" w:customStyle="1" w:styleId="1419">
    <w:name w:val="样式 正文首行缩进 + 四号 Char"/>
    <w:link w:val="1420"/>
    <w:qFormat/>
    <w:locked/>
    <w:uiPriority w:val="0"/>
    <w:rPr>
      <w:rFonts w:ascii="宋体" w:hAnsi="宋体" w:eastAsia="宋体"/>
      <w:sz w:val="28"/>
      <w:szCs w:val="24"/>
    </w:rPr>
  </w:style>
  <w:style w:type="paragraph" w:customStyle="1" w:styleId="1420">
    <w:name w:val="样式 正文首行缩进 + 四号"/>
    <w:basedOn w:val="86"/>
    <w:link w:val="1419"/>
    <w:qFormat/>
    <w:uiPriority w:val="0"/>
    <w:pPr>
      <w:keepLines/>
      <w:tabs>
        <w:tab w:val="left" w:pos="0"/>
        <w:tab w:val="left" w:pos="1727"/>
        <w:tab w:val="left" w:pos="1884"/>
        <w:tab w:val="left" w:pos="8480"/>
      </w:tabs>
      <w:adjustRightInd w:val="0"/>
      <w:snapToGrid w:val="0"/>
      <w:spacing w:before="100" w:beforeAutospacing="1"/>
      <w:ind w:left="-15" w:leftChars="-7"/>
    </w:pPr>
    <w:rPr>
      <w:rFonts w:ascii="宋体" w:hAnsi="宋体" w:cstheme="minorBidi"/>
      <w:sz w:val="28"/>
    </w:rPr>
  </w:style>
  <w:style w:type="character" w:customStyle="1" w:styleId="1421">
    <w:name w:val="样式44 Char"/>
    <w:link w:val="1422"/>
    <w:qFormat/>
    <w:locked/>
    <w:uiPriority w:val="0"/>
    <w:rPr>
      <w:b/>
      <w:sz w:val="24"/>
      <w:szCs w:val="24"/>
    </w:rPr>
  </w:style>
  <w:style w:type="paragraph" w:customStyle="1" w:styleId="1422">
    <w:name w:val="样式44"/>
    <w:basedOn w:val="1"/>
    <w:link w:val="1421"/>
    <w:qFormat/>
    <w:uiPriority w:val="0"/>
    <w:pPr>
      <w:spacing w:beforeLines="50" w:line="300" w:lineRule="auto"/>
      <w:ind w:firstLine="0" w:firstLineChars="0"/>
      <w:outlineLvl w:val="3"/>
    </w:pPr>
    <w:rPr>
      <w:rFonts w:asciiTheme="minorHAnsi" w:hAnsiTheme="minorHAnsi" w:eastAsiaTheme="minorEastAsia"/>
      <w:b/>
      <w:szCs w:val="24"/>
    </w:rPr>
  </w:style>
  <w:style w:type="paragraph" w:customStyle="1" w:styleId="1423">
    <w:name w:val="表格文字（四）"/>
    <w:basedOn w:val="1"/>
    <w:qFormat/>
    <w:uiPriority w:val="0"/>
    <w:pPr>
      <w:spacing w:before="60" w:after="60" w:line="240" w:lineRule="atLeast"/>
      <w:ind w:firstLine="0" w:firstLineChars="0"/>
      <w:jc w:val="center"/>
    </w:pPr>
    <w:rPr>
      <w:rFonts w:cs="Times New Roman"/>
      <w:sz w:val="28"/>
      <w:szCs w:val="24"/>
    </w:rPr>
  </w:style>
  <w:style w:type="character" w:customStyle="1" w:styleId="1424">
    <w:name w:val="正文正式格式 Char"/>
    <w:link w:val="1425"/>
    <w:qFormat/>
    <w:locked/>
    <w:uiPriority w:val="0"/>
    <w:rPr>
      <w:szCs w:val="24"/>
    </w:rPr>
  </w:style>
  <w:style w:type="paragraph" w:customStyle="1" w:styleId="1425">
    <w:name w:val="正文正式格式"/>
    <w:basedOn w:val="1"/>
    <w:link w:val="1424"/>
    <w:qFormat/>
    <w:uiPriority w:val="0"/>
    <w:pPr>
      <w:jc w:val="left"/>
    </w:pPr>
    <w:rPr>
      <w:rFonts w:asciiTheme="minorHAnsi" w:hAnsiTheme="minorHAnsi" w:eastAsiaTheme="minorEastAsia"/>
      <w:sz w:val="21"/>
      <w:szCs w:val="24"/>
    </w:rPr>
  </w:style>
  <w:style w:type="character" w:customStyle="1" w:styleId="1426">
    <w:name w:val="样式 正文文本缩进 2正文文字缩进 2 + 自动设置 Char Char"/>
    <w:link w:val="1427"/>
    <w:qFormat/>
    <w:locked/>
    <w:uiPriority w:val="0"/>
    <w:rPr>
      <w:rFonts w:ascii="宋体" w:hAnsi="宋体" w:eastAsia="宋体"/>
      <w:sz w:val="24"/>
    </w:rPr>
  </w:style>
  <w:style w:type="paragraph" w:customStyle="1" w:styleId="1427">
    <w:name w:val="样式 正文文本缩进 2正文文字缩进 2 + 自动设置 Char"/>
    <w:basedOn w:val="1"/>
    <w:link w:val="1426"/>
    <w:qFormat/>
    <w:uiPriority w:val="0"/>
    <w:pPr>
      <w:tabs>
        <w:tab w:val="left" w:pos="4500"/>
      </w:tabs>
      <w:snapToGrid w:val="0"/>
      <w:spacing w:line="440" w:lineRule="exact"/>
      <w:ind w:firstLine="420"/>
    </w:pPr>
    <w:rPr>
      <w:rFonts w:ascii="宋体" w:hAnsi="宋体"/>
    </w:rPr>
  </w:style>
  <w:style w:type="character" w:customStyle="1" w:styleId="1428">
    <w:name w:val="表格文字居中 Char"/>
    <w:link w:val="1429"/>
    <w:qFormat/>
    <w:locked/>
    <w:uiPriority w:val="0"/>
    <w:rPr>
      <w:szCs w:val="24"/>
    </w:rPr>
  </w:style>
  <w:style w:type="paragraph" w:customStyle="1" w:styleId="1429">
    <w:name w:val="表格文字居中"/>
    <w:basedOn w:val="1"/>
    <w:link w:val="1428"/>
    <w:qFormat/>
    <w:uiPriority w:val="0"/>
    <w:pPr>
      <w:widowControl/>
      <w:tabs>
        <w:tab w:val="left" w:pos="-1843"/>
        <w:tab w:val="left" w:pos="1458"/>
        <w:tab w:val="left" w:pos="1727"/>
        <w:tab w:val="left" w:pos="1884"/>
      </w:tabs>
      <w:spacing w:line="360" w:lineRule="exact"/>
      <w:ind w:firstLine="0" w:firstLineChars="0"/>
      <w:jc w:val="center"/>
      <w:outlineLvl w:val="0"/>
    </w:pPr>
    <w:rPr>
      <w:rFonts w:asciiTheme="minorHAnsi" w:hAnsiTheme="minorHAnsi" w:eastAsiaTheme="minorEastAsia"/>
      <w:sz w:val="21"/>
      <w:szCs w:val="24"/>
    </w:rPr>
  </w:style>
  <w:style w:type="character" w:customStyle="1" w:styleId="1430">
    <w:name w:val="样式 题注 + 首行缩进:  2 字符2 Char"/>
    <w:link w:val="1431"/>
    <w:qFormat/>
    <w:locked/>
    <w:uiPriority w:val="0"/>
    <w:rPr>
      <w:sz w:val="24"/>
    </w:rPr>
  </w:style>
  <w:style w:type="paragraph" w:customStyle="1" w:styleId="1431">
    <w:name w:val="样式 题注 + 首行缩进:  2 字符2"/>
    <w:basedOn w:val="22"/>
    <w:link w:val="1430"/>
    <w:qFormat/>
    <w:uiPriority w:val="0"/>
    <w:pPr>
      <w:keepNext/>
      <w:adjustRightInd w:val="0"/>
      <w:snapToGrid w:val="0"/>
      <w:ind w:firstLine="480" w:firstLineChars="200"/>
      <w:jc w:val="both"/>
    </w:pPr>
    <w:rPr>
      <w:rFonts w:asciiTheme="minorHAnsi" w:hAnsiTheme="minorHAnsi" w:eastAsiaTheme="minorEastAsia" w:cstheme="minorBidi"/>
      <w:sz w:val="24"/>
    </w:rPr>
  </w:style>
  <w:style w:type="character" w:customStyle="1" w:styleId="1432">
    <w:name w:val="样式 表格备注 Char"/>
    <w:link w:val="1433"/>
    <w:qFormat/>
    <w:locked/>
    <w:uiPriority w:val="0"/>
    <w:rPr>
      <w:rFonts w:ascii="宋体" w:hAnsi="宋体" w:eastAsia="楷体_GB2312"/>
      <w:sz w:val="24"/>
    </w:rPr>
  </w:style>
  <w:style w:type="paragraph" w:customStyle="1" w:styleId="1433">
    <w:name w:val="样式 表格备注"/>
    <w:basedOn w:val="1"/>
    <w:link w:val="1432"/>
    <w:qFormat/>
    <w:uiPriority w:val="0"/>
    <w:pPr>
      <w:keepNext/>
      <w:tabs>
        <w:tab w:val="left" w:pos="628"/>
        <w:tab w:val="left" w:pos="1727"/>
        <w:tab w:val="left" w:pos="1884"/>
        <w:tab w:val="left" w:pos="4325"/>
        <w:tab w:val="left" w:pos="4900"/>
      </w:tabs>
      <w:adjustRightInd w:val="0"/>
      <w:snapToGrid w:val="0"/>
      <w:ind w:firstLine="480"/>
      <w:jc w:val="left"/>
    </w:pPr>
    <w:rPr>
      <w:rFonts w:ascii="宋体" w:hAnsi="宋体" w:eastAsia="楷体_GB2312"/>
    </w:rPr>
  </w:style>
  <w:style w:type="character" w:customStyle="1" w:styleId="1434">
    <w:name w:val="z-窗体顶端 Char"/>
    <w:link w:val="1435"/>
    <w:qFormat/>
    <w:locked/>
    <w:uiPriority w:val="0"/>
    <w:rPr>
      <w:rFonts w:ascii="Arial" w:hAnsi="Arial" w:cs="Arial"/>
      <w:vanish/>
      <w:sz w:val="16"/>
      <w:szCs w:val="16"/>
    </w:rPr>
  </w:style>
  <w:style w:type="paragraph" w:customStyle="1" w:styleId="1435">
    <w:name w:val="z-窗体顶端1"/>
    <w:basedOn w:val="1"/>
    <w:next w:val="1"/>
    <w:link w:val="1434"/>
    <w:qFormat/>
    <w:uiPriority w:val="0"/>
    <w:pPr>
      <w:widowControl/>
      <w:pBdr>
        <w:bottom w:val="single" w:color="auto" w:sz="6" w:space="1"/>
      </w:pBdr>
      <w:spacing w:line="240" w:lineRule="auto"/>
      <w:ind w:firstLine="0" w:firstLineChars="0"/>
      <w:jc w:val="center"/>
    </w:pPr>
    <w:rPr>
      <w:rFonts w:ascii="Arial" w:hAnsi="Arial" w:cs="Arial" w:eastAsiaTheme="minorEastAsia"/>
      <w:vanish/>
      <w:sz w:val="16"/>
      <w:szCs w:val="16"/>
    </w:rPr>
  </w:style>
  <w:style w:type="character" w:customStyle="1" w:styleId="1436">
    <w:name w:val="样式 正文文本缩进 2正文文字缩进 2 + 四号 蓝色 Char Char Char Char Char Char Char Char"/>
    <w:link w:val="1437"/>
    <w:qFormat/>
    <w:locked/>
    <w:uiPriority w:val="0"/>
    <w:rPr>
      <w:color w:val="0000FF"/>
      <w:sz w:val="24"/>
      <w:szCs w:val="24"/>
    </w:rPr>
  </w:style>
  <w:style w:type="paragraph" w:customStyle="1" w:styleId="1437">
    <w:name w:val="样式 正文文本缩进 2正文文字缩进 2 + 四号 蓝色 Char Char Char Char Char Char Char"/>
    <w:basedOn w:val="51"/>
    <w:link w:val="1436"/>
    <w:qFormat/>
    <w:uiPriority w:val="0"/>
    <w:pPr>
      <w:adjustRightInd w:val="0"/>
      <w:spacing w:after="0" w:line="480" w:lineRule="exact"/>
      <w:ind w:left="0" w:leftChars="0" w:firstLine="709" w:firstLineChars="0"/>
    </w:pPr>
    <w:rPr>
      <w:rFonts w:asciiTheme="minorHAnsi" w:hAnsiTheme="minorHAnsi" w:eastAsiaTheme="minorEastAsia"/>
      <w:color w:val="0000FF"/>
      <w:szCs w:val="24"/>
    </w:rPr>
  </w:style>
  <w:style w:type="character" w:customStyle="1" w:styleId="1438">
    <w:name w:val="0-4 Char"/>
    <w:link w:val="1439"/>
    <w:qFormat/>
    <w:locked/>
    <w:uiPriority w:val="0"/>
    <w:rPr>
      <w:sz w:val="24"/>
      <w:szCs w:val="24"/>
    </w:rPr>
  </w:style>
  <w:style w:type="paragraph" w:customStyle="1" w:styleId="1439">
    <w:name w:val="0-4"/>
    <w:basedOn w:val="1"/>
    <w:link w:val="1438"/>
    <w:qFormat/>
    <w:uiPriority w:val="0"/>
    <w:pPr>
      <w:spacing w:line="440" w:lineRule="exact"/>
      <w:ind w:firstLine="480"/>
    </w:pPr>
    <w:rPr>
      <w:rFonts w:asciiTheme="minorHAnsi" w:hAnsiTheme="minorHAnsi" w:eastAsiaTheme="minorEastAsia"/>
      <w:szCs w:val="24"/>
    </w:rPr>
  </w:style>
  <w:style w:type="character" w:customStyle="1" w:styleId="1440">
    <w:name w:val="正文部分 Char Char"/>
    <w:link w:val="1441"/>
    <w:semiHidden/>
    <w:qFormat/>
    <w:locked/>
    <w:uiPriority w:val="0"/>
    <w:rPr>
      <w:rFonts w:ascii="Arial" w:hAnsi="Arial" w:cs="Arial"/>
      <w:sz w:val="24"/>
      <w:szCs w:val="24"/>
    </w:rPr>
  </w:style>
  <w:style w:type="paragraph" w:customStyle="1" w:styleId="1441">
    <w:name w:val="正文部分"/>
    <w:basedOn w:val="1"/>
    <w:link w:val="1440"/>
    <w:semiHidden/>
    <w:qFormat/>
    <w:uiPriority w:val="0"/>
    <w:pPr>
      <w:ind w:firstLine="480"/>
    </w:pPr>
    <w:rPr>
      <w:rFonts w:ascii="Arial" w:hAnsi="Arial" w:cs="Arial" w:eastAsiaTheme="minorEastAsia"/>
      <w:szCs w:val="24"/>
    </w:rPr>
  </w:style>
  <w:style w:type="character" w:customStyle="1" w:styleId="1442">
    <w:name w:val="yyp Char"/>
    <w:link w:val="1443"/>
    <w:qFormat/>
    <w:locked/>
    <w:uiPriority w:val="0"/>
    <w:rPr>
      <w:sz w:val="24"/>
      <w:szCs w:val="24"/>
    </w:rPr>
  </w:style>
  <w:style w:type="paragraph" w:customStyle="1" w:styleId="1443">
    <w:name w:val="yyp"/>
    <w:basedOn w:val="86"/>
    <w:link w:val="1442"/>
    <w:qFormat/>
    <w:uiPriority w:val="0"/>
    <w:pPr>
      <w:spacing w:line="360" w:lineRule="auto"/>
      <w:ind w:firstLine="480" w:firstLineChars="200"/>
    </w:pPr>
    <w:rPr>
      <w:rFonts w:asciiTheme="minorHAnsi" w:hAnsiTheme="minorHAnsi" w:eastAsiaTheme="minorEastAsia" w:cstheme="minorBidi"/>
      <w:sz w:val="24"/>
    </w:rPr>
  </w:style>
  <w:style w:type="character" w:customStyle="1" w:styleId="1444">
    <w:name w:val="武正文 Char"/>
    <w:link w:val="1445"/>
    <w:qFormat/>
    <w:locked/>
    <w:uiPriority w:val="0"/>
    <w:rPr>
      <w:color w:val="000000"/>
      <w:sz w:val="24"/>
      <w:szCs w:val="24"/>
    </w:rPr>
  </w:style>
  <w:style w:type="paragraph" w:customStyle="1" w:styleId="1445">
    <w:name w:val="武正文"/>
    <w:basedOn w:val="1"/>
    <w:link w:val="1444"/>
    <w:qFormat/>
    <w:uiPriority w:val="0"/>
    <w:pPr>
      <w:spacing w:line="460" w:lineRule="exact"/>
    </w:pPr>
    <w:rPr>
      <w:rFonts w:asciiTheme="minorHAnsi" w:hAnsiTheme="minorHAnsi" w:eastAsiaTheme="minorEastAsia"/>
      <w:color w:val="000000"/>
      <w:szCs w:val="24"/>
    </w:rPr>
  </w:style>
  <w:style w:type="character" w:customStyle="1" w:styleId="1446">
    <w:name w:val="【正文】 Char"/>
    <w:link w:val="1447"/>
    <w:qFormat/>
    <w:locked/>
    <w:uiPriority w:val="0"/>
    <w:rPr>
      <w:sz w:val="24"/>
    </w:rPr>
  </w:style>
  <w:style w:type="paragraph" w:customStyle="1" w:styleId="1447">
    <w:name w:val="【正文】"/>
    <w:basedOn w:val="1"/>
    <w:link w:val="1446"/>
    <w:qFormat/>
    <w:uiPriority w:val="0"/>
    <w:pPr>
      <w:spacing w:line="440" w:lineRule="exact"/>
      <w:ind w:firstLine="544"/>
    </w:pPr>
    <w:rPr>
      <w:rFonts w:asciiTheme="minorHAnsi" w:hAnsiTheme="minorHAnsi" w:eastAsiaTheme="minorEastAsia"/>
    </w:rPr>
  </w:style>
  <w:style w:type="character" w:customStyle="1" w:styleId="1448">
    <w:name w:val="1正文段落 Char"/>
    <w:link w:val="1449"/>
    <w:qFormat/>
    <w:locked/>
    <w:uiPriority w:val="0"/>
    <w:rPr>
      <w:snapToGrid w:val="0"/>
      <w:sz w:val="24"/>
      <w:szCs w:val="24"/>
    </w:rPr>
  </w:style>
  <w:style w:type="paragraph" w:customStyle="1" w:styleId="1449">
    <w:name w:val="1正文段落"/>
    <w:basedOn w:val="1"/>
    <w:link w:val="1448"/>
    <w:qFormat/>
    <w:uiPriority w:val="0"/>
    <w:pPr>
      <w:snapToGrid w:val="0"/>
      <w:ind w:firstLine="480"/>
    </w:pPr>
    <w:rPr>
      <w:rFonts w:asciiTheme="minorHAnsi" w:hAnsiTheme="minorHAnsi" w:eastAsiaTheme="minorEastAsia"/>
      <w:snapToGrid w:val="0"/>
      <w:szCs w:val="24"/>
    </w:rPr>
  </w:style>
  <w:style w:type="character" w:customStyle="1" w:styleId="1450">
    <w:name w:val="样式 标题 2节H2节标题 1.1 + (西文) Times New Roman (中文) 宋体 段前: 6 磅 段... Char Char"/>
    <w:link w:val="1451"/>
    <w:qFormat/>
    <w:locked/>
    <w:uiPriority w:val="0"/>
    <w:rPr>
      <w:b/>
      <w:bCs/>
      <w:sz w:val="32"/>
    </w:rPr>
  </w:style>
  <w:style w:type="paragraph" w:customStyle="1" w:styleId="1451">
    <w:name w:val="样式 标题 2节H2节标题 1.1 + (西文) Times New Roman (中文) 宋体 段前: 6 磅 段..."/>
    <w:basedOn w:val="4"/>
    <w:next w:val="1"/>
    <w:link w:val="1450"/>
    <w:qFormat/>
    <w:uiPriority w:val="0"/>
    <w:pPr>
      <w:tabs>
        <w:tab w:val="left" w:pos="927"/>
        <w:tab w:val="left" w:pos="1134"/>
      </w:tabs>
      <w:spacing w:before="120" w:after="120" w:line="500" w:lineRule="exact"/>
    </w:pPr>
    <w:rPr>
      <w:rFonts w:asciiTheme="minorHAnsi" w:hAnsiTheme="minorHAnsi" w:eastAsiaTheme="minorEastAsia" w:cstheme="minorBidi"/>
      <w:szCs w:val="22"/>
    </w:rPr>
  </w:style>
  <w:style w:type="character" w:customStyle="1" w:styleId="1452">
    <w:name w:val="样式 行距: 多倍行距 1.3 字行 Char"/>
    <w:link w:val="1453"/>
    <w:qFormat/>
    <w:locked/>
    <w:uiPriority w:val="0"/>
    <w:rPr>
      <w:rFonts w:ascii="仿宋_GB2312" w:eastAsia="仿宋_GB2312"/>
      <w:sz w:val="24"/>
      <w:szCs w:val="24"/>
    </w:rPr>
  </w:style>
  <w:style w:type="paragraph" w:customStyle="1" w:styleId="1453">
    <w:name w:val="样式 行距: 多倍行距 1.3 字行"/>
    <w:basedOn w:val="1"/>
    <w:link w:val="1452"/>
    <w:qFormat/>
    <w:uiPriority w:val="0"/>
    <w:pPr>
      <w:ind w:firstLine="480"/>
    </w:pPr>
    <w:rPr>
      <w:rFonts w:ascii="仿宋_GB2312" w:eastAsia="仿宋_GB2312" w:hAnsiTheme="minorHAnsi"/>
      <w:szCs w:val="24"/>
    </w:rPr>
  </w:style>
  <w:style w:type="character" w:customStyle="1" w:styleId="1454">
    <w:name w:val="表底说明 Char"/>
    <w:link w:val="1455"/>
    <w:qFormat/>
    <w:locked/>
    <w:uiPriority w:val="0"/>
    <w:rPr>
      <w:sz w:val="18"/>
      <w:szCs w:val="24"/>
    </w:rPr>
  </w:style>
  <w:style w:type="paragraph" w:customStyle="1" w:styleId="1455">
    <w:name w:val="表底说明"/>
    <w:basedOn w:val="1"/>
    <w:link w:val="1454"/>
    <w:qFormat/>
    <w:uiPriority w:val="0"/>
    <w:pPr>
      <w:spacing w:line="240" w:lineRule="auto"/>
      <w:ind w:firstLine="0" w:firstLineChars="0"/>
    </w:pPr>
    <w:rPr>
      <w:rFonts w:asciiTheme="minorHAnsi" w:hAnsiTheme="minorHAnsi" w:eastAsiaTheme="minorEastAsia"/>
      <w:sz w:val="18"/>
      <w:szCs w:val="24"/>
    </w:rPr>
  </w:style>
  <w:style w:type="character" w:customStyle="1" w:styleId="1456">
    <w:name w:val="dxj正文 Char"/>
    <w:link w:val="1457"/>
    <w:qFormat/>
    <w:locked/>
    <w:uiPriority w:val="0"/>
    <w:rPr>
      <w:snapToGrid w:val="0"/>
      <w:sz w:val="24"/>
      <w:szCs w:val="24"/>
    </w:rPr>
  </w:style>
  <w:style w:type="paragraph" w:customStyle="1" w:styleId="1457">
    <w:name w:val="dxj正文"/>
    <w:link w:val="1456"/>
    <w:qFormat/>
    <w:uiPriority w:val="0"/>
    <w:pPr>
      <w:snapToGrid w:val="0"/>
      <w:ind w:firstLine="200"/>
    </w:pPr>
    <w:rPr>
      <w:rFonts w:asciiTheme="minorHAnsi" w:hAnsiTheme="minorHAnsi" w:eastAsiaTheme="minorEastAsia" w:cstheme="minorBidi"/>
      <w:snapToGrid w:val="0"/>
      <w:kern w:val="2"/>
      <w:sz w:val="24"/>
      <w:szCs w:val="24"/>
      <w:lang w:val="en-US" w:eastAsia="zh-CN" w:bidi="ar-SA"/>
    </w:rPr>
  </w:style>
  <w:style w:type="character" w:customStyle="1" w:styleId="1458">
    <w:name w:val="正文段落（宋旭峰） Char"/>
    <w:link w:val="1459"/>
    <w:qFormat/>
    <w:locked/>
    <w:uiPriority w:val="0"/>
    <w:rPr>
      <w:rFonts w:ascii="宋体" w:hAnsi="宋体" w:eastAsia="宋体"/>
      <w:snapToGrid w:val="0"/>
      <w:color w:val="000000"/>
      <w:sz w:val="24"/>
      <w:szCs w:val="24"/>
    </w:rPr>
  </w:style>
  <w:style w:type="paragraph" w:customStyle="1" w:styleId="1459">
    <w:name w:val="正文段落（宋旭峰）"/>
    <w:basedOn w:val="1"/>
    <w:link w:val="1458"/>
    <w:qFormat/>
    <w:uiPriority w:val="0"/>
    <w:pPr>
      <w:snapToGrid w:val="0"/>
      <w:ind w:firstLine="480"/>
    </w:pPr>
    <w:rPr>
      <w:rFonts w:ascii="宋体" w:hAnsi="宋体"/>
      <w:snapToGrid w:val="0"/>
      <w:color w:val="000000"/>
      <w:szCs w:val="24"/>
    </w:rPr>
  </w:style>
  <w:style w:type="character" w:customStyle="1" w:styleId="1460">
    <w:name w:val="3级标题 Char"/>
    <w:link w:val="1461"/>
    <w:qFormat/>
    <w:locked/>
    <w:uiPriority w:val="0"/>
    <w:rPr>
      <w:rFonts w:ascii="宋体" w:hAnsi="宋体" w:eastAsia="黑体"/>
      <w:bCs/>
      <w:sz w:val="24"/>
      <w:szCs w:val="25"/>
    </w:rPr>
  </w:style>
  <w:style w:type="paragraph" w:customStyle="1" w:styleId="1461">
    <w:name w:val="3级标题"/>
    <w:basedOn w:val="1"/>
    <w:link w:val="1460"/>
    <w:qFormat/>
    <w:uiPriority w:val="0"/>
    <w:pPr>
      <w:keepNext/>
      <w:keepLines/>
      <w:snapToGrid w:val="0"/>
      <w:ind w:firstLine="0" w:firstLineChars="0"/>
      <w:outlineLvl w:val="2"/>
    </w:pPr>
    <w:rPr>
      <w:rFonts w:ascii="宋体" w:hAnsi="宋体" w:eastAsia="黑体"/>
      <w:bCs/>
      <w:szCs w:val="25"/>
    </w:rPr>
  </w:style>
  <w:style w:type="character" w:customStyle="1" w:styleId="1462">
    <w:name w:val="正文小四首缩1.3行距 Char Char"/>
    <w:link w:val="1463"/>
    <w:qFormat/>
    <w:locked/>
    <w:uiPriority w:val="0"/>
    <w:rPr>
      <w:sz w:val="24"/>
      <w:szCs w:val="24"/>
    </w:rPr>
  </w:style>
  <w:style w:type="paragraph" w:customStyle="1" w:styleId="1463">
    <w:name w:val="正文小四首缩1.3行距"/>
    <w:basedOn w:val="1"/>
    <w:link w:val="1462"/>
    <w:qFormat/>
    <w:uiPriority w:val="0"/>
    <w:pPr>
      <w:spacing w:line="312" w:lineRule="auto"/>
      <w:ind w:firstLine="420"/>
    </w:pPr>
    <w:rPr>
      <w:rFonts w:asciiTheme="minorHAnsi" w:hAnsiTheme="minorHAnsi" w:eastAsiaTheme="minorEastAsia"/>
      <w:szCs w:val="24"/>
    </w:rPr>
  </w:style>
  <w:style w:type="character" w:customStyle="1" w:styleId="1464">
    <w:name w:val="[1]正文 Char Char"/>
    <w:link w:val="1465"/>
    <w:qFormat/>
    <w:locked/>
    <w:uiPriority w:val="0"/>
    <w:rPr>
      <w:rFonts w:ascii="Calibri" w:hAnsi="Calibri" w:cs="Calibri"/>
      <w:sz w:val="24"/>
      <w:szCs w:val="28"/>
    </w:rPr>
  </w:style>
  <w:style w:type="paragraph" w:customStyle="1" w:styleId="1465">
    <w:name w:val="[1]正文"/>
    <w:basedOn w:val="1"/>
    <w:link w:val="1464"/>
    <w:qFormat/>
    <w:uiPriority w:val="0"/>
    <w:pPr>
      <w:widowControl/>
      <w:snapToGrid w:val="0"/>
      <w:jc w:val="left"/>
    </w:pPr>
    <w:rPr>
      <w:rFonts w:ascii="Calibri" w:hAnsi="Calibri" w:cs="Calibri" w:eastAsiaTheme="minorEastAsia"/>
      <w:szCs w:val="28"/>
    </w:rPr>
  </w:style>
  <w:style w:type="paragraph" w:customStyle="1" w:styleId="1466">
    <w:name w:val="Char1 Char Char Char1"/>
    <w:basedOn w:val="1"/>
    <w:qFormat/>
    <w:uiPriority w:val="0"/>
    <w:pPr>
      <w:spacing w:line="240" w:lineRule="auto"/>
      <w:ind w:firstLine="0" w:firstLineChars="0"/>
    </w:pPr>
    <w:rPr>
      <w:rFonts w:cs="Times New Roman"/>
      <w:sz w:val="21"/>
      <w:szCs w:val="24"/>
    </w:rPr>
  </w:style>
  <w:style w:type="paragraph" w:customStyle="1" w:styleId="1467">
    <w:name w:val="p21"/>
    <w:basedOn w:val="1"/>
    <w:qFormat/>
    <w:uiPriority w:val="0"/>
    <w:pPr>
      <w:widowControl/>
      <w:spacing w:beforeLines="10"/>
      <w:ind w:firstLine="420" w:firstLineChars="0"/>
    </w:pPr>
    <w:rPr>
      <w:rFonts w:cs="Times New Roman"/>
      <w:color w:val="000000"/>
      <w:szCs w:val="24"/>
    </w:rPr>
  </w:style>
  <w:style w:type="paragraph" w:customStyle="1" w:styleId="1468">
    <w:name w:val="样式 样式 样式 四号 段前: 7.8 磅 行距: 多倍行距 1.25 字行 首行缩进:  2 字符 + 首行缩进:  2 字符...1"/>
    <w:basedOn w:val="1"/>
    <w:qFormat/>
    <w:uiPriority w:val="0"/>
    <w:pPr>
      <w:snapToGrid w:val="0"/>
      <w:spacing w:beforeLines="50" w:line="300" w:lineRule="auto"/>
    </w:pPr>
    <w:rPr>
      <w:rFonts w:cs="Times New Roman"/>
      <w:sz w:val="28"/>
      <w:szCs w:val="20"/>
    </w:rPr>
  </w:style>
  <w:style w:type="paragraph" w:customStyle="1" w:styleId="1469">
    <w:name w:val="?y??"/>
    <w:qFormat/>
    <w:uiPriority w:val="0"/>
    <w:pPr>
      <w:widowControl w:val="0"/>
      <w:snapToGrid w:val="0"/>
      <w:jc w:val="both"/>
    </w:pPr>
    <w:rPr>
      <w:rFonts w:ascii="宋体" w:hAnsi="Times New Roman" w:eastAsia="宋体" w:cs="Times New Roman"/>
      <w:kern w:val="2"/>
      <w:sz w:val="21"/>
      <w:lang w:val="en-US" w:eastAsia="en-US" w:bidi="ar-SA"/>
    </w:rPr>
  </w:style>
  <w:style w:type="paragraph" w:customStyle="1" w:styleId="1470">
    <w:name w:val="样式 Times New Roman :  2 字符"/>
    <w:basedOn w:val="1"/>
    <w:qFormat/>
    <w:uiPriority w:val="0"/>
    <w:pPr>
      <w:ind w:firstLine="480"/>
    </w:pPr>
    <w:rPr>
      <w:rFonts w:cs="Times New Roman"/>
      <w:szCs w:val="20"/>
    </w:rPr>
  </w:style>
  <w:style w:type="paragraph" w:customStyle="1" w:styleId="1471">
    <w:name w:val="正文（首行缩进） Char"/>
    <w:basedOn w:val="1"/>
    <w:semiHidden/>
    <w:qFormat/>
    <w:uiPriority w:val="0"/>
    <w:pPr>
      <w:widowControl/>
      <w:overflowPunct w:val="0"/>
      <w:topLinePunct/>
      <w:autoSpaceDE w:val="0"/>
      <w:autoSpaceDN w:val="0"/>
      <w:adjustRightInd w:val="0"/>
      <w:snapToGrid w:val="0"/>
      <w:ind w:firstLine="480"/>
    </w:pPr>
    <w:rPr>
      <w:rFonts w:cs="Times New Roman"/>
      <w:kern w:val="0"/>
      <w:szCs w:val="24"/>
    </w:rPr>
  </w:style>
  <w:style w:type="paragraph" w:customStyle="1" w:styleId="1472">
    <w:name w:val="样式 标题 3 + 四号 段前: 6 磅 段后: 6 磅 行距: 多倍行距 1.25 字行"/>
    <w:basedOn w:val="5"/>
    <w:qFormat/>
    <w:uiPriority w:val="0"/>
    <w:pPr>
      <w:tabs>
        <w:tab w:val="left" w:pos="1134"/>
        <w:tab w:val="left" w:pos="1256"/>
      </w:tabs>
      <w:snapToGrid w:val="0"/>
      <w:spacing w:line="300" w:lineRule="auto"/>
    </w:pPr>
    <w:rPr>
      <w:rFonts w:ascii="黑体" w:cs="宋体"/>
      <w:szCs w:val="20"/>
    </w:rPr>
  </w:style>
  <w:style w:type="paragraph" w:customStyle="1" w:styleId="1473">
    <w:name w:val="表格文字居中-报告书"/>
    <w:basedOn w:val="1"/>
    <w:next w:val="1"/>
    <w:qFormat/>
    <w:uiPriority w:val="0"/>
    <w:pPr>
      <w:spacing w:line="240" w:lineRule="auto"/>
      <w:ind w:firstLine="0" w:firstLineChars="0"/>
      <w:jc w:val="center"/>
    </w:pPr>
    <w:rPr>
      <w:rFonts w:cs="Times New Roman"/>
      <w:sz w:val="21"/>
      <w:szCs w:val="18"/>
    </w:rPr>
  </w:style>
  <w:style w:type="paragraph" w:customStyle="1" w:styleId="1474">
    <w:name w:val="invisiblelink"/>
    <w:basedOn w:val="1"/>
    <w:qFormat/>
    <w:uiPriority w:val="0"/>
    <w:pPr>
      <w:widowControl/>
      <w:spacing w:before="100" w:beforeAutospacing="1" w:after="100" w:afterAutospacing="1" w:line="240" w:lineRule="auto"/>
      <w:ind w:firstLine="0" w:firstLineChars="0"/>
      <w:jc w:val="left"/>
    </w:pPr>
    <w:rPr>
      <w:rFonts w:ascii="Arial" w:hAnsi="Arial" w:cs="Arial"/>
      <w:color w:val="FFFFFF"/>
      <w:kern w:val="0"/>
      <w:sz w:val="12"/>
      <w:szCs w:val="12"/>
    </w:rPr>
  </w:style>
  <w:style w:type="paragraph" w:customStyle="1" w:styleId="1475">
    <w:name w:val="表格02"/>
    <w:basedOn w:val="1"/>
    <w:qFormat/>
    <w:uiPriority w:val="0"/>
    <w:pPr>
      <w:snapToGrid w:val="0"/>
      <w:spacing w:line="400" w:lineRule="exact"/>
      <w:ind w:firstLine="0" w:firstLineChars="0"/>
      <w:jc w:val="center"/>
    </w:pPr>
    <w:rPr>
      <w:rFonts w:cs="Times New Roman"/>
      <w:kern w:val="0"/>
      <w:szCs w:val="24"/>
    </w:rPr>
  </w:style>
  <w:style w:type="paragraph" w:customStyle="1" w:styleId="1476">
    <w:name w:val="正文-报告书"/>
    <w:basedOn w:val="1"/>
    <w:qFormat/>
    <w:uiPriority w:val="0"/>
    <w:pPr>
      <w:spacing w:line="460" w:lineRule="exact"/>
      <w:ind w:firstLine="480"/>
    </w:pPr>
    <w:rPr>
      <w:rFonts w:cs="Times New Roman"/>
      <w:szCs w:val="24"/>
    </w:rPr>
  </w:style>
  <w:style w:type="paragraph" w:customStyle="1" w:styleId="1477">
    <w:name w:val="reader-word-layer reader-word-s1-15"/>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478">
    <w:name w:val="subparagraph"/>
    <w:basedOn w:val="1"/>
    <w:qFormat/>
    <w:uiPriority w:val="0"/>
    <w:pPr>
      <w:widowControl/>
      <w:spacing w:before="100" w:beforeAutospacing="1" w:after="100" w:afterAutospacing="1" w:line="240" w:lineRule="auto"/>
      <w:ind w:firstLine="0" w:firstLineChars="0"/>
      <w:jc w:val="left"/>
    </w:pPr>
    <w:rPr>
      <w:rFonts w:ascii="Arial" w:hAnsi="Arial" w:cs="Arial"/>
      <w:kern w:val="0"/>
      <w:sz w:val="14"/>
      <w:szCs w:val="14"/>
    </w:rPr>
  </w:style>
  <w:style w:type="paragraph" w:customStyle="1" w:styleId="1479">
    <w:name w:val="标题4，正式三级标题"/>
    <w:basedOn w:val="6"/>
    <w:qFormat/>
    <w:uiPriority w:val="0"/>
    <w:pPr>
      <w:tabs>
        <w:tab w:val="left" w:pos="1134"/>
        <w:tab w:val="left" w:pos="1630"/>
      </w:tabs>
      <w:autoSpaceDE w:val="0"/>
      <w:autoSpaceDN w:val="0"/>
      <w:adjustRightInd w:val="0"/>
      <w:jc w:val="left"/>
    </w:pPr>
    <w:rPr>
      <w:rFonts w:ascii="Arial" w:hAnsi="Arial" w:eastAsia="宋体" w:cs="Times New Roman"/>
      <w:kern w:val="0"/>
      <w:sz w:val="21"/>
    </w:rPr>
  </w:style>
  <w:style w:type="paragraph" w:customStyle="1" w:styleId="1480">
    <w:name w:val="正文4"/>
    <w:qFormat/>
    <w:uiPriority w:val="0"/>
    <w:pPr>
      <w:widowControl w:val="0"/>
      <w:adjustRightInd w:val="0"/>
      <w:spacing w:line="360" w:lineRule="atLeast"/>
    </w:pPr>
    <w:rPr>
      <w:rFonts w:ascii="Arial" w:hAnsi="Times New Roman" w:eastAsia="宋体" w:cs="Times New Roman"/>
      <w:sz w:val="34"/>
      <w:lang w:val="en-US" w:eastAsia="zh-CN" w:bidi="ar-SA"/>
    </w:rPr>
  </w:style>
  <w:style w:type="paragraph" w:customStyle="1" w:styleId="1481">
    <w:name w:val="副标题2"/>
    <w:basedOn w:val="4"/>
    <w:qFormat/>
    <w:uiPriority w:val="0"/>
    <w:pPr>
      <w:tabs>
        <w:tab w:val="left" w:pos="780"/>
        <w:tab w:val="left" w:pos="1680"/>
      </w:tabs>
      <w:spacing w:before="160" w:after="160"/>
      <w:ind w:left="780" w:leftChars="200" w:hanging="360" w:hangingChars="200"/>
      <w:jc w:val="center"/>
    </w:pPr>
    <w:rPr>
      <w:rFonts w:ascii="Arial" w:hAnsi="Arial" w:cs="宋体"/>
      <w:sz w:val="30"/>
      <w:szCs w:val="20"/>
    </w:rPr>
  </w:style>
  <w:style w:type="paragraph" w:customStyle="1" w:styleId="1482">
    <w:name w:val="样式 标题 2节标题 1.1 + Times New Roman 首行缩进:  0 厘米"/>
    <w:basedOn w:val="4"/>
    <w:qFormat/>
    <w:uiPriority w:val="0"/>
    <w:pPr>
      <w:tabs>
        <w:tab w:val="left" w:pos="927"/>
        <w:tab w:val="left" w:pos="1134"/>
      </w:tabs>
      <w:adjustRightInd w:val="0"/>
      <w:spacing w:before="20" w:after="20" w:line="416" w:lineRule="atLeast"/>
    </w:pPr>
    <w:rPr>
      <w:rFonts w:cs="宋体"/>
      <w:kern w:val="0"/>
      <w:szCs w:val="20"/>
    </w:rPr>
  </w:style>
  <w:style w:type="paragraph" w:customStyle="1" w:styleId="1483">
    <w:name w:val="标准书眉一"/>
    <w:qFormat/>
    <w:uiPriority w:val="0"/>
    <w:pPr>
      <w:jc w:val="both"/>
    </w:pPr>
    <w:rPr>
      <w:rFonts w:ascii="Times New Roman" w:hAnsi="Times New Roman" w:eastAsia="宋体" w:cs="Times New Roman"/>
      <w:lang w:val="en-US" w:eastAsia="zh-CN" w:bidi="ar-SA"/>
    </w:rPr>
  </w:style>
  <w:style w:type="paragraph" w:customStyle="1" w:styleId="1484">
    <w:name w:val="样式22"/>
    <w:basedOn w:val="1"/>
    <w:qFormat/>
    <w:uiPriority w:val="0"/>
    <w:pPr>
      <w:spacing w:beforeLines="50" w:line="300" w:lineRule="auto"/>
      <w:ind w:firstLine="0" w:firstLineChars="0"/>
      <w:outlineLvl w:val="1"/>
    </w:pPr>
    <w:rPr>
      <w:rFonts w:cs="Times New Roman"/>
      <w:b/>
      <w:sz w:val="32"/>
      <w:szCs w:val="32"/>
    </w:rPr>
  </w:style>
  <w:style w:type="paragraph" w:customStyle="1" w:styleId="1485">
    <w:name w:val="X-正文-B"/>
    <w:qFormat/>
    <w:uiPriority w:val="0"/>
    <w:pPr>
      <w:spacing w:line="360" w:lineRule="auto"/>
    </w:pPr>
    <w:rPr>
      <w:rFonts w:ascii="宋体" w:hAnsi="宋体" w:eastAsia="楷体_GB2312" w:cs="Times New Roman"/>
      <w:b/>
      <w:kern w:val="2"/>
      <w:sz w:val="24"/>
      <w:szCs w:val="24"/>
      <w:lang w:val="en-US" w:eastAsia="zh-CN" w:bidi="ar-SA"/>
    </w:rPr>
  </w:style>
  <w:style w:type="paragraph" w:customStyle="1" w:styleId="1486">
    <w:name w:val="table_description"/>
    <w:basedOn w:val="1"/>
    <w:qFormat/>
    <w:uiPriority w:val="0"/>
    <w:pPr>
      <w:widowControl/>
      <w:spacing w:before="100" w:beforeAutospacing="1" w:after="100" w:afterAutospacing="1" w:line="240" w:lineRule="auto"/>
      <w:ind w:firstLine="0" w:firstLineChars="0"/>
      <w:jc w:val="center"/>
    </w:pPr>
    <w:rPr>
      <w:rFonts w:ascii="宋体" w:hAnsi="宋体" w:cs="Times New Roman"/>
      <w:kern w:val="0"/>
      <w:szCs w:val="24"/>
    </w:rPr>
  </w:style>
  <w:style w:type="paragraph" w:customStyle="1" w:styleId="1487">
    <w:name w:val="样式 标题 2节H2节标题 1.11.1标题 21.1标题21SeHead wsa2标题节第一层条Hea..."/>
    <w:basedOn w:val="4"/>
    <w:qFormat/>
    <w:uiPriority w:val="0"/>
    <w:pPr>
      <w:spacing w:before="260" w:after="260"/>
    </w:pPr>
    <w:rPr>
      <w:rFonts w:eastAsia="楷体_GB2312"/>
      <w:b w:val="0"/>
      <w:bCs w:val="0"/>
      <w:sz w:val="36"/>
      <w:szCs w:val="20"/>
    </w:rPr>
  </w:style>
  <w:style w:type="paragraph" w:customStyle="1" w:styleId="1488">
    <w:name w:val="表内小四居中"/>
    <w:qFormat/>
    <w:uiPriority w:val="0"/>
    <w:pPr>
      <w:adjustRightInd w:val="0"/>
      <w:snapToGrid w:val="0"/>
      <w:spacing w:line="360" w:lineRule="auto"/>
      <w:ind w:left="-57" w:right="-57"/>
      <w:jc w:val="center"/>
    </w:pPr>
    <w:rPr>
      <w:rFonts w:ascii="仿宋_GB2312" w:hAnsi="Times New Roman" w:eastAsia="仿宋_GB2312" w:cs="Times New Roman"/>
      <w:sz w:val="28"/>
      <w:lang w:val="en-US" w:eastAsia="zh-CN" w:bidi="ar-SA"/>
    </w:rPr>
  </w:style>
  <w:style w:type="paragraph" w:customStyle="1" w:styleId="1489">
    <w:name w:val="样式 宋体 小四 行距: 1.5 倍行距"/>
    <w:basedOn w:val="1"/>
    <w:qFormat/>
    <w:uiPriority w:val="0"/>
    <w:pPr>
      <w:spacing w:line="500" w:lineRule="exact"/>
      <w:ind w:firstLine="0" w:firstLineChars="0"/>
    </w:pPr>
    <w:rPr>
      <w:rFonts w:ascii="宋体" w:cs="Times New Roman"/>
      <w:szCs w:val="20"/>
    </w:rPr>
  </w:style>
  <w:style w:type="paragraph" w:customStyle="1" w:styleId="1490">
    <w:name w:val="recentupdateslink"/>
    <w:basedOn w:val="1"/>
    <w:qFormat/>
    <w:uiPriority w:val="0"/>
    <w:pPr>
      <w:widowControl/>
      <w:spacing w:before="100" w:beforeAutospacing="1" w:after="100" w:afterAutospacing="1" w:line="240" w:lineRule="auto"/>
      <w:ind w:firstLine="0" w:firstLineChars="0"/>
      <w:jc w:val="left"/>
    </w:pPr>
    <w:rPr>
      <w:rFonts w:ascii="Arial" w:hAnsi="Arial" w:cs="Arial"/>
      <w:b/>
      <w:bCs/>
      <w:kern w:val="0"/>
      <w:sz w:val="14"/>
      <w:szCs w:val="14"/>
    </w:rPr>
  </w:style>
  <w:style w:type="paragraph" w:customStyle="1" w:styleId="1491">
    <w:name w:val="日期3"/>
    <w:basedOn w:val="1"/>
    <w:next w:val="1"/>
    <w:qFormat/>
    <w:uiPriority w:val="0"/>
    <w:pPr>
      <w:autoSpaceDE w:val="0"/>
      <w:autoSpaceDN w:val="0"/>
      <w:adjustRightInd w:val="0"/>
      <w:spacing w:line="240" w:lineRule="auto"/>
      <w:ind w:firstLine="0" w:firstLineChars="0"/>
    </w:pPr>
    <w:rPr>
      <w:rFonts w:ascii="楷体_GB2312" w:eastAsia="楷体_GB2312" w:cs="Times New Roman"/>
      <w:sz w:val="28"/>
      <w:szCs w:val="20"/>
    </w:rPr>
  </w:style>
  <w:style w:type="paragraph" w:customStyle="1" w:styleId="1492">
    <w:name w:val="fix"/>
    <w:basedOn w:val="1"/>
    <w:qFormat/>
    <w:uiPriority w:val="0"/>
    <w:pPr>
      <w:widowControl/>
      <w:spacing w:before="100" w:beforeAutospacing="1" w:after="100" w:afterAutospacing="1" w:line="288" w:lineRule="auto"/>
      <w:ind w:firstLine="0" w:firstLineChars="0"/>
      <w:jc w:val="left"/>
    </w:pPr>
    <w:rPr>
      <w:rFonts w:ascii="ˎ̥" w:hAnsi="ˎ̥" w:cs="宋体"/>
      <w:color w:val="000000"/>
      <w:kern w:val="0"/>
      <w:sz w:val="20"/>
      <w:szCs w:val="20"/>
    </w:rPr>
  </w:style>
  <w:style w:type="paragraph" w:customStyle="1" w:styleId="1493">
    <w:name w:val="样式 标题 2 + (西文) Times New Roman (中文) 宋体 段前: 12 磅 段后: 6 磅 行距: ...1"/>
    <w:basedOn w:val="4"/>
    <w:qFormat/>
    <w:uiPriority w:val="0"/>
    <w:pPr>
      <w:tabs>
        <w:tab w:val="left" w:pos="2700"/>
      </w:tabs>
      <w:snapToGrid w:val="0"/>
      <w:spacing w:beforeLines="50" w:afterLines="50"/>
    </w:pPr>
    <w:rPr>
      <w:rFonts w:ascii="黑体" w:cs="宋体"/>
    </w:rPr>
  </w:style>
  <w:style w:type="paragraph" w:customStyle="1" w:styleId="1494">
    <w:name w:val="reader-word-layer reader-word-s1-7 reader-word-s1-15"/>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495">
    <w:name w:val="地质报告第  节"/>
    <w:basedOn w:val="1"/>
    <w:qFormat/>
    <w:uiPriority w:val="0"/>
    <w:pPr>
      <w:spacing w:before="160" w:after="120" w:line="240" w:lineRule="auto"/>
      <w:ind w:firstLine="0" w:firstLineChars="0"/>
      <w:jc w:val="center"/>
    </w:pPr>
    <w:rPr>
      <w:rFonts w:ascii="黑体" w:eastAsia="黑体" w:cs="Times New Roman"/>
      <w:kern w:val="13"/>
      <w:sz w:val="28"/>
      <w:szCs w:val="20"/>
    </w:rPr>
  </w:style>
  <w:style w:type="paragraph" w:customStyle="1" w:styleId="1496">
    <w:name w:val="reader-word-layer reader-word-s1-1"/>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497">
    <w:name w:val="列表标题"/>
    <w:basedOn w:val="1"/>
    <w:next w:val="1"/>
    <w:qFormat/>
    <w:uiPriority w:val="0"/>
    <w:pPr>
      <w:spacing w:line="240" w:lineRule="auto"/>
      <w:ind w:firstLine="0" w:firstLineChars="0"/>
      <w:jc w:val="center"/>
    </w:pPr>
    <w:rPr>
      <w:rFonts w:cs="Times New Roman"/>
      <w:szCs w:val="20"/>
    </w:rPr>
  </w:style>
  <w:style w:type="paragraph" w:customStyle="1" w:styleId="1498">
    <w:name w:val="tablespacing"/>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499">
    <w:name w:val="正文-使用"/>
    <w:basedOn w:val="1"/>
    <w:qFormat/>
    <w:uiPriority w:val="0"/>
    <w:pPr>
      <w:adjustRightInd w:val="0"/>
      <w:snapToGrid w:val="0"/>
      <w:ind w:firstLine="482" w:firstLineChars="0"/>
    </w:pPr>
    <w:rPr>
      <w:rFonts w:cs="Times New Roman"/>
      <w:szCs w:val="20"/>
    </w:rPr>
  </w:style>
  <w:style w:type="paragraph" w:customStyle="1" w:styleId="1500">
    <w:name w:val="标题1q"/>
    <w:basedOn w:val="1"/>
    <w:next w:val="1"/>
    <w:qFormat/>
    <w:uiPriority w:val="0"/>
    <w:pPr>
      <w:ind w:left="431"/>
      <w:jc w:val="center"/>
    </w:pPr>
    <w:rPr>
      <w:rFonts w:cs="Times New Roman"/>
      <w:sz w:val="21"/>
      <w:szCs w:val="20"/>
    </w:rPr>
  </w:style>
  <w:style w:type="paragraph" w:customStyle="1" w:styleId="1501">
    <w:name w:val="样式 标题 3 + 小三 段前: 7.8 磅 段后: 7.8 磅 行距: 1.5 倍行距"/>
    <w:basedOn w:val="5"/>
    <w:qFormat/>
    <w:uiPriority w:val="0"/>
    <w:pPr>
      <w:tabs>
        <w:tab w:val="left" w:pos="1134"/>
        <w:tab w:val="left" w:pos="1256"/>
      </w:tabs>
    </w:pPr>
    <w:rPr>
      <w:rFonts w:ascii="黑体" w:cs="宋体"/>
      <w:sz w:val="30"/>
      <w:szCs w:val="20"/>
    </w:rPr>
  </w:style>
  <w:style w:type="paragraph" w:customStyle="1" w:styleId="1502">
    <w:name w:val="统一正文格式"/>
    <w:basedOn w:val="35"/>
    <w:qFormat/>
    <w:uiPriority w:val="0"/>
    <w:pPr>
      <w:tabs>
        <w:tab w:val="left" w:pos="0"/>
      </w:tabs>
      <w:spacing w:after="0" w:line="460" w:lineRule="atLeast"/>
      <w:ind w:left="0" w:leftChars="0"/>
    </w:pPr>
    <w:rPr>
      <w:rFonts w:cs="宋体"/>
      <w:kern w:val="24"/>
      <w:szCs w:val="20"/>
    </w:rPr>
  </w:style>
  <w:style w:type="paragraph" w:customStyle="1" w:styleId="1503">
    <w:name w:val="side"/>
    <w:basedOn w:val="1"/>
    <w:qFormat/>
    <w:uiPriority w:val="0"/>
    <w:pPr>
      <w:widowControl/>
      <w:spacing w:before="100" w:beforeAutospacing="1" w:after="100" w:afterAutospacing="1" w:line="240" w:lineRule="auto"/>
      <w:ind w:firstLine="0" w:firstLineChars="0"/>
      <w:jc w:val="left"/>
    </w:pPr>
    <w:rPr>
      <w:rFonts w:ascii="Arial" w:hAnsi="Arial" w:cs="Arial"/>
      <w:kern w:val="0"/>
      <w:sz w:val="14"/>
      <w:szCs w:val="14"/>
    </w:rPr>
  </w:style>
  <w:style w:type="paragraph" w:customStyle="1" w:styleId="1504">
    <w:name w:val="_Style 19"/>
    <w:basedOn w:val="1"/>
    <w:qFormat/>
    <w:uiPriority w:val="0"/>
    <w:pPr>
      <w:widowControl/>
      <w:spacing w:after="160" w:line="240" w:lineRule="exact"/>
      <w:ind w:firstLine="0" w:firstLineChars="0"/>
      <w:jc w:val="left"/>
    </w:pPr>
    <w:rPr>
      <w:rFonts w:cs="Times New Roman"/>
      <w:sz w:val="21"/>
      <w:szCs w:val="20"/>
    </w:rPr>
  </w:style>
  <w:style w:type="paragraph" w:customStyle="1" w:styleId="1505">
    <w:name w:val="navigation"/>
    <w:basedOn w:val="1"/>
    <w:qFormat/>
    <w:uiPriority w:val="0"/>
    <w:pPr>
      <w:widowControl/>
      <w:spacing w:before="100" w:beforeAutospacing="1" w:after="100" w:afterAutospacing="1" w:line="240" w:lineRule="auto"/>
      <w:ind w:firstLine="0" w:firstLineChars="0"/>
      <w:jc w:val="left"/>
    </w:pPr>
    <w:rPr>
      <w:rFonts w:ascii="Arial" w:hAnsi="Arial" w:cs="Arial"/>
      <w:kern w:val="0"/>
      <w:sz w:val="12"/>
      <w:szCs w:val="12"/>
    </w:rPr>
  </w:style>
  <w:style w:type="paragraph" w:customStyle="1" w:styleId="1506">
    <w:name w:val="Char Char Char Char Char Char1"/>
    <w:basedOn w:val="1"/>
    <w:semiHidden/>
    <w:qFormat/>
    <w:uiPriority w:val="0"/>
    <w:pPr>
      <w:spacing w:line="240" w:lineRule="auto"/>
      <w:ind w:firstLine="0" w:firstLineChars="0"/>
    </w:pPr>
    <w:rPr>
      <w:rFonts w:cs="Times New Roman"/>
      <w:sz w:val="21"/>
      <w:szCs w:val="24"/>
    </w:rPr>
  </w:style>
  <w:style w:type="paragraph" w:customStyle="1" w:styleId="1507">
    <w:name w:val="样式 标题 3 + 小三 段前: 6 磅 段后: 6 磅 行距: 多倍行距 1.25 字行"/>
    <w:basedOn w:val="5"/>
    <w:qFormat/>
    <w:uiPriority w:val="0"/>
    <w:pPr>
      <w:tabs>
        <w:tab w:val="left" w:pos="1134"/>
        <w:tab w:val="left" w:pos="1256"/>
      </w:tabs>
    </w:pPr>
    <w:rPr>
      <w:rFonts w:ascii="宋体" w:hAnsi="宋体" w:cs="宋体"/>
      <w:szCs w:val="28"/>
    </w:rPr>
  </w:style>
  <w:style w:type="paragraph" w:customStyle="1" w:styleId="1508">
    <w:name w:val="Char Char Char Char Char Char Char Char Char Char Char Char Char Char Char Char Char Char Char Char Char Char"/>
    <w:basedOn w:val="1"/>
    <w:qFormat/>
    <w:uiPriority w:val="0"/>
    <w:pPr>
      <w:spacing w:line="240" w:lineRule="exact"/>
    </w:pPr>
    <w:rPr>
      <w:rFonts w:ascii="宋体" w:hAnsi="宋体" w:cs="宋体"/>
      <w:szCs w:val="24"/>
    </w:rPr>
  </w:style>
  <w:style w:type="paragraph" w:customStyle="1" w:styleId="1509">
    <w:name w:val="Char7"/>
    <w:basedOn w:val="1"/>
    <w:qFormat/>
    <w:uiPriority w:val="0"/>
    <w:pPr>
      <w:adjustRightInd w:val="0"/>
      <w:ind w:firstLine="0" w:firstLineChars="0"/>
    </w:pPr>
    <w:rPr>
      <w:rFonts w:cs="Times New Roman"/>
      <w:kern w:val="0"/>
      <w:szCs w:val="20"/>
    </w:rPr>
  </w:style>
  <w:style w:type="paragraph" w:customStyle="1" w:styleId="1510">
    <w:name w:val="_Style 632"/>
    <w:basedOn w:val="1"/>
    <w:qFormat/>
    <w:uiPriority w:val="0"/>
    <w:pPr>
      <w:adjustRightInd w:val="0"/>
      <w:snapToGrid w:val="0"/>
    </w:pPr>
    <w:rPr>
      <w:rFonts w:cs="Times New Roman"/>
      <w:sz w:val="21"/>
      <w:szCs w:val="24"/>
    </w:rPr>
  </w:style>
  <w:style w:type="paragraph" w:customStyle="1" w:styleId="1511">
    <w:name w:val="样式 标题 1 + 小四"/>
    <w:basedOn w:val="3"/>
    <w:qFormat/>
    <w:uiPriority w:val="0"/>
    <w:pPr>
      <w:tabs>
        <w:tab w:val="left" w:pos="2910"/>
        <w:tab w:val="left" w:pos="3825"/>
        <w:tab w:val="center" w:pos="4816"/>
      </w:tabs>
      <w:snapToGrid w:val="0"/>
      <w:spacing w:line="400" w:lineRule="exact"/>
    </w:pPr>
    <w:rPr>
      <w:rFonts w:ascii="Arial" w:hAnsi="Arial" w:eastAsia="宋体"/>
      <w:kern w:val="2"/>
      <w:sz w:val="24"/>
      <w:szCs w:val="36"/>
    </w:rPr>
  </w:style>
  <w:style w:type="paragraph" w:customStyle="1" w:styleId="1512">
    <w:name w:val="profile"/>
    <w:basedOn w:val="1"/>
    <w:qFormat/>
    <w:uiPriority w:val="0"/>
    <w:pPr>
      <w:widowControl/>
      <w:spacing w:before="100" w:beforeAutospacing="1" w:after="100" w:afterAutospacing="1" w:line="384" w:lineRule="auto"/>
      <w:ind w:firstLine="0" w:firstLineChars="0"/>
    </w:pPr>
    <w:rPr>
      <w:rFonts w:ascii="宋体" w:hAnsi="宋体" w:cs="Times New Roman"/>
      <w:kern w:val="0"/>
      <w:sz w:val="21"/>
    </w:rPr>
  </w:style>
  <w:style w:type="paragraph" w:customStyle="1" w:styleId="1513">
    <w:name w:val="search"/>
    <w:basedOn w:val="1"/>
    <w:qFormat/>
    <w:uiPriority w:val="0"/>
    <w:pPr>
      <w:widowControl/>
      <w:spacing w:before="100" w:beforeAutospacing="1" w:after="100" w:afterAutospacing="1" w:line="240" w:lineRule="auto"/>
      <w:ind w:firstLine="0" w:firstLineChars="0"/>
      <w:jc w:val="left"/>
    </w:pPr>
    <w:rPr>
      <w:rFonts w:ascii="Arial" w:hAnsi="Arial" w:cs="Arial"/>
      <w:kern w:val="0"/>
      <w:sz w:val="12"/>
      <w:szCs w:val="12"/>
    </w:rPr>
  </w:style>
  <w:style w:type="paragraph" w:customStyle="1" w:styleId="1514">
    <w:name w:val="样式 样式9 + 段前: 0.5 行 段后: 0.5 行"/>
    <w:basedOn w:val="482"/>
    <w:qFormat/>
    <w:uiPriority w:val="0"/>
    <w:pPr>
      <w:keepNext/>
      <w:keepLines/>
      <w:widowControl w:val="0"/>
      <w:tabs>
        <w:tab w:val="left" w:pos="0"/>
      </w:tabs>
      <w:spacing w:beforeLines="100" w:beforeAutospacing="0" w:afterLines="50" w:afterAutospacing="0" w:line="480" w:lineRule="exact"/>
      <w:jc w:val="both"/>
      <w:outlineLvl w:val="1"/>
    </w:pPr>
    <w:rPr>
      <w:rFonts w:ascii="Arial" w:hAnsi="Arial" w:eastAsia="黑体" w:cs="Times New Roman"/>
      <w:b w:val="0"/>
      <w:bCs w:val="0"/>
      <w:color w:val="auto"/>
      <w:spacing w:val="6"/>
      <w:kern w:val="2"/>
      <w:sz w:val="28"/>
      <w:szCs w:val="20"/>
    </w:rPr>
  </w:style>
  <w:style w:type="paragraph" w:customStyle="1" w:styleId="1515">
    <w:name w:val="mainheader"/>
    <w:basedOn w:val="1"/>
    <w:qFormat/>
    <w:uiPriority w:val="0"/>
    <w:pPr>
      <w:widowControl/>
      <w:spacing w:before="100" w:beforeAutospacing="1" w:after="100" w:afterAutospacing="1" w:line="240" w:lineRule="auto"/>
      <w:ind w:firstLine="0" w:firstLineChars="0"/>
      <w:jc w:val="left"/>
    </w:pPr>
    <w:rPr>
      <w:rFonts w:ascii="宋体" w:hAnsi="宋体" w:cs="宋体"/>
      <w:b/>
      <w:bCs/>
      <w:kern w:val="0"/>
      <w:sz w:val="31"/>
      <w:szCs w:val="31"/>
    </w:rPr>
  </w:style>
  <w:style w:type="paragraph" w:customStyle="1" w:styleId="1516">
    <w:name w:val="样式 标题 2 +"/>
    <w:basedOn w:val="4"/>
    <w:qFormat/>
    <w:uiPriority w:val="0"/>
    <w:pPr>
      <w:tabs>
        <w:tab w:val="left" w:pos="927"/>
        <w:tab w:val="left" w:pos="1134"/>
      </w:tabs>
      <w:adjustRightInd w:val="0"/>
      <w:snapToGrid w:val="0"/>
      <w:spacing w:before="60" w:afterLines="50" w:line="520" w:lineRule="exact"/>
      <w:jc w:val="left"/>
    </w:pPr>
    <w:rPr>
      <w:rFonts w:ascii="Arial" w:hAnsi="Arial" w:eastAsia="宋体"/>
      <w:kern w:val="0"/>
      <w:sz w:val="30"/>
    </w:rPr>
  </w:style>
  <w:style w:type="paragraph" w:customStyle="1" w:styleId="1517">
    <w:name w:val="题注1"/>
    <w:basedOn w:val="1"/>
    <w:qFormat/>
    <w:uiPriority w:val="0"/>
    <w:pPr>
      <w:widowControl/>
      <w:spacing w:before="100" w:beforeAutospacing="1" w:line="240" w:lineRule="auto"/>
      <w:ind w:firstLine="0" w:firstLineChars="0"/>
      <w:jc w:val="left"/>
    </w:pPr>
    <w:rPr>
      <w:rFonts w:ascii="Arial" w:hAnsi="Arial" w:cs="Arial"/>
      <w:b/>
      <w:bCs/>
      <w:kern w:val="0"/>
      <w:sz w:val="14"/>
      <w:szCs w:val="14"/>
    </w:rPr>
  </w:style>
  <w:style w:type="paragraph" w:customStyle="1" w:styleId="1518">
    <w:name w:val="td"/>
    <w:basedOn w:val="1"/>
    <w:qFormat/>
    <w:uiPriority w:val="0"/>
    <w:pPr>
      <w:widowControl/>
      <w:spacing w:before="100" w:beforeAutospacing="1" w:after="100" w:afterAutospacing="1" w:line="240" w:lineRule="auto"/>
      <w:ind w:firstLine="0" w:firstLineChars="0"/>
      <w:jc w:val="left"/>
    </w:pPr>
    <w:rPr>
      <w:rFonts w:ascii="Arial" w:hAnsi="Arial" w:cs="Arial"/>
      <w:kern w:val="0"/>
      <w:sz w:val="14"/>
      <w:szCs w:val="14"/>
    </w:rPr>
  </w:style>
  <w:style w:type="paragraph" w:customStyle="1" w:styleId="1519">
    <w:name w:val="标题1（新）"/>
    <w:basedOn w:val="1"/>
    <w:next w:val="1"/>
    <w:qFormat/>
    <w:uiPriority w:val="0"/>
    <w:pPr>
      <w:widowControl/>
      <w:tabs>
        <w:tab w:val="left" w:pos="360"/>
      </w:tabs>
      <w:spacing w:beforeLines="50" w:line="240" w:lineRule="auto"/>
      <w:ind w:left="360" w:hanging="360" w:firstLineChars="0"/>
      <w:jc w:val="left"/>
    </w:pPr>
    <w:rPr>
      <w:rFonts w:eastAsia="黑体" w:cs="Times New Roman"/>
      <w:kern w:val="0"/>
      <w:szCs w:val="28"/>
    </w:rPr>
  </w:style>
  <w:style w:type="paragraph" w:customStyle="1" w:styleId="1520">
    <w:name w:val="样式 首行缩进:  2 字符 行距: 固定值 30 磅"/>
    <w:basedOn w:val="1"/>
    <w:qFormat/>
    <w:uiPriority w:val="0"/>
    <w:pPr>
      <w:spacing w:line="440" w:lineRule="exact"/>
    </w:pPr>
    <w:rPr>
      <w:rFonts w:cs="宋体"/>
      <w:szCs w:val="20"/>
    </w:rPr>
  </w:style>
  <w:style w:type="paragraph" w:customStyle="1" w:styleId="1521">
    <w:name w:val="样式 热电厂正文 + 首行缩进:  2 字符"/>
    <w:basedOn w:val="662"/>
    <w:qFormat/>
    <w:uiPriority w:val="0"/>
    <w:pPr>
      <w:spacing w:line="480" w:lineRule="exact"/>
    </w:pPr>
    <w:rPr>
      <w:rFonts w:cs="宋体"/>
      <w:szCs w:val="20"/>
    </w:rPr>
  </w:style>
  <w:style w:type="paragraph" w:customStyle="1" w:styleId="1522">
    <w:name w:val="样式 首行缩进:  2 字符16"/>
    <w:basedOn w:val="1"/>
    <w:qFormat/>
    <w:uiPriority w:val="0"/>
    <w:pPr>
      <w:spacing w:line="520" w:lineRule="exact"/>
      <w:ind w:firstLine="560"/>
    </w:pPr>
    <w:rPr>
      <w:rFonts w:cs="Times New Roman"/>
      <w:szCs w:val="20"/>
    </w:rPr>
  </w:style>
  <w:style w:type="paragraph" w:customStyle="1" w:styleId="1523">
    <w:name w:val="表格用字 Char1"/>
    <w:basedOn w:val="76"/>
    <w:qFormat/>
    <w:uiPriority w:val="0"/>
    <w:pPr>
      <w:autoSpaceDE/>
      <w:autoSpaceDN/>
      <w:adjustRightInd/>
      <w:spacing w:line="0" w:lineRule="atLeast"/>
    </w:pPr>
    <w:rPr>
      <w:rFonts w:eastAsia="仿宋_GB2312"/>
      <w:color w:val="auto"/>
      <w:lang w:val="en-US"/>
    </w:rPr>
  </w:style>
  <w:style w:type="paragraph" w:customStyle="1" w:styleId="1524">
    <w:name w:val="样式 正文首行缩进 + 首行缩进:  2 字符1"/>
    <w:basedOn w:val="86"/>
    <w:qFormat/>
    <w:uiPriority w:val="0"/>
    <w:pPr>
      <w:spacing w:after="0" w:line="360" w:lineRule="auto"/>
      <w:ind w:firstLine="480" w:firstLineChars="200"/>
    </w:pPr>
    <w:rPr>
      <w:sz w:val="24"/>
      <w:lang w:val="zh-CN"/>
    </w:rPr>
  </w:style>
  <w:style w:type="paragraph" w:customStyle="1" w:styleId="1525">
    <w:name w:val="样式 样式 样式 样式 样式 样式 样式 样式9 + 段前: 0.5 行 段后: 0.5 行 + 段前: 1 行 段后: 0.5..."/>
    <w:basedOn w:val="1"/>
    <w:qFormat/>
    <w:uiPriority w:val="0"/>
    <w:pPr>
      <w:keepNext/>
      <w:keepLines/>
      <w:tabs>
        <w:tab w:val="left" w:pos="927"/>
      </w:tabs>
      <w:spacing w:beforeLines="100" w:line="480" w:lineRule="exact"/>
      <w:ind w:firstLine="567" w:firstLineChars="0"/>
      <w:jc w:val="left"/>
      <w:outlineLvl w:val="1"/>
    </w:pPr>
    <w:rPr>
      <w:rFonts w:ascii="Arial" w:hAnsi="Arial" w:eastAsia="黑体" w:cs="Times New Roman"/>
      <w:color w:val="000000"/>
      <w:spacing w:val="6"/>
      <w:sz w:val="28"/>
      <w:szCs w:val="20"/>
    </w:rPr>
  </w:style>
  <w:style w:type="paragraph" w:customStyle="1" w:styleId="1526">
    <w:name w:val="标题后正文"/>
    <w:basedOn w:val="1"/>
    <w:qFormat/>
    <w:uiPriority w:val="0"/>
    <w:pPr>
      <w:adjustRightInd w:val="0"/>
      <w:snapToGrid w:val="0"/>
    </w:pPr>
    <w:rPr>
      <w:rFonts w:ascii="Arial" w:hAnsi="Arial" w:cs="Times New Roman"/>
      <w:kern w:val="28"/>
      <w:szCs w:val="20"/>
    </w:rPr>
  </w:style>
  <w:style w:type="paragraph" w:customStyle="1" w:styleId="1527">
    <w:name w:val="样式 首行缩进:  2 字符 右侧:  -0.04 厘米"/>
    <w:basedOn w:val="1"/>
    <w:qFormat/>
    <w:uiPriority w:val="0"/>
    <w:pPr>
      <w:spacing w:line="480" w:lineRule="exact"/>
      <w:ind w:right="-23"/>
    </w:pPr>
    <w:rPr>
      <w:rFonts w:cs="宋体"/>
      <w:szCs w:val="20"/>
    </w:rPr>
  </w:style>
  <w:style w:type="paragraph" w:customStyle="1" w:styleId="1528">
    <w:name w:val="样式18"/>
    <w:basedOn w:val="1233"/>
    <w:qFormat/>
    <w:uiPriority w:val="0"/>
    <w:pPr>
      <w:tabs>
        <w:tab w:val="left" w:pos="1800"/>
        <w:tab w:val="clear" w:pos="1256"/>
      </w:tabs>
      <w:overflowPunct w:val="0"/>
      <w:topLinePunct/>
      <w:autoSpaceDE w:val="0"/>
      <w:autoSpaceDN w:val="0"/>
      <w:adjustRightInd w:val="0"/>
      <w:snapToGrid w:val="0"/>
      <w:spacing w:before="0" w:after="0"/>
      <w:ind w:left="1800"/>
      <w:jc w:val="left"/>
      <w:outlineLvl w:val="3"/>
    </w:pPr>
    <w:rPr>
      <w:rFonts w:hAnsi="宋体"/>
      <w:b w:val="0"/>
      <w:bCs w:val="0"/>
      <w:kern w:val="0"/>
      <w:sz w:val="24"/>
      <w:szCs w:val="20"/>
    </w:rPr>
  </w:style>
  <w:style w:type="paragraph" w:customStyle="1" w:styleId="1529">
    <w:name w:val="7.2.2"/>
    <w:basedOn w:val="4"/>
    <w:qFormat/>
    <w:uiPriority w:val="0"/>
    <w:pPr>
      <w:tabs>
        <w:tab w:val="left" w:pos="927"/>
        <w:tab w:val="left" w:pos="1134"/>
      </w:tabs>
      <w:snapToGrid w:val="0"/>
      <w:spacing w:beforeLines="50" w:afterLines="50" w:line="400" w:lineRule="exact"/>
    </w:pPr>
    <w:rPr>
      <w:rFonts w:ascii="Arial" w:hAnsi="Arial" w:eastAsia="宋体"/>
      <w:color w:val="000000"/>
      <w:sz w:val="24"/>
      <w:szCs w:val="24"/>
    </w:rPr>
  </w:style>
  <w:style w:type="paragraph" w:customStyle="1" w:styleId="1530">
    <w:name w:val="插图"/>
    <w:basedOn w:val="1"/>
    <w:qFormat/>
    <w:uiPriority w:val="0"/>
    <w:pPr>
      <w:spacing w:line="240" w:lineRule="auto"/>
      <w:ind w:firstLine="0" w:firstLineChars="0"/>
    </w:pPr>
    <w:rPr>
      <w:rFonts w:cs="Times New Roman"/>
      <w:szCs w:val="20"/>
    </w:rPr>
  </w:style>
  <w:style w:type="paragraph" w:customStyle="1" w:styleId="1531">
    <w:name w:val="111"/>
    <w:basedOn w:val="1"/>
    <w:qFormat/>
    <w:uiPriority w:val="0"/>
    <w:pPr>
      <w:spacing w:before="120" w:after="120" w:line="400" w:lineRule="exact"/>
      <w:ind w:firstLine="0" w:firstLineChars="0"/>
    </w:pPr>
    <w:rPr>
      <w:rFonts w:ascii="宋体" w:hAnsi="宋体" w:cs="宋体"/>
      <w:b/>
      <w:bCs/>
      <w:sz w:val="28"/>
      <w:szCs w:val="20"/>
    </w:rPr>
  </w:style>
  <w:style w:type="paragraph" w:customStyle="1" w:styleId="1532">
    <w:name w:val="自定义表格文字居中"/>
    <w:basedOn w:val="1"/>
    <w:qFormat/>
    <w:uiPriority w:val="0"/>
    <w:pPr>
      <w:keepNext/>
      <w:adjustRightInd w:val="0"/>
      <w:snapToGrid w:val="0"/>
      <w:spacing w:line="360" w:lineRule="exact"/>
      <w:ind w:left="5" w:hanging="5" w:firstLineChars="0"/>
      <w:jc w:val="center"/>
      <w:outlineLvl w:val="0"/>
    </w:pPr>
    <w:rPr>
      <w:rFonts w:cs="Times New Roman"/>
      <w:color w:val="FF0000"/>
      <w:kern w:val="0"/>
      <w:sz w:val="21"/>
      <w:szCs w:val="20"/>
    </w:rPr>
  </w:style>
  <w:style w:type="paragraph" w:customStyle="1" w:styleId="1533">
    <w:name w:val="纯文本3"/>
    <w:basedOn w:val="1"/>
    <w:qFormat/>
    <w:uiPriority w:val="0"/>
    <w:pPr>
      <w:ind w:firstLine="0" w:firstLineChars="0"/>
      <w:jc w:val="center"/>
    </w:pPr>
    <w:rPr>
      <w:rFonts w:ascii="宋体" w:hAnsi="宋体" w:cs="Times New Roman"/>
      <w:b/>
      <w:szCs w:val="20"/>
    </w:rPr>
  </w:style>
  <w:style w:type="paragraph" w:customStyle="1" w:styleId="1534">
    <w:name w:val="table_div"/>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535">
    <w:name w:val="Char12"/>
    <w:basedOn w:val="1"/>
    <w:qFormat/>
    <w:uiPriority w:val="0"/>
    <w:pPr>
      <w:spacing w:line="240" w:lineRule="auto"/>
      <w:ind w:firstLine="0" w:firstLineChars="0"/>
    </w:pPr>
    <w:rPr>
      <w:rFonts w:cs="Times New Roman"/>
      <w:sz w:val="21"/>
      <w:szCs w:val="24"/>
    </w:rPr>
  </w:style>
  <w:style w:type="paragraph" w:customStyle="1" w:styleId="1536">
    <w:name w:val="table_cell"/>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537">
    <w:name w:val="Char Char Char2"/>
    <w:basedOn w:val="1"/>
    <w:qFormat/>
    <w:uiPriority w:val="0"/>
    <w:rPr>
      <w:rFonts w:ascii="宋体" w:hAnsi="宋体" w:cs="宋体"/>
      <w:szCs w:val="20"/>
    </w:rPr>
  </w:style>
  <w:style w:type="paragraph" w:customStyle="1" w:styleId="1538">
    <w:name w:val="页脚2"/>
    <w:basedOn w:val="1"/>
    <w:qFormat/>
    <w:uiPriority w:val="0"/>
    <w:pPr>
      <w:widowControl/>
      <w:spacing w:before="100" w:beforeAutospacing="1" w:after="100" w:afterAutospacing="1" w:line="240" w:lineRule="auto"/>
      <w:ind w:firstLine="0" w:firstLineChars="0"/>
      <w:jc w:val="center"/>
    </w:pPr>
    <w:rPr>
      <w:rFonts w:ascii="Arial" w:hAnsi="Arial" w:cs="Arial"/>
      <w:kern w:val="0"/>
      <w:sz w:val="12"/>
      <w:szCs w:val="12"/>
    </w:rPr>
  </w:style>
  <w:style w:type="paragraph" w:customStyle="1" w:styleId="1539">
    <w:name w:val="table_colhed"/>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540">
    <w:name w:val="1 Char Char Char Char Char Char Char"/>
    <w:basedOn w:val="1"/>
    <w:qFormat/>
    <w:uiPriority w:val="0"/>
    <w:pPr>
      <w:spacing w:line="240" w:lineRule="auto"/>
      <w:ind w:firstLine="0" w:firstLineChars="0"/>
    </w:pPr>
    <w:rPr>
      <w:rFonts w:cs="Times New Roman"/>
      <w:szCs w:val="24"/>
    </w:rPr>
  </w:style>
  <w:style w:type="paragraph" w:customStyle="1" w:styleId="1541">
    <w:name w:val="lou"/>
    <w:basedOn w:val="1"/>
    <w:qFormat/>
    <w:uiPriority w:val="0"/>
    <w:pPr>
      <w:widowControl/>
      <w:spacing w:before="100" w:beforeAutospacing="1" w:after="100" w:afterAutospacing="1" w:line="440" w:lineRule="exact"/>
      <w:jc w:val="left"/>
    </w:pPr>
    <w:rPr>
      <w:rFonts w:ascii="FLGPEK+TimesNewRoman,Italic" w:hAnsi="FLGPEK+TimesNewRoman,Italic" w:cs="FLGPEK+TimesNewRoman,Italic"/>
      <w:kern w:val="0"/>
      <w:szCs w:val="24"/>
    </w:rPr>
  </w:style>
  <w:style w:type="paragraph" w:customStyle="1" w:styleId="1542">
    <w:name w:val="好表"/>
    <w:basedOn w:val="1"/>
    <w:qFormat/>
    <w:uiPriority w:val="0"/>
    <w:pPr>
      <w:spacing w:line="240" w:lineRule="auto"/>
      <w:ind w:firstLine="0" w:firstLineChars="0"/>
      <w:jc w:val="center"/>
    </w:pPr>
    <w:rPr>
      <w:rFonts w:ascii="宋体" w:hAnsi="宋体" w:cs="Times New Roman"/>
      <w:b/>
      <w:bCs/>
      <w:sz w:val="28"/>
    </w:rPr>
  </w:style>
  <w:style w:type="paragraph" w:customStyle="1" w:styleId="1543">
    <w:name w:val="表内标题栏"/>
    <w:basedOn w:val="1"/>
    <w:qFormat/>
    <w:uiPriority w:val="0"/>
    <w:pPr>
      <w:spacing w:line="300" w:lineRule="exact"/>
      <w:ind w:firstLine="0" w:firstLineChars="0"/>
      <w:jc w:val="center"/>
    </w:pPr>
    <w:rPr>
      <w:rFonts w:ascii="宋体" w:cs="Times New Roman"/>
      <w:szCs w:val="24"/>
    </w:rPr>
  </w:style>
  <w:style w:type="paragraph" w:customStyle="1" w:styleId="1544">
    <w:name w:val="Char Char1 Char1"/>
    <w:basedOn w:val="1"/>
    <w:qFormat/>
    <w:uiPriority w:val="0"/>
    <w:pPr>
      <w:widowControl/>
      <w:spacing w:after="160" w:line="240" w:lineRule="exact"/>
      <w:ind w:firstLine="0" w:firstLineChars="0"/>
      <w:jc w:val="left"/>
    </w:pPr>
    <w:rPr>
      <w:rFonts w:cs="Times New Roman"/>
      <w:sz w:val="21"/>
      <w:szCs w:val="24"/>
    </w:rPr>
  </w:style>
  <w:style w:type="paragraph" w:customStyle="1" w:styleId="1545">
    <w:name w:val="列出段落11"/>
    <w:basedOn w:val="1"/>
    <w:qFormat/>
    <w:uiPriority w:val="0"/>
    <w:pPr>
      <w:ind w:firstLine="420"/>
    </w:pPr>
    <w:rPr>
      <w:rFonts w:ascii="Calibri" w:hAnsi="Calibri" w:cs="Times New Roman"/>
    </w:rPr>
  </w:style>
  <w:style w:type="paragraph" w:customStyle="1" w:styleId="1546">
    <w:name w:val="Char1 Char Char Char2"/>
    <w:basedOn w:val="1"/>
    <w:qFormat/>
    <w:uiPriority w:val="0"/>
    <w:pPr>
      <w:snapToGrid w:val="0"/>
      <w:ind w:firstLine="529"/>
    </w:pPr>
    <w:rPr>
      <w:rFonts w:ascii="宋体" w:hAnsi="宋体" w:cs="Times New Roman"/>
      <w:b/>
      <w:szCs w:val="20"/>
    </w:rPr>
  </w:style>
  <w:style w:type="paragraph" w:customStyle="1" w:styleId="1547">
    <w:name w:val="标题2 Char Char Char"/>
    <w:basedOn w:val="1"/>
    <w:qFormat/>
    <w:uiPriority w:val="0"/>
    <w:pPr>
      <w:spacing w:line="240" w:lineRule="auto"/>
      <w:ind w:firstLine="0" w:firstLineChars="0"/>
    </w:pPr>
    <w:rPr>
      <w:rFonts w:cs="Times New Roman"/>
      <w:sz w:val="30"/>
      <w:szCs w:val="24"/>
    </w:rPr>
  </w:style>
  <w:style w:type="paragraph" w:customStyle="1" w:styleId="1548">
    <w:name w:val="题注3"/>
    <w:basedOn w:val="1"/>
    <w:qFormat/>
    <w:uiPriority w:val="0"/>
    <w:pPr>
      <w:widowControl/>
      <w:spacing w:before="100" w:beforeAutospacing="1" w:line="240" w:lineRule="auto"/>
      <w:ind w:firstLine="0" w:firstLineChars="0"/>
      <w:jc w:val="left"/>
    </w:pPr>
    <w:rPr>
      <w:rFonts w:ascii="Arial" w:hAnsi="Arial" w:cs="Arial"/>
      <w:b/>
      <w:bCs/>
      <w:kern w:val="0"/>
      <w:sz w:val="14"/>
      <w:szCs w:val="14"/>
    </w:rPr>
  </w:style>
  <w:style w:type="paragraph" w:customStyle="1" w:styleId="1549">
    <w:name w:val="Char1 Char Char Char11"/>
    <w:basedOn w:val="1"/>
    <w:qFormat/>
    <w:uiPriority w:val="0"/>
    <w:pPr>
      <w:spacing w:line="240" w:lineRule="auto"/>
      <w:ind w:firstLine="0" w:firstLineChars="0"/>
    </w:pPr>
    <w:rPr>
      <w:rFonts w:cs="Times New Roman"/>
      <w:sz w:val="21"/>
      <w:szCs w:val="24"/>
    </w:rPr>
  </w:style>
  <w:style w:type="paragraph" w:customStyle="1" w:styleId="1550">
    <w:name w:val="样式 样式11 + 黑色"/>
    <w:basedOn w:val="1"/>
    <w:qFormat/>
    <w:uiPriority w:val="0"/>
    <w:pPr>
      <w:keepNext/>
      <w:keepLines/>
      <w:tabs>
        <w:tab w:val="left" w:pos="1256"/>
      </w:tabs>
      <w:overflowPunct w:val="0"/>
      <w:topLinePunct/>
      <w:autoSpaceDE w:val="0"/>
      <w:autoSpaceDN w:val="0"/>
      <w:adjustRightInd w:val="0"/>
      <w:snapToGrid w:val="0"/>
      <w:spacing w:before="120" w:after="120" w:line="480" w:lineRule="atLeast"/>
      <w:ind w:left="-31" w:firstLine="567" w:firstLineChars="0"/>
      <w:jc w:val="left"/>
      <w:outlineLvl w:val="2"/>
    </w:pPr>
    <w:rPr>
      <w:rFonts w:eastAsia="黑体" w:cs="Times New Roman"/>
      <w:color w:val="000000"/>
      <w:kern w:val="0"/>
      <w:szCs w:val="20"/>
    </w:rPr>
  </w:style>
  <w:style w:type="paragraph" w:customStyle="1" w:styleId="1551">
    <w:name w:val="段标"/>
    <w:basedOn w:val="1"/>
    <w:qFormat/>
    <w:uiPriority w:val="0"/>
    <w:pPr>
      <w:adjustRightInd w:val="0"/>
      <w:ind w:firstLine="567" w:firstLineChars="0"/>
      <w:jc w:val="left"/>
    </w:pPr>
    <w:rPr>
      <w:rFonts w:cs="Times New Roman"/>
      <w:kern w:val="0"/>
      <w:sz w:val="28"/>
      <w:szCs w:val="20"/>
    </w:rPr>
  </w:style>
  <w:style w:type="paragraph" w:customStyle="1" w:styleId="1552">
    <w:name w:val="Char Char Char1"/>
    <w:basedOn w:val="1"/>
    <w:qFormat/>
    <w:uiPriority w:val="0"/>
    <w:rPr>
      <w:rFonts w:ascii="宋体" w:hAnsi="宋体" w:cs="宋体"/>
      <w:szCs w:val="20"/>
    </w:rPr>
  </w:style>
  <w:style w:type="paragraph" w:customStyle="1" w:styleId="1553">
    <w:name w:val="Company Name"/>
    <w:basedOn w:val="1"/>
    <w:next w:val="1"/>
    <w:qFormat/>
    <w:uiPriority w:val="0"/>
    <w:pPr>
      <w:widowControl/>
      <w:tabs>
        <w:tab w:val="left" w:pos="2160"/>
        <w:tab w:val="right" w:pos="6480"/>
      </w:tabs>
      <w:spacing w:before="220" w:after="40" w:line="220" w:lineRule="atLeast"/>
      <w:ind w:right="-360" w:firstLine="0" w:firstLineChars="0"/>
      <w:jc w:val="left"/>
    </w:pPr>
    <w:rPr>
      <w:rFonts w:cs="Times New Roman"/>
      <w:kern w:val="0"/>
      <w:sz w:val="20"/>
      <w:szCs w:val="20"/>
    </w:rPr>
  </w:style>
  <w:style w:type="paragraph" w:customStyle="1" w:styleId="1554">
    <w:name w:val="样式 正文文本缩进 2正文文字缩进 2 + 四号 蓝色"/>
    <w:basedOn w:val="51"/>
    <w:qFormat/>
    <w:uiPriority w:val="0"/>
    <w:pPr>
      <w:adjustRightInd w:val="0"/>
      <w:spacing w:after="0" w:line="480" w:lineRule="exact"/>
      <w:ind w:left="0" w:leftChars="0" w:firstLine="709" w:firstLineChars="0"/>
    </w:pPr>
    <w:rPr>
      <w:rFonts w:cs="Times New Roman"/>
      <w:color w:val="0000FF"/>
      <w:kern w:val="0"/>
      <w:szCs w:val="24"/>
    </w:rPr>
  </w:style>
  <w:style w:type="paragraph" w:customStyle="1" w:styleId="1555">
    <w:name w:val="Char Char1 Char Char1 Char Char1 Char Char1 Char Char Char Char Char Char Char1"/>
    <w:basedOn w:val="1"/>
    <w:qFormat/>
    <w:uiPriority w:val="0"/>
    <w:pPr>
      <w:spacing w:line="240" w:lineRule="auto"/>
      <w:ind w:firstLine="0" w:firstLineChars="0"/>
    </w:pPr>
    <w:rPr>
      <w:rFonts w:ascii="Tahoma" w:hAnsi="Tahoma" w:cs="Times New Roman"/>
      <w:szCs w:val="24"/>
    </w:rPr>
  </w:style>
  <w:style w:type="paragraph" w:customStyle="1" w:styleId="1556">
    <w:name w:val="Char21"/>
    <w:basedOn w:val="1"/>
    <w:qFormat/>
    <w:uiPriority w:val="0"/>
    <w:pPr>
      <w:spacing w:line="240" w:lineRule="auto"/>
      <w:ind w:firstLine="0" w:firstLineChars="0"/>
    </w:pPr>
    <w:rPr>
      <w:rFonts w:ascii="宋体" w:hAnsi="宋体" w:cs="Courier New"/>
      <w:sz w:val="32"/>
      <w:szCs w:val="32"/>
    </w:rPr>
  </w:style>
  <w:style w:type="paragraph" w:customStyle="1" w:styleId="1557">
    <w:name w:val="Achievement"/>
    <w:basedOn w:val="34"/>
    <w:qFormat/>
    <w:uiPriority w:val="0"/>
    <w:pPr>
      <w:widowControl/>
      <w:tabs>
        <w:tab w:val="left" w:pos="960"/>
      </w:tabs>
      <w:spacing w:after="60" w:line="220" w:lineRule="atLeast"/>
      <w:ind w:left="960" w:right="-360" w:hanging="960" w:firstLineChars="0"/>
      <w:jc w:val="left"/>
    </w:pPr>
    <w:rPr>
      <w:rFonts w:cs="Times New Roman"/>
      <w:kern w:val="0"/>
      <w:sz w:val="20"/>
      <w:szCs w:val="24"/>
    </w:rPr>
  </w:style>
  <w:style w:type="paragraph" w:customStyle="1" w:styleId="1558">
    <w:name w:val="Institution"/>
    <w:basedOn w:val="1"/>
    <w:next w:val="1557"/>
    <w:qFormat/>
    <w:uiPriority w:val="0"/>
    <w:pPr>
      <w:widowControl/>
      <w:tabs>
        <w:tab w:val="left" w:pos="2160"/>
        <w:tab w:val="right" w:pos="6480"/>
      </w:tabs>
      <w:spacing w:before="220" w:after="60" w:line="220" w:lineRule="atLeast"/>
      <w:ind w:right="-360" w:firstLine="0" w:firstLineChars="0"/>
      <w:jc w:val="left"/>
    </w:pPr>
    <w:rPr>
      <w:rFonts w:cs="Times New Roman"/>
      <w:kern w:val="0"/>
      <w:sz w:val="20"/>
      <w:szCs w:val="20"/>
    </w:rPr>
  </w:style>
  <w:style w:type="paragraph" w:customStyle="1" w:styleId="1559">
    <w:name w:val="样式 标题 2 + 浅蓝 段前: 1 行"/>
    <w:basedOn w:val="4"/>
    <w:qFormat/>
    <w:uiPriority w:val="0"/>
    <w:pPr>
      <w:tabs>
        <w:tab w:val="left" w:pos="927"/>
        <w:tab w:val="left" w:pos="1134"/>
      </w:tabs>
      <w:adjustRightInd w:val="0"/>
      <w:snapToGrid w:val="0"/>
      <w:spacing w:before="320" w:after="160"/>
      <w:ind w:firstLine="567"/>
    </w:pPr>
    <w:rPr>
      <w:rFonts w:ascii="宋体" w:eastAsia="宋体"/>
      <w:bCs w:val="0"/>
      <w:color w:val="3366FF"/>
      <w:kern w:val="0"/>
      <w:sz w:val="28"/>
      <w:szCs w:val="20"/>
    </w:rPr>
  </w:style>
  <w:style w:type="paragraph" w:customStyle="1" w:styleId="1560">
    <w:name w:val="Char Char Char Char Char Char Char2"/>
    <w:basedOn w:val="1"/>
    <w:qFormat/>
    <w:uiPriority w:val="0"/>
    <w:rPr>
      <w:rFonts w:ascii="宋体" w:hAnsi="宋体" w:cs="宋体"/>
      <w:szCs w:val="24"/>
    </w:rPr>
  </w:style>
  <w:style w:type="paragraph" w:customStyle="1" w:styleId="1561">
    <w:name w:val="M表头"/>
    <w:basedOn w:val="1"/>
    <w:next w:val="1"/>
    <w:qFormat/>
    <w:uiPriority w:val="0"/>
    <w:pPr>
      <w:spacing w:beforeLines="50"/>
    </w:pPr>
    <w:rPr>
      <w:rFonts w:eastAsia="黑体" w:cs="Times New Roman"/>
      <w:bCs/>
    </w:rPr>
  </w:style>
  <w:style w:type="paragraph" w:customStyle="1" w:styleId="1562">
    <w:name w:val="样式 首行缩进:  2 字符 行距: 固定值 26 磅"/>
    <w:basedOn w:val="1"/>
    <w:qFormat/>
    <w:uiPriority w:val="0"/>
    <w:pPr>
      <w:spacing w:line="480" w:lineRule="exact"/>
    </w:pPr>
    <w:rPr>
      <w:rFonts w:cs="宋体"/>
      <w:szCs w:val="20"/>
    </w:rPr>
  </w:style>
  <w:style w:type="paragraph" w:customStyle="1" w:styleId="1563">
    <w:name w:val="样式 五号 居中 行距: 最小值 18 磅"/>
    <w:basedOn w:val="1"/>
    <w:qFormat/>
    <w:uiPriority w:val="0"/>
    <w:pPr>
      <w:spacing w:line="360" w:lineRule="atLeast"/>
      <w:ind w:firstLine="0" w:firstLineChars="0"/>
      <w:jc w:val="center"/>
    </w:pPr>
    <w:rPr>
      <w:rFonts w:cs="宋体"/>
      <w:sz w:val="21"/>
      <w:szCs w:val="20"/>
    </w:rPr>
  </w:style>
  <w:style w:type="paragraph" w:customStyle="1" w:styleId="1564">
    <w:name w:val="样式 样式 样式 标题 3 + 黑色 段前: 0.5 行 段后: 0.5 行 + 段前: 0.5 行 段后: 0.5 行 + 段..."/>
    <w:basedOn w:val="1"/>
    <w:qFormat/>
    <w:uiPriority w:val="0"/>
    <w:pPr>
      <w:keepNext/>
      <w:keepLines/>
      <w:adjustRightInd w:val="0"/>
      <w:snapToGrid w:val="0"/>
      <w:spacing w:beforeLines="50" w:line="480" w:lineRule="exact"/>
      <w:ind w:left="720" w:firstLine="0" w:firstLineChars="0"/>
      <w:outlineLvl w:val="2"/>
    </w:pPr>
    <w:rPr>
      <w:rFonts w:ascii="黑体" w:hAnsi="黑体" w:eastAsia="黑体" w:cs="宋体"/>
      <w:b/>
      <w:bCs/>
      <w:color w:val="000000"/>
      <w:kern w:val="0"/>
      <w:szCs w:val="20"/>
    </w:rPr>
  </w:style>
  <w:style w:type="paragraph" w:customStyle="1" w:styleId="1565">
    <w:name w:val="Char2 Char Char Char1"/>
    <w:basedOn w:val="1"/>
    <w:qFormat/>
    <w:uiPriority w:val="0"/>
    <w:pPr>
      <w:autoSpaceDE w:val="0"/>
      <w:autoSpaceDN w:val="0"/>
      <w:adjustRightInd w:val="0"/>
      <w:snapToGrid w:val="0"/>
      <w:spacing w:before="50" w:after="50"/>
      <w:ind w:firstLine="560"/>
    </w:pPr>
    <w:rPr>
      <w:rFonts w:ascii="宋体" w:hAnsi="宋体" w:eastAsia="仿宋_GB2312" w:cs="Times New Roman"/>
      <w:color w:val="000000"/>
      <w:szCs w:val="24"/>
    </w:rPr>
  </w:style>
  <w:style w:type="paragraph" w:customStyle="1" w:styleId="1566">
    <w:name w:val="说明-表格用字"/>
    <w:basedOn w:val="1"/>
    <w:qFormat/>
    <w:uiPriority w:val="0"/>
    <w:pPr>
      <w:spacing w:line="240" w:lineRule="auto"/>
      <w:ind w:firstLine="0" w:firstLineChars="0"/>
      <w:jc w:val="center"/>
    </w:pPr>
    <w:rPr>
      <w:rFonts w:ascii="宋体" w:hAnsi="宋体" w:cs="Times New Roman"/>
      <w:kern w:val="0"/>
      <w:sz w:val="21"/>
      <w:szCs w:val="20"/>
    </w:rPr>
  </w:style>
  <w:style w:type="paragraph" w:customStyle="1" w:styleId="1567">
    <w:name w:val="Char Char Char11"/>
    <w:basedOn w:val="1"/>
    <w:qFormat/>
    <w:uiPriority w:val="0"/>
    <w:pPr>
      <w:spacing w:beforeLines="100" w:line="440" w:lineRule="exact"/>
      <w:ind w:firstLine="720"/>
    </w:pPr>
    <w:rPr>
      <w:rFonts w:ascii="FLGPEK+TimesNewRoman,Italic" w:hAnsi="FLGPEK+TimesNewRoman,Italic" w:cs="FLGPEK+TimesNewRoman,Italic"/>
      <w:b/>
      <w:kern w:val="0"/>
      <w:szCs w:val="24"/>
    </w:rPr>
  </w:style>
  <w:style w:type="paragraph" w:customStyle="1" w:styleId="1568">
    <w:name w:val="No Title"/>
    <w:basedOn w:val="1"/>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ind w:firstLine="0" w:firstLineChars="0"/>
      <w:jc w:val="left"/>
    </w:pPr>
    <w:rPr>
      <w:rFonts w:ascii="Arial" w:hAnsi="Arial" w:cs="Times New Roman"/>
      <w:b/>
      <w:spacing w:val="-10"/>
      <w:kern w:val="0"/>
      <w:position w:val="7"/>
      <w:sz w:val="20"/>
      <w:szCs w:val="20"/>
    </w:rPr>
  </w:style>
  <w:style w:type="paragraph" w:customStyle="1" w:styleId="1569">
    <w:name w:val="Char Char Char1 Char12"/>
    <w:basedOn w:val="1"/>
    <w:qFormat/>
    <w:uiPriority w:val="0"/>
    <w:pPr>
      <w:adjustRightInd w:val="0"/>
      <w:snapToGrid w:val="0"/>
      <w:spacing w:line="240" w:lineRule="auto"/>
      <w:ind w:left="-45" w:firstLine="0" w:firstLineChars="0"/>
    </w:pPr>
    <w:rPr>
      <w:rFonts w:cs="Times New Roman"/>
      <w:sz w:val="21"/>
      <w:szCs w:val="24"/>
    </w:rPr>
  </w:style>
  <w:style w:type="paragraph" w:customStyle="1" w:styleId="1570">
    <w:name w:val="页脚3"/>
    <w:basedOn w:val="1"/>
    <w:qFormat/>
    <w:uiPriority w:val="0"/>
    <w:pPr>
      <w:widowControl/>
      <w:spacing w:before="100" w:beforeAutospacing="1" w:after="100" w:afterAutospacing="1" w:line="240" w:lineRule="auto"/>
      <w:ind w:firstLine="0" w:firstLineChars="0"/>
      <w:jc w:val="center"/>
    </w:pPr>
    <w:rPr>
      <w:rFonts w:ascii="Arial" w:hAnsi="Arial" w:cs="Arial"/>
      <w:kern w:val="0"/>
      <w:sz w:val="12"/>
      <w:szCs w:val="12"/>
    </w:rPr>
  </w:style>
  <w:style w:type="paragraph" w:customStyle="1" w:styleId="1571">
    <w:name w:val="In Table"/>
    <w:basedOn w:val="1"/>
    <w:qFormat/>
    <w:uiPriority w:val="0"/>
    <w:pPr>
      <w:tabs>
        <w:tab w:val="left" w:pos="2200"/>
        <w:tab w:val="left" w:pos="3960"/>
        <w:tab w:val="left" w:pos="5280"/>
      </w:tabs>
      <w:spacing w:before="96" w:after="96" w:line="0" w:lineRule="atLeast"/>
      <w:ind w:firstLine="0" w:firstLineChars="0"/>
      <w:jc w:val="center"/>
    </w:pPr>
    <w:rPr>
      <w:rFonts w:ascii="Tahoma" w:hAnsi="Tahoma" w:eastAsia="华文中宋" w:cs="Times New Roman"/>
      <w:sz w:val="21"/>
      <w:szCs w:val="20"/>
    </w:rPr>
  </w:style>
  <w:style w:type="paragraph" w:customStyle="1" w:styleId="1572">
    <w:name w:val="样式 标题 3 Char1 Char Char1标题 3 Char Char1 Char Char2标题 3 Char1 C...1"/>
    <w:basedOn w:val="1"/>
    <w:qFormat/>
    <w:uiPriority w:val="0"/>
    <w:pPr>
      <w:keepNext/>
      <w:keepLines/>
      <w:tabs>
        <w:tab w:val="left" w:pos="0"/>
      </w:tabs>
      <w:ind w:firstLine="0" w:firstLineChars="0"/>
      <w:outlineLvl w:val="2"/>
    </w:pPr>
    <w:rPr>
      <w:rFonts w:eastAsia="楷体_GB2312" w:cs="Times New Roman"/>
      <w:sz w:val="28"/>
      <w:szCs w:val="28"/>
    </w:rPr>
  </w:style>
  <w:style w:type="paragraph" w:customStyle="1" w:styleId="1573">
    <w:name w:val="样式 行距: 最小值 24 磅 首行缩进:  0 字符"/>
    <w:basedOn w:val="1"/>
    <w:qFormat/>
    <w:uiPriority w:val="0"/>
    <w:pPr>
      <w:spacing w:line="460" w:lineRule="exact"/>
      <w:ind w:firstLine="567" w:firstLineChars="0"/>
    </w:pPr>
    <w:rPr>
      <w:rFonts w:cs="宋体"/>
      <w:szCs w:val="20"/>
    </w:rPr>
  </w:style>
  <w:style w:type="paragraph" w:customStyle="1" w:styleId="1574">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ind w:firstLine="0" w:firstLineChars="0"/>
      <w:jc w:val="left"/>
    </w:pPr>
    <w:rPr>
      <w:rFonts w:ascii="Arial" w:hAnsi="Arial" w:cs="Times New Roman"/>
      <w:b/>
      <w:spacing w:val="-10"/>
      <w:kern w:val="0"/>
      <w:position w:val="7"/>
      <w:sz w:val="20"/>
      <w:szCs w:val="20"/>
    </w:rPr>
  </w:style>
  <w:style w:type="paragraph" w:customStyle="1" w:styleId="1575">
    <w:name w:val="样式 样式 标题 2 + 左侧:  2 字符 + 首行缩进:  2 字符1"/>
    <w:basedOn w:val="1"/>
    <w:qFormat/>
    <w:uiPriority w:val="0"/>
    <w:pPr>
      <w:keepNext/>
      <w:keepLines/>
      <w:adjustRightInd w:val="0"/>
      <w:snapToGrid w:val="0"/>
      <w:spacing w:before="260" w:after="260" w:line="416" w:lineRule="atLeast"/>
      <w:ind w:firstLine="640"/>
      <w:jc w:val="left"/>
    </w:pPr>
    <w:rPr>
      <w:rFonts w:ascii="Arial" w:hAnsi="Arial" w:eastAsia="黑体" w:cs="Times New Roman"/>
      <w:b/>
      <w:kern w:val="0"/>
      <w:sz w:val="28"/>
      <w:szCs w:val="20"/>
    </w:rPr>
  </w:style>
  <w:style w:type="character" w:customStyle="1" w:styleId="1576">
    <w:name w:val="环小四文中说明 Char"/>
    <w:link w:val="1577"/>
    <w:qFormat/>
    <w:locked/>
    <w:uiPriority w:val="0"/>
    <w:rPr>
      <w:rFonts w:ascii="宋体" w:hAnsi="宋体" w:eastAsia="宋体"/>
      <w:sz w:val="24"/>
      <w:szCs w:val="24"/>
    </w:rPr>
  </w:style>
  <w:style w:type="paragraph" w:customStyle="1" w:styleId="1577">
    <w:name w:val="环小四文中说明"/>
    <w:link w:val="1576"/>
    <w:qFormat/>
    <w:uiPriority w:val="0"/>
    <w:pPr>
      <w:widowControl w:val="0"/>
      <w:spacing w:line="500" w:lineRule="exact"/>
      <w:ind w:firstLine="200" w:firstLineChars="200"/>
      <w:jc w:val="both"/>
    </w:pPr>
    <w:rPr>
      <w:rFonts w:ascii="宋体" w:hAnsi="宋体" w:eastAsia="宋体" w:cstheme="minorBidi"/>
      <w:kern w:val="2"/>
      <w:sz w:val="24"/>
      <w:szCs w:val="24"/>
      <w:lang w:val="en-US" w:eastAsia="zh-CN" w:bidi="ar-SA"/>
    </w:rPr>
  </w:style>
  <w:style w:type="paragraph" w:customStyle="1" w:styleId="1578">
    <w:name w:val="City/State"/>
    <w:basedOn w:val="34"/>
    <w:next w:val="34"/>
    <w:qFormat/>
    <w:uiPriority w:val="0"/>
    <w:pPr>
      <w:keepNext/>
      <w:widowControl/>
      <w:spacing w:after="220" w:line="220" w:lineRule="atLeast"/>
      <w:ind w:right="-360" w:firstLine="0" w:firstLineChars="0"/>
      <w:jc w:val="left"/>
    </w:pPr>
    <w:rPr>
      <w:rFonts w:cs="Times New Roman"/>
      <w:kern w:val="0"/>
      <w:sz w:val="20"/>
      <w:szCs w:val="20"/>
    </w:rPr>
  </w:style>
  <w:style w:type="paragraph" w:customStyle="1" w:styleId="1579">
    <w:name w:val="图表说明"/>
    <w:basedOn w:val="1"/>
    <w:qFormat/>
    <w:uiPriority w:val="0"/>
    <w:pPr>
      <w:keepLines/>
      <w:widowControl/>
      <w:tabs>
        <w:tab w:val="left" w:pos="0"/>
      </w:tabs>
      <w:adjustRightInd w:val="0"/>
      <w:snapToGrid w:val="0"/>
      <w:spacing w:line="240" w:lineRule="auto"/>
      <w:ind w:firstLine="0" w:firstLineChars="0"/>
    </w:pPr>
    <w:rPr>
      <w:rFonts w:ascii="宋体" w:hAnsi="宋体" w:cs="Times New Roman"/>
      <w:kern w:val="24"/>
      <w:sz w:val="18"/>
      <w:szCs w:val="20"/>
    </w:rPr>
  </w:style>
  <w:style w:type="paragraph" w:customStyle="1" w:styleId="1580">
    <w:name w:val="Char Char Char Char Char1 Char"/>
    <w:basedOn w:val="5"/>
    <w:qFormat/>
    <w:uiPriority w:val="0"/>
    <w:pPr>
      <w:tabs>
        <w:tab w:val="left" w:pos="360"/>
        <w:tab w:val="left" w:pos="900"/>
      </w:tabs>
      <w:snapToGrid w:val="0"/>
      <w:spacing w:before="120" w:after="120" w:line="440" w:lineRule="exact"/>
      <w:ind w:left="542" w:leftChars="-12" w:firstLine="200" w:firstLineChars="200"/>
      <w:jc w:val="left"/>
    </w:pPr>
    <w:rPr>
      <w:rFonts w:ascii="Garamond" w:hAnsi="Garamond" w:eastAsia="Calibri" w:cs="Garamond"/>
      <w:bCs w:val="0"/>
      <w:sz w:val="24"/>
      <w:szCs w:val="24"/>
    </w:rPr>
  </w:style>
  <w:style w:type="paragraph" w:customStyle="1" w:styleId="1581">
    <w:name w:val="样式15"/>
    <w:basedOn w:val="5"/>
    <w:qFormat/>
    <w:uiPriority w:val="0"/>
    <w:pPr>
      <w:tabs>
        <w:tab w:val="left" w:pos="-1876"/>
        <w:tab w:val="left" w:pos="1134"/>
        <w:tab w:val="left" w:pos="1256"/>
      </w:tabs>
      <w:spacing w:before="60" w:after="60" w:line="480" w:lineRule="exact"/>
      <w:ind w:left="-1876" w:hanging="420"/>
    </w:pPr>
    <w:rPr>
      <w:rFonts w:eastAsia="宋体"/>
      <w:sz w:val="24"/>
      <w:szCs w:val="24"/>
    </w:rPr>
  </w:style>
  <w:style w:type="paragraph" w:customStyle="1" w:styleId="1582">
    <w:name w:val="表标题"/>
    <w:basedOn w:val="20"/>
    <w:qFormat/>
    <w:uiPriority w:val="0"/>
    <w:pPr>
      <w:tabs>
        <w:tab w:val="clear" w:pos="1120"/>
      </w:tabs>
      <w:spacing w:line="240" w:lineRule="auto"/>
      <w:ind w:firstLine="0"/>
    </w:pPr>
    <w:rPr>
      <w:rFonts w:ascii="宋体"/>
      <w:sz w:val="24"/>
      <w:szCs w:val="20"/>
    </w:rPr>
  </w:style>
  <w:style w:type="paragraph" w:customStyle="1" w:styleId="1583">
    <w:name w:val="样式 区划正文+小4 24 + 首行缩进:  2 字符1"/>
    <w:basedOn w:val="1"/>
    <w:qFormat/>
    <w:uiPriority w:val="0"/>
    <w:pPr>
      <w:adjustRightInd w:val="0"/>
      <w:snapToGrid w:val="0"/>
      <w:spacing w:line="460" w:lineRule="exact"/>
    </w:pPr>
    <w:rPr>
      <w:rFonts w:cs="Times New Roman"/>
      <w:szCs w:val="20"/>
    </w:rPr>
  </w:style>
  <w:style w:type="paragraph" w:customStyle="1" w:styleId="1584">
    <w:name w:val="页号"/>
    <w:basedOn w:val="55"/>
    <w:qFormat/>
    <w:uiPriority w:val="0"/>
    <w:pPr>
      <w:tabs>
        <w:tab w:val="center" w:pos="4320"/>
        <w:tab w:val="right" w:pos="8640"/>
        <w:tab w:val="clear" w:pos="4153"/>
        <w:tab w:val="clear" w:pos="8306"/>
      </w:tabs>
      <w:adjustRightInd w:val="0"/>
      <w:snapToGrid/>
      <w:ind w:firstLine="0" w:firstLineChars="0"/>
      <w:jc w:val="center"/>
    </w:pPr>
    <w:rPr>
      <w:rFonts w:ascii="宋体" w:hAnsi="Arial" w:cs="Times New Roman"/>
      <w:spacing w:val="3"/>
      <w:kern w:val="24"/>
      <w:sz w:val="24"/>
      <w:szCs w:val="20"/>
    </w:rPr>
  </w:style>
  <w:style w:type="paragraph" w:customStyle="1" w:styleId="1585">
    <w:name w:val="样式 小二 加粗 黑色 居中 段后: 12 磅"/>
    <w:basedOn w:val="84"/>
    <w:qFormat/>
    <w:uiPriority w:val="0"/>
    <w:pPr>
      <w:spacing w:after="240" w:line="460" w:lineRule="exact"/>
      <w:ind w:left="0" w:firstLine="0"/>
      <w:outlineLvl w:val="9"/>
    </w:pPr>
    <w:rPr>
      <w:color w:val="000000"/>
      <w:sz w:val="36"/>
    </w:rPr>
  </w:style>
  <w:style w:type="paragraph" w:customStyle="1" w:styleId="1586">
    <w:name w:val="题注+"/>
    <w:basedOn w:val="22"/>
    <w:next w:val="1"/>
    <w:qFormat/>
    <w:uiPriority w:val="0"/>
    <w:pPr>
      <w:keepNext/>
      <w:widowControl/>
      <w:spacing w:line="336" w:lineRule="auto"/>
      <w:outlineLvl w:val="6"/>
    </w:pPr>
    <w:rPr>
      <w:rFonts w:ascii="黑体" w:eastAsia="黑体" w:cs="Times New Roman"/>
      <w:kern w:val="0"/>
      <w:sz w:val="24"/>
      <w:szCs w:val="24"/>
    </w:rPr>
  </w:style>
  <w:style w:type="paragraph" w:customStyle="1" w:styleId="1587">
    <w:name w:val="国函"/>
    <w:next w:val="1"/>
    <w:qFormat/>
    <w:uiPriority w:val="0"/>
    <w:pPr>
      <w:adjustRightInd w:val="0"/>
      <w:spacing w:after="300"/>
      <w:jc w:val="center"/>
    </w:pPr>
    <w:rPr>
      <w:rFonts w:ascii="Times New Roman" w:hAnsi="Times New Roman" w:eastAsia="楷体_GB2312" w:cs="Times New Roman"/>
      <w:lang w:val="en-US" w:eastAsia="zh-CN" w:bidi="ar-SA"/>
    </w:rPr>
  </w:style>
  <w:style w:type="paragraph" w:customStyle="1" w:styleId="1588">
    <w:name w:val="zxl正文首行缩进  2 字符 行距: Char Char"/>
    <w:basedOn w:val="1"/>
    <w:qFormat/>
    <w:uiPriority w:val="0"/>
    <w:pPr>
      <w:widowControl/>
      <w:tabs>
        <w:tab w:val="left" w:pos="-1843"/>
        <w:tab w:val="left" w:pos="0"/>
        <w:tab w:val="left" w:pos="1727"/>
        <w:tab w:val="left" w:pos="1884"/>
      </w:tabs>
      <w:ind w:firstLine="482" w:firstLineChars="0"/>
      <w:jc w:val="left"/>
      <w:outlineLvl w:val="0"/>
    </w:pPr>
    <w:rPr>
      <w:rFonts w:ascii="宋体" w:hAnsi="宋体" w:cs="Times New Roman"/>
      <w:color w:val="000000"/>
      <w:szCs w:val="20"/>
    </w:rPr>
  </w:style>
  <w:style w:type="paragraph" w:customStyle="1" w:styleId="1589">
    <w:name w:val="封面环评"/>
    <w:basedOn w:val="1"/>
    <w:qFormat/>
    <w:uiPriority w:val="0"/>
    <w:pPr>
      <w:adjustRightInd w:val="0"/>
      <w:snapToGrid w:val="0"/>
      <w:ind w:firstLine="480"/>
      <w:jc w:val="center"/>
    </w:pPr>
    <w:rPr>
      <w:rFonts w:eastAsia="楷体_GB2312" w:cs="Times New Roman"/>
      <w:b/>
      <w:bCs/>
      <w:kern w:val="0"/>
      <w:sz w:val="36"/>
      <w:szCs w:val="24"/>
    </w:rPr>
  </w:style>
  <w:style w:type="paragraph" w:customStyle="1" w:styleId="1590">
    <w:name w:val="样式 小五 居中 首行缩进:  2 字符"/>
    <w:basedOn w:val="1"/>
    <w:qFormat/>
    <w:uiPriority w:val="0"/>
    <w:pPr>
      <w:spacing w:line="240" w:lineRule="auto"/>
      <w:ind w:firstLine="0" w:firstLineChars="0"/>
      <w:jc w:val="center"/>
    </w:pPr>
    <w:rPr>
      <w:rFonts w:cs="Times New Roman"/>
      <w:sz w:val="18"/>
      <w:szCs w:val="20"/>
    </w:rPr>
  </w:style>
  <w:style w:type="paragraph" w:customStyle="1" w:styleId="1591">
    <w:name w:val="默认段落字体 Para Char Char Char Char Char Char Char"/>
    <w:basedOn w:val="1"/>
    <w:qFormat/>
    <w:uiPriority w:val="0"/>
    <w:pPr>
      <w:adjustRightInd w:val="0"/>
      <w:ind w:firstLine="0" w:firstLineChars="0"/>
    </w:pPr>
    <w:rPr>
      <w:rFonts w:cs="Times New Roman"/>
      <w:kern w:val="0"/>
      <w:szCs w:val="20"/>
    </w:rPr>
  </w:style>
  <w:style w:type="paragraph" w:customStyle="1" w:styleId="1592">
    <w:name w:val="表加粗"/>
    <w:basedOn w:val="11"/>
    <w:qFormat/>
    <w:uiPriority w:val="0"/>
    <w:pPr>
      <w:keepNext w:val="0"/>
      <w:keepLines w:val="0"/>
      <w:tabs>
        <w:tab w:val="left" w:pos="1584"/>
        <w:tab w:val="clear" w:pos="0"/>
      </w:tabs>
      <w:topLinePunct/>
      <w:adjustRightInd/>
      <w:snapToGrid w:val="0"/>
      <w:spacing w:after="0" w:line="360" w:lineRule="exact"/>
      <w:ind w:left="0" w:firstLine="0" w:firstLineChars="200"/>
      <w:jc w:val="center"/>
      <w:outlineLvl w:val="9"/>
    </w:pPr>
    <w:rPr>
      <w:rFonts w:ascii="Batang" w:hAnsi="Batang" w:eastAsia="华文仿宋" w:cs="Garamond"/>
      <w:b/>
      <w:color w:val="000000"/>
      <w:kern w:val="2"/>
      <w:szCs w:val="24"/>
    </w:rPr>
  </w:style>
  <w:style w:type="paragraph" w:customStyle="1" w:styleId="1593">
    <w:name w:val="表格用字 +  六号"/>
    <w:basedOn w:val="1"/>
    <w:qFormat/>
    <w:uiPriority w:val="0"/>
    <w:pPr>
      <w:spacing w:line="0" w:lineRule="atLeast"/>
      <w:ind w:firstLine="0" w:firstLineChars="0"/>
    </w:pPr>
    <w:rPr>
      <w:rFonts w:ascii="宋体" w:eastAsia="仿宋_GB2312" w:cs="Times New Roman"/>
      <w:sz w:val="15"/>
      <w:szCs w:val="20"/>
    </w:rPr>
  </w:style>
  <w:style w:type="paragraph" w:customStyle="1" w:styleId="1594">
    <w:name w:val="sms"/>
    <w:basedOn w:val="1"/>
    <w:qFormat/>
    <w:uiPriority w:val="0"/>
    <w:pPr>
      <w:widowControl/>
      <w:overflowPunct w:val="0"/>
      <w:autoSpaceDE w:val="0"/>
      <w:autoSpaceDN w:val="0"/>
      <w:adjustRightInd w:val="0"/>
      <w:ind w:left="2126" w:right="992" w:firstLine="709" w:firstLineChars="0"/>
      <w:jc w:val="left"/>
    </w:pPr>
    <w:rPr>
      <w:rFonts w:ascii="宋体" w:cs="Times New Roman"/>
      <w:spacing w:val="20"/>
      <w:kern w:val="0"/>
      <w:sz w:val="26"/>
      <w:szCs w:val="20"/>
    </w:rPr>
  </w:style>
  <w:style w:type="paragraph" w:customStyle="1" w:styleId="1595">
    <w:name w:val="样式 标题 1 + 段前: 17 磅 段后: 16.5 磅"/>
    <w:basedOn w:val="3"/>
    <w:qFormat/>
    <w:uiPriority w:val="0"/>
    <w:pPr>
      <w:tabs>
        <w:tab w:val="left" w:pos="1134"/>
      </w:tabs>
      <w:adjustRightInd w:val="0"/>
      <w:spacing w:line="480" w:lineRule="atLeast"/>
      <w:ind w:firstLine="723" w:firstLineChars="200"/>
    </w:pPr>
    <w:rPr>
      <w:rFonts w:eastAsia="宋体"/>
      <w:szCs w:val="20"/>
    </w:rPr>
  </w:style>
  <w:style w:type="paragraph" w:customStyle="1" w:styleId="1596">
    <w:name w:val="样式 行距: 最小值 18 磅 首行缩进:  0 字符"/>
    <w:basedOn w:val="1"/>
    <w:qFormat/>
    <w:uiPriority w:val="0"/>
    <w:pPr>
      <w:spacing w:line="480" w:lineRule="exact"/>
      <w:ind w:firstLine="567" w:firstLineChars="0"/>
    </w:pPr>
    <w:rPr>
      <w:rFonts w:cs="宋体"/>
      <w:szCs w:val="20"/>
    </w:rPr>
  </w:style>
  <w:style w:type="paragraph" w:customStyle="1" w:styleId="1597">
    <w:name w:val="样式 标题 2节标题 1.1b21.1标题2b21 Char1.1标题2 Char标题 21节标题 1.11b2..."/>
    <w:basedOn w:val="4"/>
    <w:qFormat/>
    <w:uiPriority w:val="0"/>
    <w:pPr>
      <w:widowControl/>
      <w:tabs>
        <w:tab w:val="left" w:pos="0"/>
        <w:tab w:val="left" w:pos="576"/>
      </w:tabs>
      <w:adjustRightInd w:val="0"/>
      <w:spacing w:before="360" w:line="480" w:lineRule="auto"/>
      <w:jc w:val="left"/>
    </w:pPr>
    <w:rPr>
      <w:rFonts w:ascii="黑体" w:cs="宋体"/>
      <w:b w:val="0"/>
      <w:kern w:val="0"/>
      <w:sz w:val="28"/>
      <w:szCs w:val="28"/>
    </w:rPr>
  </w:style>
  <w:style w:type="paragraph" w:customStyle="1" w:styleId="1598">
    <w:name w:val="样式 标题 1 + 加粗 首行缩进:  0 厘米"/>
    <w:basedOn w:val="3"/>
    <w:qFormat/>
    <w:uiPriority w:val="0"/>
    <w:pPr>
      <w:widowControl/>
      <w:tabs>
        <w:tab w:val="left" w:pos="360"/>
      </w:tabs>
      <w:adjustRightInd w:val="0"/>
      <w:snapToGrid w:val="0"/>
      <w:spacing w:line="480" w:lineRule="atLeast"/>
      <w:jc w:val="left"/>
    </w:pPr>
    <w:rPr>
      <w:rFonts w:eastAsia="宋体"/>
      <w:bCs w:val="0"/>
      <w:sz w:val="32"/>
      <w:szCs w:val="20"/>
    </w:rPr>
  </w:style>
  <w:style w:type="paragraph" w:customStyle="1" w:styleId="1599">
    <w:name w:val="附注，五仿"/>
    <w:qFormat/>
    <w:uiPriority w:val="0"/>
    <w:pPr>
      <w:keepNext/>
      <w:widowControl w:val="0"/>
      <w:adjustRightInd w:val="0"/>
      <w:spacing w:line="360" w:lineRule="exact"/>
      <w:ind w:left="425" w:hanging="425"/>
      <w:jc w:val="both"/>
    </w:pPr>
    <w:rPr>
      <w:rFonts w:ascii="Arial Narrow" w:hAnsi="Arial Narrow" w:eastAsia="仿宋_GB2312" w:cs="Times New Roman"/>
      <w:sz w:val="21"/>
      <w:lang w:val="en-US" w:eastAsia="zh-CN" w:bidi="ar-SA"/>
    </w:rPr>
  </w:style>
  <w:style w:type="paragraph" w:customStyle="1" w:styleId="1600">
    <w:name w:val="样式 四号 黑色 首行缩进:  2 字符"/>
    <w:basedOn w:val="1"/>
    <w:qFormat/>
    <w:uiPriority w:val="0"/>
    <w:pPr>
      <w:spacing w:line="480" w:lineRule="atLeast"/>
    </w:pPr>
    <w:rPr>
      <w:rFonts w:cs="Times New Roman"/>
      <w:color w:val="000000"/>
      <w:szCs w:val="24"/>
    </w:rPr>
  </w:style>
  <w:style w:type="paragraph" w:customStyle="1" w:styleId="1601">
    <w:name w:val="样式 正文首行缩进 + 首行缩进:  0 厘米"/>
    <w:basedOn w:val="86"/>
    <w:qFormat/>
    <w:uiPriority w:val="0"/>
    <w:pPr>
      <w:spacing w:after="0" w:line="240" w:lineRule="exact"/>
      <w:ind w:firstLine="0" w:firstLineChars="0"/>
      <w:jc w:val="left"/>
    </w:pPr>
    <w:rPr>
      <w:rFonts w:ascii="宋体" w:hAnsi="宋体" w:cs="宋体"/>
      <w:sz w:val="24"/>
      <w:szCs w:val="20"/>
    </w:rPr>
  </w:style>
  <w:style w:type="paragraph" w:customStyle="1" w:styleId="1602">
    <w:name w:val="样式 标题 2 + 段前: 1 行"/>
    <w:basedOn w:val="4"/>
    <w:qFormat/>
    <w:uiPriority w:val="0"/>
    <w:pPr>
      <w:tabs>
        <w:tab w:val="left" w:pos="927"/>
        <w:tab w:val="left" w:pos="1134"/>
      </w:tabs>
      <w:adjustRightInd w:val="0"/>
      <w:snapToGrid w:val="0"/>
      <w:spacing w:before="320" w:after="160"/>
      <w:ind w:firstLine="567"/>
      <w:jc w:val="left"/>
    </w:pPr>
    <w:rPr>
      <w:rFonts w:ascii="宋体" w:eastAsia="宋体"/>
      <w:bCs w:val="0"/>
      <w:kern w:val="0"/>
      <w:sz w:val="28"/>
      <w:szCs w:val="20"/>
    </w:rPr>
  </w:style>
  <w:style w:type="paragraph" w:customStyle="1" w:styleId="1603">
    <w:name w:val="说明-标题3"/>
    <w:basedOn w:val="5"/>
    <w:qFormat/>
    <w:uiPriority w:val="0"/>
    <w:pPr>
      <w:tabs>
        <w:tab w:val="left" w:pos="1134"/>
        <w:tab w:val="left" w:pos="1256"/>
      </w:tabs>
      <w:spacing w:before="240" w:afterLines="50" w:line="416" w:lineRule="atLeast"/>
    </w:pPr>
    <w:rPr>
      <w:rFonts w:ascii="黑体"/>
      <w:b w:val="0"/>
      <w:bCs w:val="0"/>
      <w:sz w:val="30"/>
      <w:szCs w:val="20"/>
    </w:rPr>
  </w:style>
  <w:style w:type="paragraph" w:customStyle="1" w:styleId="1604">
    <w:name w:val="subpart"/>
    <w:basedOn w:val="1"/>
    <w:qFormat/>
    <w:uiPriority w:val="0"/>
    <w:pPr>
      <w:widowControl/>
      <w:shd w:val="clear" w:color="auto" w:fill="FFFFFF"/>
      <w:spacing w:before="100" w:beforeAutospacing="1" w:after="100" w:afterAutospacing="1" w:line="240" w:lineRule="auto"/>
      <w:ind w:firstLine="0" w:firstLineChars="0"/>
      <w:jc w:val="left"/>
    </w:pPr>
    <w:rPr>
      <w:rFonts w:ascii="宋体" w:hAnsi="宋体" w:cs="宋体"/>
      <w:color w:val="0000FF"/>
      <w:kern w:val="0"/>
      <w:sz w:val="22"/>
    </w:rPr>
  </w:style>
  <w:style w:type="paragraph" w:customStyle="1" w:styleId="1605">
    <w:name w:val="样式 标题 3标题 3 Char条标题1.1.13h33rd levelH3l3CT + 段前: 0.5 行 ..."/>
    <w:basedOn w:val="5"/>
    <w:qFormat/>
    <w:uiPriority w:val="0"/>
    <w:pPr>
      <w:widowControl/>
      <w:tabs>
        <w:tab w:val="left" w:pos="720"/>
        <w:tab w:val="left" w:pos="900"/>
        <w:tab w:val="left" w:pos="1260"/>
        <w:tab w:val="left" w:pos="1800"/>
      </w:tabs>
      <w:adjustRightInd w:val="0"/>
      <w:spacing w:beforeLines="50" w:afterLines="50"/>
      <w:ind w:left="1080" w:hanging="1080"/>
      <w:jc w:val="left"/>
    </w:pPr>
    <w:rPr>
      <w:rFonts w:ascii="宋体" w:hAnsi="宋体" w:eastAsia="宋体" w:cs="宋体"/>
      <w:b w:val="0"/>
      <w:bCs w:val="0"/>
      <w:szCs w:val="28"/>
    </w:rPr>
  </w:style>
  <w:style w:type="paragraph" w:customStyle="1" w:styleId="1606">
    <w:name w:val="样式 标题 2标题2二级 标题 2H2h2第一层条标题 2 Char节标题节11 Char标题 2 Cha...1"/>
    <w:basedOn w:val="4"/>
    <w:qFormat/>
    <w:uiPriority w:val="0"/>
    <w:pPr>
      <w:keepNext w:val="0"/>
      <w:keepLines w:val="0"/>
      <w:adjustRightInd w:val="0"/>
      <w:spacing w:before="240" w:after="240" w:line="360" w:lineRule="exact"/>
      <w:ind w:left="578" w:hanging="578"/>
    </w:pPr>
    <w:rPr>
      <w:rFonts w:ascii="Tahoma" w:hAnsi="Tahoma" w:eastAsia="华文仿宋" w:cs="Garamond"/>
      <w:smallCaps/>
      <w:sz w:val="24"/>
      <w:szCs w:val="21"/>
    </w:rPr>
  </w:style>
  <w:style w:type="paragraph" w:customStyle="1" w:styleId="1607">
    <w:name w:val="样式 标题 3标题 3 Char Char标题 3 Char Char Char Char Char标题 3 Char C...3"/>
    <w:basedOn w:val="5"/>
    <w:qFormat/>
    <w:uiPriority w:val="0"/>
    <w:pPr>
      <w:tabs>
        <w:tab w:val="left" w:pos="4500"/>
      </w:tabs>
      <w:adjustRightInd w:val="0"/>
      <w:snapToGrid w:val="0"/>
      <w:spacing w:before="62" w:after="62" w:line="400" w:lineRule="exact"/>
    </w:pPr>
    <w:rPr>
      <w:rFonts w:eastAsia="宋体" w:cs="宋体"/>
      <w:kern w:val="0"/>
      <w:sz w:val="24"/>
      <w:szCs w:val="24"/>
    </w:rPr>
  </w:style>
  <w:style w:type="paragraph" w:customStyle="1" w:styleId="1608">
    <w:name w:val="说明-正文"/>
    <w:basedOn w:val="1"/>
    <w:qFormat/>
    <w:uiPriority w:val="0"/>
    <w:pPr>
      <w:adjustRightInd w:val="0"/>
      <w:snapToGrid w:val="0"/>
      <w:ind w:firstLine="480"/>
    </w:pPr>
    <w:rPr>
      <w:rFonts w:cs="Times New Roman"/>
      <w:kern w:val="0"/>
      <w:szCs w:val="20"/>
    </w:rPr>
  </w:style>
  <w:style w:type="paragraph" w:customStyle="1" w:styleId="1609">
    <w:name w:val="5文章(治)"/>
    <w:basedOn w:val="1"/>
    <w:link w:val="1610"/>
    <w:qFormat/>
    <w:uiPriority w:val="0"/>
    <w:pPr>
      <w:ind w:firstLine="480"/>
    </w:pPr>
    <w:rPr>
      <w:rFonts w:cs="Times New Roman"/>
      <w:szCs w:val="24"/>
    </w:rPr>
  </w:style>
  <w:style w:type="character" w:customStyle="1" w:styleId="1610">
    <w:name w:val="5文章(治) Char Char"/>
    <w:link w:val="1609"/>
    <w:qFormat/>
    <w:locked/>
    <w:uiPriority w:val="0"/>
    <w:rPr>
      <w:rFonts w:ascii="Times New Roman" w:hAnsi="Times New Roman" w:eastAsia="宋体" w:cs="Times New Roman"/>
      <w:sz w:val="24"/>
      <w:szCs w:val="24"/>
    </w:rPr>
  </w:style>
  <w:style w:type="paragraph" w:customStyle="1" w:styleId="1611">
    <w:name w:val="8说明(治)"/>
    <w:basedOn w:val="1"/>
    <w:next w:val="1609"/>
    <w:qFormat/>
    <w:uiPriority w:val="0"/>
    <w:pPr>
      <w:spacing w:line="440" w:lineRule="exact"/>
      <w:ind w:firstLine="480"/>
    </w:pPr>
    <w:rPr>
      <w:rFonts w:ascii="宋体" w:hAnsi="宋体" w:cs="Times New Roman"/>
      <w:szCs w:val="20"/>
    </w:rPr>
  </w:style>
  <w:style w:type="paragraph" w:customStyle="1" w:styleId="1612">
    <w:name w:val="4正文"/>
    <w:basedOn w:val="1"/>
    <w:qFormat/>
    <w:uiPriority w:val="0"/>
    <w:pPr>
      <w:widowControl/>
      <w:spacing w:line="440" w:lineRule="exact"/>
      <w:jc w:val="left"/>
    </w:pPr>
    <w:rPr>
      <w:rFonts w:ascii="Calibri" w:hAnsi="Calibri" w:cs="宋体"/>
      <w:kern w:val="0"/>
      <w:szCs w:val="24"/>
    </w:rPr>
  </w:style>
  <w:style w:type="paragraph" w:customStyle="1" w:styleId="1613">
    <w:name w:val="说明-标题2"/>
    <w:basedOn w:val="4"/>
    <w:qFormat/>
    <w:uiPriority w:val="0"/>
    <w:pPr>
      <w:pageBreakBefore/>
      <w:tabs>
        <w:tab w:val="left" w:pos="927"/>
        <w:tab w:val="left" w:pos="1134"/>
      </w:tabs>
      <w:spacing w:before="156" w:after="156" w:line="416" w:lineRule="atLeast"/>
    </w:pPr>
    <w:rPr>
      <w:rFonts w:ascii="Arial" w:hAnsi="Arial"/>
      <w:bCs w:val="0"/>
      <w:sz w:val="36"/>
      <w:szCs w:val="20"/>
    </w:rPr>
  </w:style>
  <w:style w:type="paragraph" w:customStyle="1" w:styleId="1614">
    <w:name w:val="reserved"/>
    <w:basedOn w:val="1"/>
    <w:qFormat/>
    <w:uiPriority w:val="0"/>
    <w:pPr>
      <w:widowControl/>
      <w:shd w:val="clear" w:color="auto" w:fill="FFFFFF"/>
      <w:spacing w:before="100" w:beforeAutospacing="1" w:after="100" w:afterAutospacing="1" w:line="240" w:lineRule="auto"/>
      <w:ind w:firstLine="0" w:firstLineChars="0"/>
      <w:jc w:val="left"/>
    </w:pPr>
    <w:rPr>
      <w:rFonts w:ascii="宋体" w:hAnsi="宋体" w:cs="宋体"/>
      <w:color w:val="FF0000"/>
      <w:kern w:val="0"/>
      <w:szCs w:val="24"/>
    </w:rPr>
  </w:style>
  <w:style w:type="paragraph" w:customStyle="1" w:styleId="1615">
    <w:name w:val="样式 样式 标题 3 + 段前: 0 磅 段后: 0 磅 行距: 1.5 倍行距 + 非加粗"/>
    <w:basedOn w:val="1"/>
    <w:qFormat/>
    <w:uiPriority w:val="0"/>
    <w:pPr>
      <w:spacing w:before="80" w:after="80"/>
      <w:ind w:left="249" w:firstLine="480"/>
      <w:jc w:val="left"/>
      <w:outlineLvl w:val="2"/>
    </w:pPr>
    <w:rPr>
      <w:rFonts w:cs="Times New Roman"/>
      <w:b/>
      <w:sz w:val="28"/>
      <w:szCs w:val="20"/>
    </w:rPr>
  </w:style>
  <w:style w:type="paragraph" w:customStyle="1" w:styleId="1616">
    <w:name w:val="表格用字"/>
    <w:basedOn w:val="76"/>
    <w:qFormat/>
    <w:uiPriority w:val="0"/>
    <w:pPr>
      <w:autoSpaceDE/>
      <w:autoSpaceDN/>
      <w:adjustRightInd/>
      <w:spacing w:before="156" w:line="0" w:lineRule="atLeast"/>
    </w:pPr>
    <w:rPr>
      <w:rFonts w:eastAsia="仿宋_GB2312"/>
      <w:color w:val="auto"/>
      <w:lang w:val="en-US"/>
    </w:rPr>
  </w:style>
  <w:style w:type="paragraph" w:customStyle="1" w:styleId="1617">
    <w:name w:val="zhang"/>
    <w:basedOn w:val="1"/>
    <w:qFormat/>
    <w:uiPriority w:val="0"/>
    <w:pPr>
      <w:widowControl/>
      <w:spacing w:line="440" w:lineRule="exact"/>
      <w:ind w:firstLine="720"/>
      <w:jc w:val="left"/>
    </w:pPr>
    <w:rPr>
      <w:rFonts w:ascii="宋体" w:hAnsi="宋体" w:cs="宋体"/>
      <w:b/>
      <w:bCs/>
      <w:smallCaps/>
      <w:color w:val="000000"/>
      <w:kern w:val="0"/>
      <w:sz w:val="20"/>
      <w:szCs w:val="20"/>
    </w:rPr>
  </w:style>
  <w:style w:type="paragraph" w:customStyle="1" w:styleId="1618">
    <w:name w:val="Char Char Char Char2"/>
    <w:basedOn w:val="5"/>
    <w:qFormat/>
    <w:uiPriority w:val="0"/>
    <w:pPr>
      <w:tabs>
        <w:tab w:val="left" w:pos="360"/>
        <w:tab w:val="left" w:pos="900"/>
      </w:tabs>
      <w:snapToGrid w:val="0"/>
      <w:spacing w:before="120"/>
      <w:ind w:left="542" w:leftChars="-12" w:firstLine="200" w:firstLineChars="200"/>
      <w:jc w:val="left"/>
    </w:pPr>
    <w:rPr>
      <w:b w:val="0"/>
      <w:bCs w:val="0"/>
      <w:sz w:val="24"/>
      <w:szCs w:val="24"/>
    </w:rPr>
  </w:style>
  <w:style w:type="paragraph" w:customStyle="1" w:styleId="1619">
    <w:name w:val="ljw表格"/>
    <w:basedOn w:val="1"/>
    <w:next w:val="1"/>
    <w:qFormat/>
    <w:uiPriority w:val="0"/>
    <w:pPr>
      <w:adjustRightInd w:val="0"/>
      <w:snapToGrid w:val="0"/>
      <w:spacing w:beforeLines="25" w:line="240" w:lineRule="auto"/>
      <w:ind w:firstLine="0" w:firstLineChars="0"/>
      <w:jc w:val="center"/>
    </w:pPr>
    <w:rPr>
      <w:rFonts w:ascii="宋体" w:hAnsi="宋体" w:cs="Times New Roman"/>
      <w:bCs/>
      <w:sz w:val="22"/>
      <w:szCs w:val="28"/>
    </w:rPr>
  </w:style>
  <w:style w:type="paragraph" w:customStyle="1" w:styleId="1620">
    <w:name w:val="表后文"/>
    <w:basedOn w:val="1"/>
    <w:qFormat/>
    <w:uiPriority w:val="0"/>
    <w:pPr>
      <w:adjustRightInd w:val="0"/>
      <w:spacing w:before="120" w:line="400" w:lineRule="exact"/>
      <w:ind w:firstLine="601" w:firstLineChars="0"/>
    </w:pPr>
    <w:rPr>
      <w:rFonts w:eastAsia="楷体_GB2312" w:cs="Times New Roman"/>
      <w:spacing w:val="8"/>
      <w:kern w:val="0"/>
      <w:sz w:val="28"/>
      <w:szCs w:val="20"/>
    </w:rPr>
  </w:style>
  <w:style w:type="paragraph" w:customStyle="1" w:styleId="1621">
    <w:name w:val="样式 小四 首行缩进:  2 字符"/>
    <w:basedOn w:val="1"/>
    <w:next w:val="1155"/>
    <w:qFormat/>
    <w:uiPriority w:val="0"/>
    <w:pPr>
      <w:adjustRightInd w:val="0"/>
      <w:spacing w:line="480" w:lineRule="atLeast"/>
      <w:ind w:firstLine="180" w:firstLineChars="180"/>
    </w:pPr>
    <w:rPr>
      <w:rFonts w:cs="Times New Roman"/>
      <w:kern w:val="0"/>
      <w:szCs w:val="20"/>
    </w:rPr>
  </w:style>
  <w:style w:type="paragraph" w:customStyle="1" w:styleId="1622">
    <w:name w:val="表——索引"/>
    <w:basedOn w:val="1"/>
    <w:qFormat/>
    <w:uiPriority w:val="0"/>
    <w:pPr>
      <w:widowControl/>
      <w:ind w:firstLine="0" w:firstLineChars="0"/>
      <w:jc w:val="center"/>
    </w:pPr>
    <w:rPr>
      <w:rFonts w:ascii="宋体" w:hAnsi="宋体" w:cs="Times New Roman"/>
      <w:color w:val="000000"/>
      <w:szCs w:val="24"/>
    </w:rPr>
  </w:style>
  <w:style w:type="paragraph" w:customStyle="1" w:styleId="1623">
    <w:name w:val="Normal2"/>
    <w:basedOn w:val="1"/>
    <w:qFormat/>
    <w:uiPriority w:val="0"/>
    <w:pPr>
      <w:adjustRightInd w:val="0"/>
      <w:spacing w:line="480" w:lineRule="exact"/>
      <w:ind w:firstLine="720"/>
    </w:pPr>
    <w:rPr>
      <w:rFonts w:cs="Times New Roman"/>
      <w:spacing w:val="-2"/>
      <w:kern w:val="0"/>
      <w:sz w:val="28"/>
      <w:szCs w:val="24"/>
    </w:rPr>
  </w:style>
  <w:style w:type="paragraph" w:customStyle="1" w:styleId="1624">
    <w:name w:val="样式 首行缩进:  2 字符 行距: 固定值 29 磅"/>
    <w:basedOn w:val="1"/>
    <w:qFormat/>
    <w:uiPriority w:val="0"/>
    <w:pPr>
      <w:spacing w:line="480" w:lineRule="exact"/>
    </w:pPr>
    <w:rPr>
      <w:rFonts w:cs="宋体"/>
      <w:szCs w:val="20"/>
    </w:rPr>
  </w:style>
  <w:style w:type="paragraph" w:customStyle="1" w:styleId="1625">
    <w:name w:val="Char6 Char Char Char Char Char Char Char Char Char2"/>
    <w:basedOn w:val="1"/>
    <w:qFormat/>
    <w:uiPriority w:val="0"/>
    <w:pPr>
      <w:spacing w:line="240" w:lineRule="auto"/>
      <w:ind w:firstLine="0" w:firstLineChars="0"/>
    </w:pPr>
    <w:rPr>
      <w:rFonts w:ascii="宋体" w:hAnsi="宋体" w:cs="Times New Roman"/>
      <w:color w:val="000000"/>
      <w:sz w:val="28"/>
      <w:szCs w:val="20"/>
    </w:rPr>
  </w:style>
  <w:style w:type="paragraph" w:customStyle="1" w:styleId="1626">
    <w:name w:val="样式 标题 1 + 首行缩进:  0 厘米"/>
    <w:basedOn w:val="3"/>
    <w:qFormat/>
    <w:uiPriority w:val="0"/>
    <w:pPr>
      <w:tabs>
        <w:tab w:val="left" w:pos="360"/>
      </w:tabs>
      <w:adjustRightInd w:val="0"/>
      <w:snapToGrid w:val="0"/>
      <w:ind w:firstLine="567"/>
      <w:jc w:val="left"/>
    </w:pPr>
    <w:rPr>
      <w:rFonts w:eastAsia="宋体"/>
      <w:bCs w:val="0"/>
      <w:sz w:val="32"/>
      <w:szCs w:val="20"/>
    </w:rPr>
  </w:style>
  <w:style w:type="paragraph" w:customStyle="1" w:styleId="1627">
    <w:name w:val="Char6 Char Char Char Char Char Char Char Char Char"/>
    <w:basedOn w:val="1"/>
    <w:qFormat/>
    <w:uiPriority w:val="0"/>
    <w:pPr>
      <w:spacing w:line="240" w:lineRule="auto"/>
      <w:ind w:firstLine="0" w:firstLineChars="0"/>
    </w:pPr>
    <w:rPr>
      <w:rFonts w:ascii="宋体" w:hAnsi="宋体" w:cs="Times New Roman"/>
      <w:color w:val="000000"/>
      <w:sz w:val="28"/>
      <w:szCs w:val="20"/>
    </w:rPr>
  </w:style>
  <w:style w:type="paragraph" w:customStyle="1" w:styleId="1628">
    <w:name w:val="SCIDI环评表格"/>
    <w:basedOn w:val="1"/>
    <w:qFormat/>
    <w:uiPriority w:val="0"/>
    <w:pPr>
      <w:adjustRightInd w:val="0"/>
      <w:snapToGrid w:val="0"/>
      <w:spacing w:line="240" w:lineRule="auto"/>
      <w:ind w:firstLine="0" w:firstLineChars="0"/>
      <w:jc w:val="center"/>
    </w:pPr>
    <w:rPr>
      <w:rFonts w:cs="Times New Roman"/>
      <w:kern w:val="0"/>
      <w:sz w:val="21"/>
    </w:rPr>
  </w:style>
  <w:style w:type="paragraph" w:customStyle="1" w:styleId="1629">
    <w:name w:val="CM113"/>
    <w:basedOn w:val="157"/>
    <w:next w:val="157"/>
    <w:qFormat/>
    <w:uiPriority w:val="0"/>
    <w:pPr>
      <w:spacing w:after="62"/>
    </w:pPr>
    <w:rPr>
      <w:rFonts w:ascii="华文中宋" w:hAnsi="Chicago" w:eastAsia="华文中宋" w:cs="Chicago"/>
      <w:color w:val="auto"/>
    </w:rPr>
  </w:style>
  <w:style w:type="paragraph" w:customStyle="1" w:styleId="1630">
    <w:name w:val="说明-标题4"/>
    <w:basedOn w:val="6"/>
    <w:qFormat/>
    <w:uiPriority w:val="0"/>
    <w:pPr>
      <w:tabs>
        <w:tab w:val="left" w:pos="1134"/>
        <w:tab w:val="left" w:pos="1630"/>
      </w:tabs>
      <w:spacing w:before="240" w:after="288" w:line="376" w:lineRule="atLeast"/>
      <w:ind w:left="240" w:leftChars="100"/>
    </w:pPr>
    <w:rPr>
      <w:rFonts w:ascii="Arial" w:hAnsi="Arial" w:eastAsia="宋体" w:cs="Times New Roman"/>
      <w:b w:val="0"/>
      <w:bCs w:val="0"/>
      <w:szCs w:val="20"/>
    </w:rPr>
  </w:style>
  <w:style w:type="paragraph" w:customStyle="1" w:styleId="1631">
    <w:name w:val="样式 标题 3 + 加粗 行距: 多倍行距 1.25 字行"/>
    <w:basedOn w:val="5"/>
    <w:qFormat/>
    <w:uiPriority w:val="0"/>
    <w:pPr>
      <w:spacing w:before="60" w:after="60" w:line="300" w:lineRule="auto"/>
      <w:ind w:firstLine="561" w:firstLineChars="200"/>
    </w:pPr>
    <w:rPr>
      <w:rFonts w:ascii="Verdana" w:hAnsi="Verdana" w:eastAsia="仿宋_GB2312" w:cs="宋体"/>
      <w:b w:val="0"/>
      <w:bCs w:val="0"/>
      <w:kern w:val="0"/>
      <w:sz w:val="30"/>
      <w:szCs w:val="24"/>
    </w:rPr>
  </w:style>
  <w:style w:type="paragraph" w:customStyle="1" w:styleId="1632">
    <w:name w:val="样式 正文文本缩进 2正文文字缩进 2 + 自动设置 首行缩进:  2 字符"/>
    <w:basedOn w:val="51"/>
    <w:qFormat/>
    <w:uiPriority w:val="0"/>
    <w:pPr>
      <w:tabs>
        <w:tab w:val="left" w:pos="4500"/>
      </w:tabs>
      <w:snapToGrid w:val="0"/>
      <w:spacing w:after="0" w:line="440" w:lineRule="exact"/>
      <w:ind w:left="0" w:leftChars="0"/>
    </w:pPr>
    <w:rPr>
      <w:rFonts w:ascii="宋体" w:hAnsi="宋体" w:cs="Times New Roman"/>
      <w:szCs w:val="20"/>
    </w:rPr>
  </w:style>
  <w:style w:type="paragraph" w:customStyle="1" w:styleId="1633">
    <w:name w:val="标题1-自建"/>
    <w:basedOn w:val="3"/>
    <w:qFormat/>
    <w:uiPriority w:val="0"/>
    <w:pPr>
      <w:spacing w:line="576" w:lineRule="auto"/>
      <w:jc w:val="center"/>
    </w:pPr>
    <w:rPr>
      <w:rFonts w:ascii="Verdana" w:hAnsi="Verdana" w:eastAsia="宋体" w:cs="宋体"/>
      <w:bCs w:val="0"/>
      <w:sz w:val="28"/>
      <w:szCs w:val="20"/>
    </w:rPr>
  </w:style>
  <w:style w:type="paragraph" w:customStyle="1" w:styleId="1634">
    <w:name w:val="样式 样式 标题 2 + 加粗 段前: 1 行 + 四号 首行缩进:  0 厘米"/>
    <w:basedOn w:val="1"/>
    <w:qFormat/>
    <w:uiPriority w:val="0"/>
    <w:pPr>
      <w:keepNext/>
      <w:keepLines/>
      <w:adjustRightInd w:val="0"/>
      <w:spacing w:before="320" w:after="200" w:line="240" w:lineRule="auto"/>
      <w:ind w:firstLine="567" w:firstLineChars="0"/>
      <w:jc w:val="left"/>
    </w:pPr>
    <w:rPr>
      <w:rFonts w:ascii="宋体" w:cs="Times New Roman"/>
      <w:b/>
      <w:kern w:val="0"/>
      <w:sz w:val="28"/>
      <w:szCs w:val="20"/>
    </w:rPr>
  </w:style>
  <w:style w:type="paragraph" w:customStyle="1" w:styleId="1635">
    <w:name w:val="标题5-自建"/>
    <w:basedOn w:val="7"/>
    <w:qFormat/>
    <w:uiPriority w:val="0"/>
    <w:pPr>
      <w:keepLines/>
      <w:autoSpaceDE/>
      <w:autoSpaceDN/>
      <w:adjustRightInd/>
      <w:spacing w:line="900" w:lineRule="exact"/>
      <w:ind w:firstLine="480" w:firstLineChars="200"/>
      <w:jc w:val="left"/>
    </w:pPr>
    <w:rPr>
      <w:rFonts w:ascii="Arial" w:hAnsi="Arial" w:cs="Times New Roman"/>
      <w:bCs/>
      <w:color w:val="000000"/>
      <w:sz w:val="24"/>
      <w:szCs w:val="24"/>
      <w:lang w:val="en-US"/>
    </w:rPr>
  </w:style>
  <w:style w:type="paragraph" w:customStyle="1" w:styleId="1636">
    <w:name w:val="Document Label"/>
    <w:basedOn w:val="1"/>
    <w:next w:val="1"/>
    <w:qFormat/>
    <w:uiPriority w:val="0"/>
    <w:pPr>
      <w:widowControl/>
      <w:spacing w:after="220" w:line="240" w:lineRule="auto"/>
      <w:ind w:right="-360" w:firstLine="0" w:firstLineChars="0"/>
      <w:jc w:val="left"/>
    </w:pPr>
    <w:rPr>
      <w:rFonts w:cs="Times New Roman"/>
      <w:spacing w:val="-20"/>
      <w:kern w:val="0"/>
      <w:sz w:val="48"/>
      <w:szCs w:val="20"/>
    </w:rPr>
  </w:style>
  <w:style w:type="paragraph" w:customStyle="1" w:styleId="1637">
    <w:name w:val="样式 小五 首行缩进:  2 字符"/>
    <w:basedOn w:val="1"/>
    <w:qFormat/>
    <w:uiPriority w:val="0"/>
    <w:pPr>
      <w:spacing w:line="240" w:lineRule="auto"/>
      <w:ind w:firstLine="0" w:firstLineChars="0"/>
    </w:pPr>
    <w:rPr>
      <w:rFonts w:cs="Times New Roman"/>
      <w:sz w:val="18"/>
      <w:szCs w:val="20"/>
    </w:rPr>
  </w:style>
  <w:style w:type="paragraph" w:customStyle="1" w:styleId="1638">
    <w:name w:val="表格用字 Char Char"/>
    <w:basedOn w:val="76"/>
    <w:qFormat/>
    <w:uiPriority w:val="0"/>
    <w:pPr>
      <w:autoSpaceDE/>
      <w:autoSpaceDN/>
      <w:adjustRightInd/>
      <w:spacing w:line="0" w:lineRule="atLeast"/>
    </w:pPr>
    <w:rPr>
      <w:rFonts w:eastAsia="仿宋_GB2312"/>
      <w:color w:val="auto"/>
      <w:lang w:val="en-US"/>
    </w:rPr>
  </w:style>
  <w:style w:type="paragraph" w:customStyle="1" w:styleId="1639">
    <w:name w:val="说明-正文-公式"/>
    <w:basedOn w:val="1608"/>
    <w:qFormat/>
    <w:uiPriority w:val="0"/>
    <w:pPr>
      <w:ind w:firstLine="200"/>
    </w:pPr>
  </w:style>
  <w:style w:type="character" w:customStyle="1" w:styleId="1640">
    <w:name w:val="图表名 Char Char"/>
    <w:link w:val="1641"/>
    <w:qFormat/>
    <w:locked/>
    <w:uiPriority w:val="0"/>
    <w:rPr>
      <w:rFonts w:ascii="宋体" w:hAnsi="Courier New" w:eastAsia="宋体"/>
      <w:b/>
      <w:bCs/>
      <w:sz w:val="24"/>
      <w:szCs w:val="28"/>
    </w:rPr>
  </w:style>
  <w:style w:type="paragraph" w:customStyle="1" w:styleId="1641">
    <w:name w:val="图表名"/>
    <w:basedOn w:val="1"/>
    <w:link w:val="1640"/>
    <w:qFormat/>
    <w:uiPriority w:val="0"/>
    <w:pPr>
      <w:adjustRightInd w:val="0"/>
      <w:snapToGrid w:val="0"/>
      <w:spacing w:beforeLines="30" w:line="440" w:lineRule="exact"/>
      <w:ind w:firstLine="480"/>
      <w:jc w:val="center"/>
    </w:pPr>
    <w:rPr>
      <w:rFonts w:ascii="宋体" w:hAnsi="Courier New"/>
      <w:b/>
      <w:bCs/>
      <w:szCs w:val="28"/>
    </w:rPr>
  </w:style>
  <w:style w:type="paragraph" w:customStyle="1" w:styleId="1642">
    <w:name w:val="样式 标题 3 + Times New Roman 四号 加粗"/>
    <w:basedOn w:val="5"/>
    <w:qFormat/>
    <w:uiPriority w:val="0"/>
    <w:pPr>
      <w:tabs>
        <w:tab w:val="left" w:pos="1134"/>
        <w:tab w:val="left" w:pos="1256"/>
      </w:tabs>
      <w:adjustRightInd w:val="0"/>
      <w:snapToGrid w:val="0"/>
      <w:spacing w:before="120" w:after="120" w:line="320" w:lineRule="atLeast"/>
    </w:pPr>
    <w:rPr>
      <w:rFonts w:ascii="宋体" w:hAnsi="宋体" w:eastAsia="楷体_GB2312"/>
      <w:kern w:val="0"/>
      <w:szCs w:val="28"/>
    </w:rPr>
  </w:style>
  <w:style w:type="paragraph" w:customStyle="1" w:styleId="1643">
    <w:name w:val="标题 2新"/>
    <w:basedOn w:val="4"/>
    <w:qFormat/>
    <w:uiPriority w:val="0"/>
    <w:pPr>
      <w:widowControl/>
      <w:tabs>
        <w:tab w:val="left" w:pos="612"/>
      </w:tabs>
      <w:snapToGrid w:val="0"/>
      <w:spacing w:before="120" w:after="120"/>
    </w:pPr>
    <w:rPr>
      <w:rFonts w:ascii="Arial" w:hAnsi="Arial" w:eastAsia="宋体"/>
      <w:bCs w:val="0"/>
      <w:kern w:val="28"/>
      <w:szCs w:val="20"/>
    </w:rPr>
  </w:style>
  <w:style w:type="character" w:customStyle="1" w:styleId="1644">
    <w:name w:val="正文000 Char Char"/>
    <w:link w:val="1645"/>
    <w:qFormat/>
    <w:locked/>
    <w:uiPriority w:val="0"/>
    <w:rPr>
      <w:sz w:val="24"/>
    </w:rPr>
  </w:style>
  <w:style w:type="paragraph" w:customStyle="1" w:styleId="1645">
    <w:name w:val="正文000"/>
    <w:basedOn w:val="1"/>
    <w:link w:val="1644"/>
    <w:qFormat/>
    <w:uiPriority w:val="0"/>
    <w:pPr>
      <w:spacing w:afterLines="50" w:line="288" w:lineRule="auto"/>
      <w:ind w:firstLine="480"/>
    </w:pPr>
    <w:rPr>
      <w:rFonts w:asciiTheme="minorHAnsi" w:hAnsiTheme="minorHAnsi" w:eastAsiaTheme="minorEastAsia"/>
    </w:rPr>
  </w:style>
  <w:style w:type="paragraph" w:customStyle="1" w:styleId="1646">
    <w:name w:val="样式 样式 首行缩进:  2 字符 行距: 1.5 倍行距 + 首行缩进:  2 字符"/>
    <w:basedOn w:val="1360"/>
    <w:qFormat/>
    <w:uiPriority w:val="0"/>
    <w:pPr>
      <w:spacing w:line="480" w:lineRule="exact"/>
    </w:pPr>
  </w:style>
  <w:style w:type="paragraph" w:customStyle="1" w:styleId="1647">
    <w:name w:val="标题  1"/>
    <w:basedOn w:val="1"/>
    <w:qFormat/>
    <w:uiPriority w:val="0"/>
    <w:pPr>
      <w:tabs>
        <w:tab w:val="left" w:pos="425"/>
        <w:tab w:val="left" w:pos="840"/>
      </w:tabs>
      <w:ind w:left="840" w:hanging="360"/>
    </w:pPr>
    <w:rPr>
      <w:rFonts w:ascii="Tahoma" w:hAnsi="Tahoma" w:cs="Times New Roman"/>
      <w:szCs w:val="20"/>
    </w:rPr>
  </w:style>
  <w:style w:type="paragraph" w:customStyle="1" w:styleId="1648">
    <w:name w:val="样式 标题 2 + 宋体 行距: 最小值 20 磅1"/>
    <w:basedOn w:val="4"/>
    <w:qFormat/>
    <w:uiPriority w:val="0"/>
    <w:pPr>
      <w:tabs>
        <w:tab w:val="left" w:pos="1700"/>
        <w:tab w:val="left" w:pos="3765"/>
      </w:tabs>
      <w:spacing w:before="120" w:after="120" w:line="400" w:lineRule="atLeast"/>
      <w:ind w:left="1700" w:hanging="720"/>
    </w:pPr>
    <w:rPr>
      <w:rFonts w:ascii="宋体" w:hAnsi="宋体" w:eastAsia="宋体"/>
      <w:bCs w:val="0"/>
      <w:color w:val="000000"/>
      <w:sz w:val="28"/>
      <w:szCs w:val="20"/>
    </w:rPr>
  </w:style>
  <w:style w:type="paragraph" w:customStyle="1" w:styleId="1649">
    <w:name w:val="条-成果 Char"/>
    <w:basedOn w:val="5"/>
    <w:qFormat/>
    <w:uiPriority w:val="0"/>
    <w:pPr>
      <w:tabs>
        <w:tab w:val="left" w:pos="1440"/>
      </w:tabs>
      <w:spacing w:before="156" w:after="156" w:line="400" w:lineRule="exact"/>
      <w:ind w:left="1440" w:hanging="720"/>
      <w:outlineLvl w:val="9"/>
    </w:pPr>
    <w:rPr>
      <w:rFonts w:ascii="宋体" w:hAnsi="宋体" w:eastAsia="宋体"/>
      <w:b w:val="0"/>
      <w:bCs w:val="0"/>
      <w:sz w:val="24"/>
      <w:szCs w:val="20"/>
    </w:rPr>
  </w:style>
  <w:style w:type="paragraph" w:customStyle="1" w:styleId="1650">
    <w:name w:val="Tabella"/>
    <w:basedOn w:val="1"/>
    <w:qFormat/>
    <w:uiPriority w:val="0"/>
    <w:pPr>
      <w:widowControl/>
      <w:tabs>
        <w:tab w:val="left" w:pos="851"/>
        <w:tab w:val="left" w:pos="3969"/>
        <w:tab w:val="right" w:pos="5387"/>
        <w:tab w:val="left" w:pos="6237"/>
      </w:tabs>
      <w:spacing w:before="120" w:line="440" w:lineRule="exact"/>
      <w:ind w:firstLine="720"/>
    </w:pPr>
    <w:rPr>
      <w:rFonts w:ascii="Batang" w:hAnsi="Batang" w:cs="Batang"/>
      <w:kern w:val="0"/>
      <w:sz w:val="20"/>
      <w:szCs w:val="24"/>
      <w:lang w:val="en-GB" w:eastAsia="it-IT"/>
    </w:rPr>
  </w:style>
  <w:style w:type="paragraph" w:customStyle="1" w:styleId="1651">
    <w:name w:val="图题"/>
    <w:basedOn w:val="21"/>
    <w:qFormat/>
    <w:uiPriority w:val="0"/>
    <w:pPr>
      <w:widowControl/>
      <w:adjustRightInd w:val="0"/>
      <w:snapToGrid w:val="0"/>
      <w:ind w:firstLine="0"/>
      <w:jc w:val="center"/>
    </w:pPr>
    <w:rPr>
      <w:rFonts w:ascii="Courier New" w:eastAsia="Courier New" w:hAnsiTheme="minorHAnsi" w:cstheme="minorBidi"/>
      <w:sz w:val="24"/>
      <w:szCs w:val="22"/>
    </w:rPr>
  </w:style>
  <w:style w:type="paragraph" w:customStyle="1" w:styleId="1652">
    <w:name w:val="样式 行距: 最小值 24 磅"/>
    <w:basedOn w:val="1"/>
    <w:qFormat/>
    <w:uiPriority w:val="0"/>
    <w:pPr>
      <w:spacing w:line="480" w:lineRule="exact"/>
      <w:ind w:firstLine="567" w:firstLineChars="0"/>
    </w:pPr>
    <w:rPr>
      <w:rFonts w:cs="宋体"/>
      <w:kern w:val="0"/>
      <w:szCs w:val="20"/>
    </w:rPr>
  </w:style>
  <w:style w:type="paragraph" w:customStyle="1" w:styleId="1653">
    <w:name w:val="列表 31"/>
    <w:basedOn w:val="1"/>
    <w:qFormat/>
    <w:uiPriority w:val="0"/>
    <w:pPr>
      <w:spacing w:line="480" w:lineRule="exact"/>
      <w:ind w:left="100" w:leftChars="400" w:hanging="200" w:hangingChars="200"/>
    </w:pPr>
    <w:rPr>
      <w:rFonts w:ascii="Tahoma" w:hAnsi="Tahoma" w:cs="Garamond"/>
      <w:kern w:val="0"/>
      <w:szCs w:val="24"/>
    </w:rPr>
  </w:style>
  <w:style w:type="paragraph" w:customStyle="1" w:styleId="1654">
    <w:name w:val="样式 行距: 最小值 18 磅"/>
    <w:basedOn w:val="1"/>
    <w:qFormat/>
    <w:uiPriority w:val="0"/>
    <w:pPr>
      <w:spacing w:line="480" w:lineRule="exact"/>
      <w:ind w:firstLine="567" w:firstLineChars="0"/>
    </w:pPr>
    <w:rPr>
      <w:rFonts w:cs="宋体"/>
      <w:kern w:val="0"/>
      <w:szCs w:val="20"/>
    </w:rPr>
  </w:style>
  <w:style w:type="paragraph" w:customStyle="1" w:styleId="1655">
    <w:name w:val="样式 日期 + 首行缩进:  2 字符"/>
    <w:basedOn w:val="50"/>
    <w:qFormat/>
    <w:uiPriority w:val="0"/>
    <w:pPr>
      <w:spacing w:line="480" w:lineRule="exact"/>
      <w:ind w:left="0" w:leftChars="0"/>
    </w:pPr>
    <w:rPr>
      <w:rFonts w:cs="宋体"/>
      <w:szCs w:val="20"/>
    </w:rPr>
  </w:style>
  <w:style w:type="character" w:customStyle="1" w:styleId="1656">
    <w:name w:val="表格文字统一样式 Char Char"/>
    <w:link w:val="1657"/>
    <w:qFormat/>
    <w:locked/>
    <w:uiPriority w:val="0"/>
    <w:rPr>
      <w:rFonts w:ascii="华文仿宋" w:hAnsi="华文仿宋" w:eastAsia="华文仿宋"/>
    </w:rPr>
  </w:style>
  <w:style w:type="paragraph" w:customStyle="1" w:styleId="1657">
    <w:name w:val="表格文字统一样式"/>
    <w:basedOn w:val="1"/>
    <w:link w:val="1656"/>
    <w:qFormat/>
    <w:uiPriority w:val="0"/>
    <w:pPr>
      <w:widowControl/>
      <w:autoSpaceDE w:val="0"/>
      <w:autoSpaceDN w:val="0"/>
      <w:spacing w:line="440" w:lineRule="exact"/>
      <w:jc w:val="center"/>
    </w:pPr>
    <w:rPr>
      <w:rFonts w:ascii="华文仿宋" w:hAnsi="华文仿宋" w:eastAsia="华文仿宋"/>
      <w:sz w:val="21"/>
    </w:rPr>
  </w:style>
  <w:style w:type="paragraph" w:customStyle="1" w:styleId="1658">
    <w:name w:val="样式 左 首行缩进:  2 字符"/>
    <w:basedOn w:val="1"/>
    <w:qFormat/>
    <w:uiPriority w:val="0"/>
    <w:pPr>
      <w:spacing w:line="480" w:lineRule="exact"/>
      <w:jc w:val="left"/>
    </w:pPr>
    <w:rPr>
      <w:rFonts w:cs="宋体"/>
      <w:szCs w:val="20"/>
    </w:rPr>
  </w:style>
  <w:style w:type="paragraph" w:customStyle="1" w:styleId="1659">
    <w:name w:val="款，1."/>
    <w:basedOn w:val="1"/>
    <w:qFormat/>
    <w:uiPriority w:val="0"/>
    <w:pPr>
      <w:spacing w:line="460" w:lineRule="exact"/>
      <w:ind w:firstLine="567" w:firstLineChars="0"/>
      <w:outlineLvl w:val="2"/>
    </w:pPr>
    <w:rPr>
      <w:rFonts w:eastAsia="仿宋_GB2312" w:cs="Times New Roman"/>
      <w:sz w:val="28"/>
      <w:szCs w:val="20"/>
    </w:rPr>
  </w:style>
  <w:style w:type="paragraph" w:customStyle="1" w:styleId="1660">
    <w:name w:val="style4"/>
    <w:basedOn w:val="1"/>
    <w:qFormat/>
    <w:uiPriority w:val="0"/>
    <w:pPr>
      <w:widowControl/>
      <w:ind w:firstLine="420" w:firstLineChars="0"/>
    </w:pPr>
    <w:rPr>
      <w:rFonts w:cs="Times New Roman"/>
      <w:kern w:val="0"/>
      <w:sz w:val="21"/>
    </w:rPr>
  </w:style>
  <w:style w:type="paragraph" w:customStyle="1" w:styleId="1661">
    <w:name w:val="样式 宋体 左 首行缩进:  2 字符 行距: 固定值 28 磅"/>
    <w:basedOn w:val="1"/>
    <w:qFormat/>
    <w:uiPriority w:val="0"/>
    <w:pPr>
      <w:spacing w:line="480" w:lineRule="exact"/>
      <w:jc w:val="left"/>
    </w:pPr>
    <w:rPr>
      <w:rFonts w:ascii="宋体" w:cs="宋体"/>
      <w:szCs w:val="20"/>
    </w:rPr>
  </w:style>
  <w:style w:type="paragraph" w:customStyle="1" w:styleId="1662">
    <w:name w:val="样式 小四 居中 行距: 单倍行距"/>
    <w:basedOn w:val="1"/>
    <w:qFormat/>
    <w:uiPriority w:val="0"/>
    <w:pPr>
      <w:adjustRightInd w:val="0"/>
      <w:spacing w:line="440" w:lineRule="exact"/>
      <w:ind w:firstLine="0" w:firstLineChars="0"/>
      <w:jc w:val="center"/>
    </w:pPr>
    <w:rPr>
      <w:rFonts w:cs="Times New Roman"/>
      <w:color w:val="FF0000"/>
      <w:kern w:val="0"/>
      <w:szCs w:val="20"/>
    </w:rPr>
  </w:style>
  <w:style w:type="paragraph" w:customStyle="1" w:styleId="1663">
    <w:name w:val="样式 首行缩进:  2 字符 行距: 最小值 22 磅"/>
    <w:basedOn w:val="1"/>
    <w:qFormat/>
    <w:uiPriority w:val="0"/>
    <w:pPr>
      <w:adjustRightInd w:val="0"/>
      <w:snapToGrid w:val="0"/>
      <w:spacing w:line="420" w:lineRule="atLeast"/>
    </w:pPr>
    <w:rPr>
      <w:rFonts w:cs="宋体"/>
      <w:kern w:val="0"/>
      <w:szCs w:val="24"/>
    </w:rPr>
  </w:style>
  <w:style w:type="paragraph" w:customStyle="1" w:styleId="1664">
    <w:name w:val="样式 首行缩进:  2 字符 行距: 最小值 22 磅1"/>
    <w:basedOn w:val="1"/>
    <w:qFormat/>
    <w:uiPriority w:val="0"/>
    <w:pPr>
      <w:adjustRightInd w:val="0"/>
      <w:snapToGrid w:val="0"/>
      <w:spacing w:line="420" w:lineRule="atLeast"/>
    </w:pPr>
    <w:rPr>
      <w:rFonts w:cs="宋体"/>
      <w:kern w:val="0"/>
      <w:szCs w:val="24"/>
    </w:rPr>
  </w:style>
  <w:style w:type="paragraph" w:customStyle="1" w:styleId="1665">
    <w:name w:val="样式 标题 2节标题 1.11.1标题2Majorb2 + 行距: 固定值 12 磅"/>
    <w:basedOn w:val="4"/>
    <w:qFormat/>
    <w:uiPriority w:val="0"/>
    <w:pPr>
      <w:keepNext w:val="0"/>
      <w:keepLines w:val="0"/>
      <w:snapToGrid w:val="0"/>
      <w:spacing w:beforeLines="60" w:afterLines="50"/>
    </w:pPr>
    <w:rPr>
      <w:rFonts w:ascii="宋体" w:hAnsi="宋体" w:cs="宋体"/>
      <w:b w:val="0"/>
      <w:bCs w:val="0"/>
      <w:kern w:val="0"/>
      <w:szCs w:val="20"/>
    </w:rPr>
  </w:style>
  <w:style w:type="paragraph" w:customStyle="1" w:styleId="1666">
    <w:name w:val="表头居右"/>
    <w:basedOn w:val="557"/>
    <w:qFormat/>
    <w:uiPriority w:val="0"/>
    <w:pPr>
      <w:widowControl/>
      <w:tabs>
        <w:tab w:val="clear" w:pos="6840"/>
      </w:tabs>
      <w:topLinePunct w:val="0"/>
      <w:snapToGrid/>
      <w:spacing w:beforeLines="100"/>
      <w:ind w:firstLine="240" w:firstLineChars="100"/>
      <w:jc w:val="left"/>
    </w:pPr>
    <w:rPr>
      <w:rFonts w:ascii="Times New Roman" w:hAnsi="Times New Roman" w:eastAsia="Times New Roman"/>
      <w:kern w:val="0"/>
      <w:szCs w:val="24"/>
    </w:rPr>
  </w:style>
  <w:style w:type="paragraph" w:customStyle="1" w:styleId="1667">
    <w:name w:val="表格04左"/>
    <w:basedOn w:val="1"/>
    <w:qFormat/>
    <w:uiPriority w:val="0"/>
    <w:pPr>
      <w:adjustRightInd w:val="0"/>
      <w:snapToGrid w:val="0"/>
      <w:spacing w:line="360" w:lineRule="exact"/>
      <w:jc w:val="left"/>
    </w:pPr>
    <w:rPr>
      <w:rFonts w:cs="Times New Roman"/>
      <w:kern w:val="0"/>
      <w:sz w:val="18"/>
      <w:szCs w:val="18"/>
    </w:rPr>
  </w:style>
  <w:style w:type="paragraph" w:customStyle="1" w:styleId="1668">
    <w:name w:val="样式 首行缩进:  2 字符 行距: 最小值 22 磅2"/>
    <w:basedOn w:val="1"/>
    <w:qFormat/>
    <w:uiPriority w:val="0"/>
    <w:pPr>
      <w:adjustRightInd w:val="0"/>
      <w:snapToGrid w:val="0"/>
      <w:spacing w:line="420" w:lineRule="atLeast"/>
    </w:pPr>
    <w:rPr>
      <w:rFonts w:cs="宋体"/>
      <w:kern w:val="0"/>
      <w:szCs w:val="24"/>
    </w:rPr>
  </w:style>
  <w:style w:type="paragraph" w:customStyle="1" w:styleId="1669">
    <w:name w:val="样式 行距: 最小值 22 磅 首行缩进:  0 字符"/>
    <w:basedOn w:val="1"/>
    <w:qFormat/>
    <w:uiPriority w:val="0"/>
    <w:pPr>
      <w:adjustRightInd w:val="0"/>
      <w:snapToGrid w:val="0"/>
      <w:spacing w:line="420" w:lineRule="atLeast"/>
      <w:ind w:firstLine="0" w:firstLineChars="0"/>
    </w:pPr>
    <w:rPr>
      <w:rFonts w:cs="宋体"/>
      <w:kern w:val="0"/>
      <w:szCs w:val="24"/>
    </w:rPr>
  </w:style>
  <w:style w:type="paragraph" w:customStyle="1" w:styleId="1670">
    <w:name w:val="7表格(治)"/>
    <w:qFormat/>
    <w:uiPriority w:val="0"/>
    <w:pPr>
      <w:widowControl w:val="0"/>
      <w:spacing w:line="320" w:lineRule="exact"/>
      <w:jc w:val="center"/>
    </w:pPr>
    <w:rPr>
      <w:rFonts w:ascii="宋体" w:hAnsi="宋体" w:eastAsia="宋体" w:cs="Times New Roman"/>
      <w:sz w:val="21"/>
      <w:szCs w:val="21"/>
      <w:lang w:val="en-US" w:eastAsia="zh-CN" w:bidi="ar-SA"/>
    </w:rPr>
  </w:style>
  <w:style w:type="paragraph" w:customStyle="1" w:styleId="1671">
    <w:name w:val="样式 首行缩进:  2 字符2"/>
    <w:basedOn w:val="1"/>
    <w:qFormat/>
    <w:uiPriority w:val="0"/>
    <w:pPr>
      <w:adjustRightInd w:val="0"/>
      <w:snapToGrid w:val="0"/>
      <w:spacing w:line="420" w:lineRule="atLeast"/>
    </w:pPr>
    <w:rPr>
      <w:rFonts w:cs="宋体"/>
      <w:kern w:val="0"/>
      <w:szCs w:val="24"/>
    </w:rPr>
  </w:style>
  <w:style w:type="paragraph" w:customStyle="1" w:styleId="1672">
    <w:name w:val="Char Char Char Char Char Char Char Char Char1"/>
    <w:basedOn w:val="1"/>
    <w:qFormat/>
    <w:uiPriority w:val="0"/>
    <w:pPr>
      <w:spacing w:line="440" w:lineRule="exact"/>
    </w:pPr>
    <w:rPr>
      <w:rFonts w:ascii="Tahoma" w:hAnsi="Tahoma" w:cs="Garamond"/>
      <w:kern w:val="0"/>
      <w:szCs w:val="24"/>
    </w:rPr>
  </w:style>
  <w:style w:type="paragraph" w:customStyle="1" w:styleId="1673">
    <w:name w:val="样式 标题 4款标题1.1.1.1标题 4 Char标题 4 Char CharL4 + 宋体 小四 非加粗"/>
    <w:basedOn w:val="6"/>
    <w:qFormat/>
    <w:uiPriority w:val="0"/>
    <w:pPr>
      <w:tabs>
        <w:tab w:val="left" w:pos="1134"/>
        <w:tab w:val="left" w:pos="1630"/>
      </w:tabs>
      <w:spacing w:before="120" w:after="120" w:line="376" w:lineRule="auto"/>
    </w:pPr>
    <w:rPr>
      <w:rFonts w:ascii="宋体" w:hAnsi="宋体" w:eastAsia="宋体" w:cs="Times New Roman"/>
      <w:b w:val="0"/>
      <w:bCs w:val="0"/>
      <w:szCs w:val="24"/>
    </w:rPr>
  </w:style>
  <w:style w:type="paragraph" w:customStyle="1" w:styleId="1674">
    <w:name w:val="样式 首行缩进:  2 字符 行距: 固定值 24 磅"/>
    <w:basedOn w:val="1"/>
    <w:qFormat/>
    <w:uiPriority w:val="0"/>
    <w:pPr>
      <w:adjustRightInd w:val="0"/>
      <w:snapToGrid w:val="0"/>
      <w:spacing w:line="420" w:lineRule="atLeast"/>
    </w:pPr>
    <w:rPr>
      <w:rFonts w:cs="宋体"/>
      <w:kern w:val="0"/>
      <w:szCs w:val="24"/>
    </w:rPr>
  </w:style>
  <w:style w:type="paragraph" w:customStyle="1" w:styleId="1675">
    <w:name w:val="表格内容居中"/>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1676">
    <w:name w:val="样式 首行缩进:  2 字符 行距: 固定值 22 磅"/>
    <w:basedOn w:val="1"/>
    <w:qFormat/>
    <w:uiPriority w:val="0"/>
    <w:pPr>
      <w:adjustRightInd w:val="0"/>
      <w:snapToGrid w:val="0"/>
      <w:spacing w:line="420" w:lineRule="atLeast"/>
    </w:pPr>
    <w:rPr>
      <w:rFonts w:cs="宋体"/>
      <w:kern w:val="0"/>
      <w:szCs w:val="24"/>
    </w:rPr>
  </w:style>
  <w:style w:type="paragraph" w:customStyle="1" w:styleId="1677">
    <w:name w:val="样式 左侧:  0.19 厘米 首行缩进:  2 字符 加宽量  0.2 磅 行距: 固定值 24 磅"/>
    <w:basedOn w:val="1"/>
    <w:qFormat/>
    <w:uiPriority w:val="0"/>
    <w:pPr>
      <w:adjustRightInd w:val="0"/>
      <w:snapToGrid w:val="0"/>
      <w:spacing w:line="420" w:lineRule="atLeast"/>
      <w:ind w:left="108"/>
    </w:pPr>
    <w:rPr>
      <w:rFonts w:cs="宋体"/>
      <w:spacing w:val="4"/>
      <w:kern w:val="0"/>
      <w:szCs w:val="24"/>
    </w:rPr>
  </w:style>
  <w:style w:type="paragraph" w:customStyle="1" w:styleId="1678">
    <w:name w:val="样式 样式 蓝色 首行缩进:  1 厘米 行距: 固定值 25 磅 + 首行缩进:  2 字符"/>
    <w:basedOn w:val="1"/>
    <w:qFormat/>
    <w:uiPriority w:val="0"/>
    <w:pPr>
      <w:spacing w:line="500" w:lineRule="exact"/>
      <w:ind w:firstLine="560"/>
    </w:pPr>
    <w:rPr>
      <w:rFonts w:cs="宋体"/>
      <w:sz w:val="28"/>
      <w:szCs w:val="20"/>
    </w:rPr>
  </w:style>
  <w:style w:type="paragraph" w:customStyle="1" w:styleId="1679">
    <w:name w:val="样式 首行缩进:  2 字符 行距: 固定值 25 磅"/>
    <w:basedOn w:val="1"/>
    <w:qFormat/>
    <w:uiPriority w:val="0"/>
    <w:pPr>
      <w:adjustRightInd w:val="0"/>
      <w:snapToGrid w:val="0"/>
      <w:spacing w:line="420" w:lineRule="atLeast"/>
    </w:pPr>
    <w:rPr>
      <w:rFonts w:cs="宋体"/>
      <w:kern w:val="0"/>
      <w:szCs w:val="24"/>
    </w:rPr>
  </w:style>
  <w:style w:type="paragraph" w:customStyle="1" w:styleId="1680">
    <w:name w:val="ljw子标题"/>
    <w:basedOn w:val="1"/>
    <w:next w:val="34"/>
    <w:qFormat/>
    <w:uiPriority w:val="0"/>
    <w:pPr>
      <w:adjustRightInd w:val="0"/>
      <w:snapToGrid w:val="0"/>
      <w:spacing w:beforeLines="50" w:line="240" w:lineRule="auto"/>
      <w:ind w:firstLine="0" w:firstLineChars="0"/>
      <w:jc w:val="left"/>
    </w:pPr>
    <w:rPr>
      <w:rFonts w:ascii="宋体" w:hAnsi="宋体" w:cs="Times New Roman"/>
      <w:b/>
      <w:szCs w:val="28"/>
    </w:rPr>
  </w:style>
  <w:style w:type="paragraph" w:customStyle="1" w:styleId="1681">
    <w:name w:val="样式 首行缩进:  1.7 字符"/>
    <w:basedOn w:val="1"/>
    <w:qFormat/>
    <w:uiPriority w:val="0"/>
    <w:pPr>
      <w:adjustRightInd w:val="0"/>
      <w:snapToGrid w:val="0"/>
      <w:spacing w:line="420" w:lineRule="atLeast"/>
    </w:pPr>
    <w:rPr>
      <w:rFonts w:cs="宋体"/>
      <w:kern w:val="0"/>
      <w:szCs w:val="24"/>
    </w:rPr>
  </w:style>
  <w:style w:type="paragraph" w:customStyle="1" w:styleId="1682">
    <w:name w:val="样式 标题 2节标题 1.11.1标题2Majorb2标题 2 Char Char Char标题 2 Char + ..."/>
    <w:basedOn w:val="4"/>
    <w:qFormat/>
    <w:uiPriority w:val="0"/>
    <w:pPr>
      <w:spacing w:before="120" w:after="120" w:line="540" w:lineRule="exact"/>
    </w:pPr>
    <w:rPr>
      <w:rFonts w:ascii="宋体" w:hAnsi="宋体" w:cs="宋体"/>
      <w:b w:val="0"/>
      <w:bCs w:val="0"/>
      <w:color w:val="000000"/>
      <w:szCs w:val="20"/>
    </w:rPr>
  </w:style>
  <w:style w:type="paragraph" w:customStyle="1" w:styleId="1683">
    <w:name w:val="样式 首行缩进:  2 字符10"/>
    <w:basedOn w:val="1"/>
    <w:qFormat/>
    <w:uiPriority w:val="0"/>
    <w:pPr>
      <w:spacing w:line="520" w:lineRule="exact"/>
      <w:ind w:firstLine="560"/>
    </w:pPr>
    <w:rPr>
      <w:rFonts w:cs="宋体"/>
      <w:szCs w:val="20"/>
    </w:rPr>
  </w:style>
  <w:style w:type="paragraph" w:customStyle="1" w:styleId="1684">
    <w:name w:val="样式 (西文) 宋体 首行缩进:  2 字符"/>
    <w:basedOn w:val="1"/>
    <w:qFormat/>
    <w:uiPriority w:val="0"/>
    <w:pPr>
      <w:adjustRightInd w:val="0"/>
      <w:snapToGrid w:val="0"/>
      <w:spacing w:line="420" w:lineRule="atLeast"/>
    </w:pPr>
    <w:rPr>
      <w:rFonts w:ascii="宋体" w:hAnsi="宋体" w:cs="宋体"/>
      <w:kern w:val="0"/>
      <w:szCs w:val="24"/>
    </w:rPr>
  </w:style>
  <w:style w:type="paragraph" w:customStyle="1" w:styleId="1685">
    <w:name w:val="Char Char Char Char Char Char Char Char Char Char Char Char Char Char Char Char Char"/>
    <w:basedOn w:val="1"/>
    <w:qFormat/>
    <w:uiPriority w:val="0"/>
    <w:pPr>
      <w:spacing w:line="440" w:lineRule="exact"/>
      <w:ind w:firstLine="720"/>
    </w:pPr>
    <w:rPr>
      <w:rFonts w:cs="Times New Roman"/>
      <w:kern w:val="0"/>
      <w:szCs w:val="24"/>
    </w:rPr>
  </w:style>
  <w:style w:type="paragraph" w:customStyle="1" w:styleId="1686">
    <w:name w:val="样式 样式 (西文) 宋体 首行缩进:  2 字符 + 首行缩进:  2 字符"/>
    <w:basedOn w:val="1684"/>
    <w:qFormat/>
    <w:uiPriority w:val="0"/>
  </w:style>
  <w:style w:type="paragraph" w:customStyle="1" w:styleId="1687">
    <w:name w:val="标题3.1"/>
    <w:basedOn w:val="1"/>
    <w:qFormat/>
    <w:uiPriority w:val="0"/>
    <w:pPr>
      <w:widowControl/>
      <w:tabs>
        <w:tab w:val="left" w:pos="709"/>
        <w:tab w:val="left" w:pos="1740"/>
      </w:tabs>
      <w:spacing w:after="50" w:line="240" w:lineRule="auto"/>
      <w:ind w:left="709" w:firstLine="510" w:firstLineChars="0"/>
      <w:outlineLvl w:val="2"/>
    </w:pPr>
    <w:rPr>
      <w:rFonts w:cs="Times New Roman"/>
      <w:kern w:val="24"/>
      <w:szCs w:val="20"/>
    </w:rPr>
  </w:style>
  <w:style w:type="paragraph" w:customStyle="1" w:styleId="1688">
    <w:name w:val="xl389"/>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宋体" w:hAnsi="宋体" w:cs="Times New Roman"/>
      <w:kern w:val="0"/>
      <w:szCs w:val="24"/>
    </w:rPr>
  </w:style>
  <w:style w:type="paragraph" w:customStyle="1" w:styleId="1689">
    <w:name w:val="样式 首行缩进:  2 字符6"/>
    <w:basedOn w:val="1"/>
    <w:qFormat/>
    <w:uiPriority w:val="0"/>
    <w:pPr>
      <w:spacing w:line="520" w:lineRule="exact"/>
      <w:ind w:firstLine="560"/>
    </w:pPr>
    <w:rPr>
      <w:rFonts w:cs="宋体"/>
      <w:szCs w:val="20"/>
    </w:rPr>
  </w:style>
  <w:style w:type="paragraph" w:customStyle="1" w:styleId="1690">
    <w:name w:val="样式 标题 4款标题1.1.1.1标题 4 Char标题 4 Char CharL4 + 宋体 小四 非加粗1"/>
    <w:basedOn w:val="6"/>
    <w:qFormat/>
    <w:uiPriority w:val="0"/>
    <w:pPr>
      <w:tabs>
        <w:tab w:val="left" w:pos="1134"/>
        <w:tab w:val="left" w:pos="1630"/>
      </w:tabs>
      <w:spacing w:beforeLines="50" w:line="376" w:lineRule="auto"/>
    </w:pPr>
    <w:rPr>
      <w:rFonts w:ascii="宋体" w:hAnsi="宋体" w:eastAsia="宋体" w:cs="Times New Roman"/>
      <w:b w:val="0"/>
      <w:bCs w:val="0"/>
    </w:rPr>
  </w:style>
  <w:style w:type="paragraph" w:customStyle="1" w:styleId="1691">
    <w:name w:val="默认段落字体 Para Char Char Char Char Char Char Char Char Char Char"/>
    <w:basedOn w:val="5"/>
    <w:qFormat/>
    <w:uiPriority w:val="0"/>
    <w:pPr>
      <w:tabs>
        <w:tab w:val="left" w:pos="360"/>
        <w:tab w:val="left" w:pos="900"/>
      </w:tabs>
      <w:snapToGrid w:val="0"/>
      <w:spacing w:before="120" w:after="120"/>
      <w:ind w:left="542" w:leftChars="-12" w:firstLine="200" w:firstLineChars="200"/>
      <w:jc w:val="left"/>
    </w:pPr>
    <w:rPr>
      <w:rFonts w:ascii="黑体"/>
      <w:b w:val="0"/>
      <w:bCs w:val="0"/>
      <w:sz w:val="24"/>
      <w:szCs w:val="24"/>
    </w:rPr>
  </w:style>
  <w:style w:type="paragraph" w:customStyle="1" w:styleId="1692">
    <w:name w:val="样式 正文宋体小四 + 首行缩进:  2 字符"/>
    <w:basedOn w:val="1"/>
    <w:qFormat/>
    <w:uiPriority w:val="0"/>
    <w:pPr>
      <w:spacing w:line="240" w:lineRule="auto"/>
      <w:ind w:firstLine="480" w:firstLineChars="0"/>
    </w:pPr>
    <w:rPr>
      <w:rFonts w:cs="宋体"/>
      <w:sz w:val="21"/>
      <w:szCs w:val="24"/>
    </w:rPr>
  </w:style>
  <w:style w:type="paragraph" w:customStyle="1" w:styleId="1693">
    <w:name w:val="样式 首行缩进:  2 字符8"/>
    <w:basedOn w:val="1"/>
    <w:qFormat/>
    <w:uiPriority w:val="0"/>
    <w:pPr>
      <w:spacing w:line="520" w:lineRule="exact"/>
      <w:ind w:firstLine="560"/>
    </w:pPr>
    <w:rPr>
      <w:rFonts w:cs="宋体"/>
      <w:szCs w:val="20"/>
    </w:rPr>
  </w:style>
  <w:style w:type="paragraph" w:customStyle="1" w:styleId="1694">
    <w:name w:val="z正文"/>
    <w:basedOn w:val="1"/>
    <w:qFormat/>
    <w:uiPriority w:val="0"/>
    <w:pPr>
      <w:kinsoku w:val="0"/>
      <w:adjustRightInd w:val="0"/>
      <w:snapToGrid w:val="0"/>
      <w:ind w:firstLine="0" w:firstLineChars="0"/>
    </w:pPr>
    <w:rPr>
      <w:rFonts w:ascii="Arial" w:hAnsi="Arial" w:cs="Times New Roman"/>
      <w:b/>
      <w:kern w:val="0"/>
      <w:sz w:val="28"/>
      <w:szCs w:val="20"/>
    </w:rPr>
  </w:style>
  <w:style w:type="paragraph" w:customStyle="1" w:styleId="1695">
    <w:name w:val="2 级样式"/>
    <w:basedOn w:val="4"/>
    <w:qFormat/>
    <w:uiPriority w:val="0"/>
    <w:pPr>
      <w:tabs>
        <w:tab w:val="left" w:pos="927"/>
        <w:tab w:val="left" w:pos="1134"/>
        <w:tab w:val="left" w:pos="1440"/>
      </w:tabs>
      <w:adjustRightInd w:val="0"/>
      <w:spacing w:beforeLines="30" w:afterLines="30"/>
      <w:ind w:left="720" w:hanging="720"/>
      <w:jc w:val="left"/>
    </w:pPr>
    <w:rPr>
      <w:rFonts w:cs="宋体"/>
      <w:b w:val="0"/>
      <w:bCs w:val="0"/>
      <w:color w:val="003300"/>
      <w:sz w:val="30"/>
      <w:szCs w:val="30"/>
    </w:rPr>
  </w:style>
  <w:style w:type="paragraph" w:customStyle="1" w:styleId="1696">
    <w:name w:val="样式 表格1 + 首行缩进:  2 字符1"/>
    <w:basedOn w:val="1149"/>
    <w:qFormat/>
    <w:uiPriority w:val="0"/>
    <w:pPr>
      <w:keepNext w:val="0"/>
      <w:spacing w:line="400" w:lineRule="exact"/>
      <w:ind w:firstLine="0" w:firstLineChars="0"/>
      <w:jc w:val="left"/>
    </w:pPr>
    <w:rPr>
      <w:rFonts w:ascii="Times New Roman" w:hAnsi="Times New Roman" w:eastAsia="Times New Roman" w:cs="宋体"/>
      <w:sz w:val="21"/>
      <w:szCs w:val="20"/>
    </w:rPr>
  </w:style>
  <w:style w:type="paragraph" w:customStyle="1" w:styleId="1697">
    <w:name w:val="updatetitle"/>
    <w:basedOn w:val="1"/>
    <w:qFormat/>
    <w:uiPriority w:val="0"/>
    <w:pPr>
      <w:widowControl/>
      <w:spacing w:before="100" w:beforeAutospacing="1" w:after="100" w:afterAutospacing="1" w:line="240" w:lineRule="auto"/>
      <w:ind w:firstLine="100" w:firstLineChars="0"/>
      <w:jc w:val="left"/>
    </w:pPr>
    <w:rPr>
      <w:rFonts w:ascii="Arial" w:hAnsi="Arial" w:cs="Arial"/>
      <w:b/>
      <w:bCs/>
      <w:color w:val="FF0000"/>
      <w:kern w:val="0"/>
      <w:sz w:val="17"/>
      <w:szCs w:val="17"/>
    </w:rPr>
  </w:style>
  <w:style w:type="paragraph" w:customStyle="1" w:styleId="1698">
    <w:name w:val="样式 表格 + 五号1"/>
    <w:basedOn w:val="1"/>
    <w:qFormat/>
    <w:uiPriority w:val="0"/>
    <w:pPr>
      <w:spacing w:line="400" w:lineRule="exact"/>
      <w:ind w:firstLine="0" w:firstLineChars="0"/>
      <w:jc w:val="center"/>
    </w:pPr>
    <w:rPr>
      <w:rFonts w:cs="Times New Roman"/>
      <w:sz w:val="21"/>
    </w:rPr>
  </w:style>
  <w:style w:type="paragraph" w:customStyle="1" w:styleId="1699">
    <w:name w:val="区划正文"/>
    <w:basedOn w:val="1"/>
    <w:qFormat/>
    <w:uiPriority w:val="0"/>
    <w:pPr>
      <w:snapToGrid w:val="0"/>
      <w:spacing w:line="240" w:lineRule="auto"/>
      <w:ind w:firstLine="0" w:firstLineChars="0"/>
    </w:pPr>
    <w:rPr>
      <w:rFonts w:cs="宋体"/>
      <w:sz w:val="21"/>
      <w:szCs w:val="20"/>
    </w:rPr>
  </w:style>
  <w:style w:type="paragraph" w:customStyle="1" w:styleId="1700">
    <w:name w:val="段落2"/>
    <w:basedOn w:val="459"/>
    <w:qFormat/>
    <w:uiPriority w:val="0"/>
    <w:pPr>
      <w:adjustRightInd w:val="0"/>
      <w:spacing w:line="400" w:lineRule="atLeast"/>
      <w:ind w:firstLine="454" w:firstLineChars="0"/>
      <w:jc w:val="left"/>
    </w:pPr>
    <w:rPr>
      <w:rFonts w:eastAsia="Times New Roman"/>
      <w:kern w:val="0"/>
      <w:sz w:val="28"/>
    </w:rPr>
  </w:style>
  <w:style w:type="paragraph" w:customStyle="1" w:styleId="1701">
    <w:name w:val="正文111"/>
    <w:basedOn w:val="21"/>
    <w:qFormat/>
    <w:uiPriority w:val="0"/>
    <w:pPr>
      <w:spacing w:line="360" w:lineRule="auto"/>
      <w:ind w:firstLine="200"/>
    </w:pPr>
    <w:rPr>
      <w:rFonts w:asciiTheme="minorHAnsi" w:hAnsiTheme="minorHAnsi" w:eastAsiaTheme="minorEastAsia" w:cstheme="minorBidi"/>
      <w:sz w:val="24"/>
    </w:rPr>
  </w:style>
  <w:style w:type="paragraph" w:customStyle="1" w:styleId="1702">
    <w:name w:val="标题3-3"/>
    <w:basedOn w:val="5"/>
    <w:qFormat/>
    <w:uiPriority w:val="0"/>
    <w:pPr>
      <w:tabs>
        <w:tab w:val="left" w:pos="720"/>
      </w:tabs>
      <w:adjustRightInd w:val="0"/>
      <w:spacing w:beforeLines="50" w:afterLines="25"/>
      <w:ind w:left="720" w:hanging="720"/>
      <w:jc w:val="left"/>
    </w:pPr>
    <w:rPr>
      <w:rFonts w:ascii="Arial" w:hAnsi="Arial"/>
      <w:b w:val="0"/>
      <w:bCs w:val="0"/>
      <w:kern w:val="0"/>
      <w:sz w:val="24"/>
      <w:szCs w:val="24"/>
    </w:rPr>
  </w:style>
  <w:style w:type="paragraph" w:customStyle="1" w:styleId="1703">
    <w:name w:val="图表头"/>
    <w:basedOn w:val="1"/>
    <w:qFormat/>
    <w:uiPriority w:val="0"/>
    <w:pPr>
      <w:spacing w:beforeLines="50" w:line="240" w:lineRule="auto"/>
      <w:ind w:firstLine="0" w:firstLineChars="0"/>
      <w:jc w:val="center"/>
    </w:pPr>
    <w:rPr>
      <w:rFonts w:eastAsia="黑体" w:cs="Times New Roman"/>
      <w:color w:val="000000"/>
      <w:sz w:val="21"/>
    </w:rPr>
  </w:style>
  <w:style w:type="paragraph" w:customStyle="1" w:styleId="1704">
    <w:name w:val="hang"/>
    <w:basedOn w:val="1"/>
    <w:qFormat/>
    <w:uiPriority w:val="0"/>
    <w:pPr>
      <w:widowControl/>
      <w:spacing w:before="100" w:beforeAutospacing="1" w:after="100" w:afterAutospacing="1" w:line="240" w:lineRule="auto"/>
      <w:ind w:hanging="480" w:firstLineChars="0"/>
      <w:jc w:val="left"/>
    </w:pPr>
    <w:rPr>
      <w:rFonts w:ascii="宋体" w:hAnsi="宋体" w:cs="宋体"/>
      <w:kern w:val="0"/>
      <w:szCs w:val="24"/>
    </w:rPr>
  </w:style>
  <w:style w:type="paragraph" w:customStyle="1" w:styleId="1705">
    <w:name w:val="Char Char Char Char Char Char Char1"/>
    <w:basedOn w:val="1"/>
    <w:semiHidden/>
    <w:qFormat/>
    <w:uiPriority w:val="0"/>
    <w:pPr>
      <w:widowControl/>
      <w:spacing w:line="560" w:lineRule="exact"/>
      <w:jc w:val="left"/>
    </w:pPr>
    <w:rPr>
      <w:rFonts w:ascii="Verdana" w:hAnsi="Verdana" w:cs="Times New Roman"/>
      <w:kern w:val="0"/>
      <w:sz w:val="20"/>
      <w:szCs w:val="20"/>
      <w:lang w:eastAsia="en-US"/>
    </w:rPr>
  </w:style>
  <w:style w:type="paragraph" w:customStyle="1" w:styleId="1706">
    <w:name w:val="body"/>
    <w:basedOn w:val="1"/>
    <w:qFormat/>
    <w:uiPriority w:val="0"/>
    <w:pPr>
      <w:widowControl/>
      <w:shd w:val="clear" w:color="auto" w:fill="FFFFFF"/>
      <w:spacing w:before="100" w:beforeAutospacing="1" w:after="100" w:afterAutospacing="1" w:line="240" w:lineRule="auto"/>
      <w:ind w:firstLine="0" w:firstLineChars="0"/>
      <w:jc w:val="left"/>
    </w:pPr>
    <w:rPr>
      <w:rFonts w:ascii="Arial" w:hAnsi="Arial" w:cs="Arial"/>
      <w:color w:val="000000"/>
      <w:kern w:val="0"/>
      <w:szCs w:val="24"/>
    </w:rPr>
  </w:style>
  <w:style w:type="paragraph" w:customStyle="1" w:styleId="1707">
    <w:name w:val="样式 首行缩进:  2 字符13"/>
    <w:basedOn w:val="1"/>
    <w:qFormat/>
    <w:uiPriority w:val="0"/>
    <w:pPr>
      <w:spacing w:line="520" w:lineRule="exact"/>
      <w:ind w:firstLine="560"/>
    </w:pPr>
    <w:rPr>
      <w:rFonts w:cs="Times New Roman"/>
      <w:szCs w:val="24"/>
    </w:rPr>
  </w:style>
  <w:style w:type="paragraph" w:customStyle="1" w:styleId="1708">
    <w:name w:val="menu"/>
    <w:basedOn w:val="1"/>
    <w:qFormat/>
    <w:uiPriority w:val="0"/>
    <w:pPr>
      <w:widowControl/>
      <w:spacing w:before="100" w:beforeAutospacing="1" w:after="100" w:afterAutospacing="1" w:line="240" w:lineRule="auto"/>
      <w:ind w:firstLine="0" w:firstLineChars="0"/>
      <w:jc w:val="left"/>
    </w:pPr>
    <w:rPr>
      <w:rFonts w:ascii="Arial" w:hAnsi="Arial" w:cs="Arial"/>
      <w:kern w:val="0"/>
      <w:sz w:val="14"/>
      <w:szCs w:val="14"/>
    </w:rPr>
  </w:style>
  <w:style w:type="paragraph" w:customStyle="1" w:styleId="1709">
    <w:name w:val="样式 行距: 1.5 倍行距"/>
    <w:basedOn w:val="1"/>
    <w:qFormat/>
    <w:uiPriority w:val="0"/>
    <w:pPr>
      <w:adjustRightInd w:val="0"/>
      <w:ind w:firstLine="480"/>
    </w:pPr>
    <w:rPr>
      <w:rFonts w:cs="宋体"/>
      <w:kern w:val="0"/>
      <w:szCs w:val="24"/>
    </w:rPr>
  </w:style>
  <w:style w:type="paragraph" w:customStyle="1" w:styleId="1710">
    <w:name w:val="样式 标题1 + 首行缩进:  0 厘米"/>
    <w:basedOn w:val="1"/>
    <w:qFormat/>
    <w:uiPriority w:val="0"/>
    <w:pPr>
      <w:snapToGrid w:val="0"/>
      <w:spacing w:before="260" w:after="260" w:line="400" w:lineRule="atLeast"/>
      <w:ind w:firstLine="0" w:firstLineChars="0"/>
    </w:pPr>
    <w:rPr>
      <w:rFonts w:ascii="宋体" w:hAnsi="宋体" w:cs="Times New Roman"/>
      <w:b/>
      <w:spacing w:val="14"/>
      <w:sz w:val="28"/>
      <w:szCs w:val="20"/>
    </w:rPr>
  </w:style>
  <w:style w:type="paragraph" w:customStyle="1" w:styleId="1711">
    <w:name w:val="subchapter"/>
    <w:basedOn w:val="1"/>
    <w:qFormat/>
    <w:uiPriority w:val="0"/>
    <w:pPr>
      <w:widowControl/>
      <w:spacing w:before="100" w:beforeAutospacing="1" w:after="100" w:afterAutospacing="1" w:line="240" w:lineRule="auto"/>
      <w:ind w:firstLine="0" w:firstLineChars="0"/>
      <w:jc w:val="left"/>
    </w:pPr>
    <w:rPr>
      <w:rFonts w:ascii="Arial" w:hAnsi="Arial" w:cs="Arial"/>
      <w:b/>
      <w:bCs/>
      <w:kern w:val="0"/>
      <w:sz w:val="17"/>
      <w:szCs w:val="17"/>
    </w:rPr>
  </w:style>
  <w:style w:type="paragraph" w:customStyle="1" w:styleId="1712">
    <w:name w:val="样式 正文文字 + 首行缩进:  2 字符 行距: 最小值 24 磅"/>
    <w:basedOn w:val="1"/>
    <w:qFormat/>
    <w:uiPriority w:val="0"/>
    <w:pPr>
      <w:adjustRightInd w:val="0"/>
      <w:snapToGrid w:val="0"/>
      <w:spacing w:line="480" w:lineRule="atLeast"/>
      <w:ind w:firstLine="480"/>
    </w:pPr>
    <w:rPr>
      <w:rFonts w:cs="宋体"/>
      <w:szCs w:val="20"/>
    </w:rPr>
  </w:style>
  <w:style w:type="paragraph" w:customStyle="1" w:styleId="1713">
    <w:name w:val="样式 表格 + 五号"/>
    <w:basedOn w:val="679"/>
    <w:qFormat/>
    <w:uiPriority w:val="0"/>
    <w:pPr>
      <w:keepNext/>
      <w:keepLines/>
      <w:snapToGrid/>
      <w:spacing w:before="60" w:line="400" w:lineRule="exact"/>
      <w:ind w:firstLine="546" w:firstLineChars="260"/>
      <w:jc w:val="both"/>
    </w:pPr>
    <w:rPr>
      <w:rFonts w:ascii="Times New Roman"/>
    </w:rPr>
  </w:style>
  <w:style w:type="paragraph" w:customStyle="1" w:styleId="1714">
    <w:name w:val="subtitle"/>
    <w:basedOn w:val="1"/>
    <w:qFormat/>
    <w:uiPriority w:val="0"/>
    <w:pPr>
      <w:widowControl/>
      <w:spacing w:before="100" w:beforeAutospacing="1" w:after="100" w:afterAutospacing="1" w:line="240" w:lineRule="auto"/>
      <w:ind w:firstLine="0" w:firstLineChars="0"/>
      <w:jc w:val="left"/>
    </w:pPr>
    <w:rPr>
      <w:rFonts w:ascii="Arial" w:hAnsi="Arial" w:cs="Arial"/>
      <w:b/>
      <w:bCs/>
      <w:kern w:val="0"/>
      <w:sz w:val="17"/>
      <w:szCs w:val="17"/>
    </w:rPr>
  </w:style>
  <w:style w:type="paragraph" w:customStyle="1" w:styleId="1715">
    <w:name w:val="p16"/>
    <w:basedOn w:val="1"/>
    <w:qFormat/>
    <w:uiPriority w:val="0"/>
    <w:pPr>
      <w:widowControl/>
      <w:spacing w:line="240" w:lineRule="auto"/>
      <w:ind w:firstLine="0" w:firstLineChars="0"/>
      <w:jc w:val="center"/>
    </w:pPr>
    <w:rPr>
      <w:rFonts w:cs="Times New Roman"/>
      <w:kern w:val="0"/>
      <w:sz w:val="18"/>
      <w:szCs w:val="18"/>
    </w:rPr>
  </w:style>
  <w:style w:type="paragraph" w:customStyle="1" w:styleId="1716">
    <w:name w:val="p"/>
    <w:basedOn w:val="1"/>
    <w:qFormat/>
    <w:uiPriority w:val="0"/>
    <w:pPr>
      <w:widowControl/>
      <w:spacing w:before="100" w:beforeAutospacing="1" w:after="100" w:afterAutospacing="1" w:line="240" w:lineRule="auto"/>
      <w:ind w:firstLine="0" w:firstLineChars="0"/>
      <w:jc w:val="center"/>
    </w:pPr>
    <w:rPr>
      <w:rFonts w:ascii="Arial" w:hAnsi="Arial" w:cs="Arial"/>
      <w:kern w:val="0"/>
      <w:szCs w:val="24"/>
    </w:rPr>
  </w:style>
  <w:style w:type="paragraph" w:customStyle="1" w:styleId="1717">
    <w:name w:val="集团要求内容格式"/>
    <w:basedOn w:val="1"/>
    <w:qFormat/>
    <w:uiPriority w:val="0"/>
    <w:pPr>
      <w:spacing w:line="240" w:lineRule="auto"/>
      <w:ind w:firstLine="560"/>
    </w:pPr>
    <w:rPr>
      <w:rFonts w:ascii="仿宋_GB2312" w:eastAsia="仿宋_GB2312" w:cs="Times New Roman"/>
      <w:sz w:val="28"/>
      <w:szCs w:val="28"/>
    </w:rPr>
  </w:style>
  <w:style w:type="paragraph" w:customStyle="1" w:styleId="1718">
    <w:name w:val="样式 首行缩进:  2 字符20"/>
    <w:basedOn w:val="1"/>
    <w:qFormat/>
    <w:uiPriority w:val="0"/>
    <w:pPr>
      <w:spacing w:line="520" w:lineRule="exact"/>
      <w:ind w:firstLine="560"/>
    </w:pPr>
    <w:rPr>
      <w:rFonts w:cs="宋体"/>
      <w:szCs w:val="20"/>
    </w:rPr>
  </w:style>
  <w:style w:type="paragraph" w:customStyle="1" w:styleId="1719">
    <w:name w:val="样式 四号 行距: 多倍行距 1.25 字行1"/>
    <w:basedOn w:val="1"/>
    <w:qFormat/>
    <w:uiPriority w:val="0"/>
    <w:pPr>
      <w:overflowPunct w:val="0"/>
      <w:autoSpaceDE w:val="0"/>
      <w:autoSpaceDN w:val="0"/>
      <w:adjustRightInd w:val="0"/>
      <w:snapToGrid w:val="0"/>
      <w:spacing w:line="500" w:lineRule="exact"/>
      <w:ind w:firstLine="560"/>
    </w:pPr>
    <w:rPr>
      <w:rFonts w:ascii="宋体" w:hAnsi="宋体" w:cs="宋体"/>
      <w:kern w:val="24"/>
      <w:sz w:val="28"/>
      <w:szCs w:val="20"/>
    </w:rPr>
  </w:style>
  <w:style w:type="paragraph" w:customStyle="1" w:styleId="1720">
    <w:name w:val="样式 标题 3 +"/>
    <w:basedOn w:val="5"/>
    <w:qFormat/>
    <w:uiPriority w:val="0"/>
    <w:pPr>
      <w:tabs>
        <w:tab w:val="left" w:pos="1134"/>
        <w:tab w:val="left" w:pos="1256"/>
      </w:tabs>
      <w:spacing w:before="60" w:after="60" w:line="520" w:lineRule="exact"/>
    </w:pPr>
    <w:rPr>
      <w:rFonts w:ascii="黑体"/>
      <w:kern w:val="0"/>
      <w:sz w:val="30"/>
    </w:rPr>
  </w:style>
  <w:style w:type="paragraph" w:customStyle="1" w:styleId="1721">
    <w:name w:val="neirong"/>
    <w:basedOn w:val="1"/>
    <w:qFormat/>
    <w:uiPriority w:val="0"/>
    <w:pPr>
      <w:widowControl/>
      <w:spacing w:before="100" w:beforeAutospacing="1" w:after="100" w:afterAutospacing="1" w:line="240" w:lineRule="auto"/>
      <w:ind w:firstLine="0" w:firstLineChars="0"/>
      <w:jc w:val="left"/>
    </w:pPr>
    <w:rPr>
      <w:rFonts w:ascii="宋体" w:hAnsi="宋体" w:cs="Times New Roman"/>
      <w:kern w:val="0"/>
      <w:szCs w:val="24"/>
    </w:rPr>
  </w:style>
  <w:style w:type="paragraph" w:customStyle="1" w:styleId="1722">
    <w:name w:val="91"/>
    <w:basedOn w:val="1"/>
    <w:qFormat/>
    <w:uiPriority w:val="0"/>
    <w:pPr>
      <w:keepNext/>
      <w:spacing w:beforeLines="30"/>
      <w:ind w:firstLine="0" w:firstLineChars="0"/>
    </w:pPr>
    <w:rPr>
      <w:rFonts w:cs="Times New Roman"/>
      <w:szCs w:val="24"/>
    </w:rPr>
  </w:style>
  <w:style w:type="paragraph" w:customStyle="1" w:styleId="1723">
    <w:name w:val="样式 样式 首行缩进:  2 字符 行距: 最小值 24 磅 + 首行缩进:  2 字符"/>
    <w:basedOn w:val="1"/>
    <w:qFormat/>
    <w:uiPriority w:val="0"/>
    <w:pPr>
      <w:spacing w:line="480" w:lineRule="atLeast"/>
      <w:ind w:firstLine="480"/>
    </w:pPr>
    <w:rPr>
      <w:rFonts w:cs="宋体"/>
      <w:szCs w:val="24"/>
    </w:rPr>
  </w:style>
  <w:style w:type="paragraph" w:customStyle="1" w:styleId="1724">
    <w:name w:val="样式 样式 四号 黑色 首行缩进:  2 字符 + 自动设置 首行缩进:  2 字符 行距: 固定值 24 磅"/>
    <w:basedOn w:val="1600"/>
    <w:qFormat/>
    <w:uiPriority w:val="0"/>
    <w:pPr>
      <w:spacing w:line="480" w:lineRule="exact"/>
      <w:ind w:firstLine="480"/>
    </w:pPr>
    <w:rPr>
      <w:rFonts w:cs="宋体"/>
      <w:color w:val="auto"/>
      <w:szCs w:val="20"/>
    </w:rPr>
  </w:style>
  <w:style w:type="paragraph" w:customStyle="1" w:styleId="1725">
    <w:name w:val="Char Char3 Char Char Char Char Char Char Char"/>
    <w:basedOn w:val="1"/>
    <w:qFormat/>
    <w:uiPriority w:val="0"/>
    <w:pPr>
      <w:widowControl/>
      <w:spacing w:after="160" w:line="240" w:lineRule="exact"/>
      <w:ind w:firstLine="0" w:firstLineChars="0"/>
      <w:jc w:val="left"/>
    </w:pPr>
    <w:rPr>
      <w:rFonts w:ascii="Verdana" w:hAnsi="Verdana" w:cs="Times New Roman"/>
      <w:kern w:val="0"/>
      <w:sz w:val="20"/>
      <w:szCs w:val="20"/>
      <w:lang w:eastAsia="en-US"/>
    </w:rPr>
  </w:style>
  <w:style w:type="paragraph" w:customStyle="1" w:styleId="1726">
    <w:name w:val="正文 Char Char Char"/>
    <w:basedOn w:val="1"/>
    <w:qFormat/>
    <w:uiPriority w:val="0"/>
    <w:pPr>
      <w:spacing w:line="240" w:lineRule="auto"/>
      <w:ind w:firstLine="0" w:firstLineChars="0"/>
    </w:pPr>
    <w:rPr>
      <w:rFonts w:cs="宋体"/>
      <w:szCs w:val="20"/>
    </w:rPr>
  </w:style>
  <w:style w:type="paragraph" w:customStyle="1" w:styleId="1727">
    <w:name w:val="样式 纯文本 + (符号) 宋体 四号"/>
    <w:basedOn w:val="45"/>
    <w:qFormat/>
    <w:uiPriority w:val="0"/>
    <w:pPr>
      <w:spacing w:line="500" w:lineRule="exact"/>
      <w:ind w:firstLine="560" w:firstLineChars="200"/>
    </w:pPr>
    <w:rPr>
      <w:rFonts w:eastAsia="宋体" w:cs="Century"/>
      <w:sz w:val="28"/>
    </w:rPr>
  </w:style>
  <w:style w:type="paragraph" w:customStyle="1" w:styleId="1728">
    <w:name w:val="标准条文"/>
    <w:basedOn w:val="157"/>
    <w:next w:val="157"/>
    <w:qFormat/>
    <w:uiPriority w:val="0"/>
    <w:rPr>
      <w:rFonts w:ascii="Times New Roman" w:hAnsi="Times New Roman" w:cs="Times New Roman"/>
      <w:color w:val="auto"/>
    </w:rPr>
  </w:style>
  <w:style w:type="paragraph" w:customStyle="1" w:styleId="1729">
    <w:name w:val="样式 桔黄 首行缩进:  1 厘米 行距: 固定值 25 磅"/>
    <w:basedOn w:val="1"/>
    <w:qFormat/>
    <w:uiPriority w:val="0"/>
    <w:pPr>
      <w:adjustRightInd w:val="0"/>
      <w:spacing w:line="500" w:lineRule="exact"/>
      <w:ind w:firstLine="560"/>
    </w:pPr>
    <w:rPr>
      <w:rFonts w:ascii="宋体" w:hAnsi="宋体" w:cs="宋体"/>
      <w:kern w:val="0"/>
      <w:sz w:val="28"/>
      <w:szCs w:val="20"/>
    </w:rPr>
  </w:style>
  <w:style w:type="paragraph" w:customStyle="1" w:styleId="1730">
    <w:name w:val="标题111"/>
    <w:basedOn w:val="1"/>
    <w:qFormat/>
    <w:uiPriority w:val="0"/>
    <w:pPr>
      <w:spacing w:line="480" w:lineRule="exact"/>
      <w:ind w:firstLine="0" w:firstLineChars="0"/>
    </w:pPr>
    <w:rPr>
      <w:rFonts w:ascii="Calibri" w:hAnsi="Calibri" w:cs="Times New Roman"/>
      <w:b/>
      <w:szCs w:val="24"/>
    </w:rPr>
  </w:style>
  <w:style w:type="paragraph" w:customStyle="1" w:styleId="1731">
    <w:name w:val="updatebold"/>
    <w:basedOn w:val="1"/>
    <w:qFormat/>
    <w:uiPriority w:val="0"/>
    <w:pPr>
      <w:widowControl/>
      <w:spacing w:before="100" w:beforeAutospacing="1" w:after="100" w:afterAutospacing="1" w:line="240" w:lineRule="auto"/>
      <w:ind w:firstLine="0" w:firstLineChars="0"/>
      <w:jc w:val="left"/>
    </w:pPr>
    <w:rPr>
      <w:rFonts w:ascii="Arial" w:hAnsi="Arial" w:cs="Arial"/>
      <w:b/>
      <w:bCs/>
      <w:kern w:val="0"/>
      <w:sz w:val="14"/>
      <w:szCs w:val="14"/>
    </w:rPr>
  </w:style>
  <w:style w:type="paragraph" w:customStyle="1" w:styleId="1732">
    <w:name w:val="（一）"/>
    <w:basedOn w:val="684"/>
    <w:qFormat/>
    <w:uiPriority w:val="0"/>
    <w:pPr>
      <w:spacing w:line="460" w:lineRule="exact"/>
      <w:ind w:firstLine="200" w:firstLineChars="200"/>
    </w:pPr>
  </w:style>
  <w:style w:type="paragraph" w:customStyle="1" w:styleId="1733">
    <w:name w:val="样式 五号 居中 行距: 固定值 20 磅"/>
    <w:basedOn w:val="1"/>
    <w:qFormat/>
    <w:uiPriority w:val="0"/>
    <w:pPr>
      <w:spacing w:line="400" w:lineRule="exact"/>
      <w:ind w:firstLine="2" w:firstLineChars="0"/>
      <w:jc w:val="center"/>
    </w:pPr>
    <w:rPr>
      <w:rFonts w:cs="宋体"/>
      <w:sz w:val="21"/>
      <w:szCs w:val="20"/>
    </w:rPr>
  </w:style>
  <w:style w:type="paragraph" w:customStyle="1" w:styleId="1734">
    <w:name w:val="样式 标题 2节标题 1.1b2H2BSH-2节标题 1.1 Charb2 CharH2 Char条标题1.1..."/>
    <w:basedOn w:val="4"/>
    <w:qFormat/>
    <w:uiPriority w:val="0"/>
    <w:pPr>
      <w:tabs>
        <w:tab w:val="left" w:pos="927"/>
        <w:tab w:val="left" w:pos="1134"/>
      </w:tabs>
      <w:adjustRightInd w:val="0"/>
      <w:snapToGrid w:val="0"/>
      <w:spacing w:before="156" w:afterLines="50" w:line="412" w:lineRule="auto"/>
      <w:jc w:val="left"/>
    </w:pPr>
    <w:rPr>
      <w:rFonts w:eastAsia="宋体" w:cs="宋体"/>
      <w:sz w:val="30"/>
      <w:szCs w:val="20"/>
    </w:rPr>
  </w:style>
  <w:style w:type="paragraph" w:customStyle="1" w:styleId="1735">
    <w:name w:val="样式33"/>
    <w:basedOn w:val="1"/>
    <w:qFormat/>
    <w:uiPriority w:val="0"/>
    <w:pPr>
      <w:spacing w:beforeLines="50" w:line="300" w:lineRule="auto"/>
      <w:ind w:firstLine="0" w:firstLineChars="0"/>
      <w:outlineLvl w:val="2"/>
    </w:pPr>
    <w:rPr>
      <w:rFonts w:cs="Times New Roman"/>
      <w:b/>
      <w:sz w:val="28"/>
      <w:szCs w:val="28"/>
    </w:rPr>
  </w:style>
  <w:style w:type="paragraph" w:customStyle="1" w:styleId="1736">
    <w:name w:val="样式 标题 4"/>
    <w:basedOn w:val="6"/>
    <w:qFormat/>
    <w:uiPriority w:val="0"/>
    <w:pPr>
      <w:tabs>
        <w:tab w:val="left" w:pos="1134"/>
        <w:tab w:val="left" w:pos="1630"/>
      </w:tabs>
      <w:spacing w:line="480" w:lineRule="exact"/>
      <w:jc w:val="left"/>
    </w:pPr>
    <w:rPr>
      <w:rFonts w:ascii="宋体" w:hAnsi="宋体" w:eastAsia="宋体" w:cs="Arial"/>
      <w:color w:val="008000"/>
      <w:spacing w:val="-10"/>
      <w:szCs w:val="24"/>
    </w:rPr>
  </w:style>
  <w:style w:type="paragraph" w:customStyle="1" w:styleId="1737">
    <w:name w:val="f14"/>
    <w:basedOn w:val="1"/>
    <w:qFormat/>
    <w:uiPriority w:val="0"/>
    <w:pPr>
      <w:widowControl/>
      <w:wordWrap w:val="0"/>
      <w:spacing w:line="240" w:lineRule="auto"/>
      <w:ind w:firstLine="0" w:firstLineChars="0"/>
      <w:jc w:val="left"/>
    </w:pPr>
    <w:rPr>
      <w:rFonts w:ascii="宋体" w:hAnsi="宋体" w:cs="Times New Roman"/>
      <w:kern w:val="0"/>
      <w:sz w:val="21"/>
    </w:rPr>
  </w:style>
  <w:style w:type="paragraph" w:customStyle="1" w:styleId="1738">
    <w:name w:val="标题40"/>
    <w:basedOn w:val="1"/>
    <w:qFormat/>
    <w:uiPriority w:val="0"/>
    <w:pPr>
      <w:snapToGrid w:val="0"/>
      <w:spacing w:beforeLines="50"/>
      <w:ind w:firstLine="0" w:firstLineChars="0"/>
      <w:outlineLvl w:val="3"/>
    </w:pPr>
    <w:rPr>
      <w:rFonts w:ascii="宋体" w:hAnsi="宋体" w:cs="Times New Roman"/>
      <w:b/>
      <w:bCs/>
      <w:kern w:val="0"/>
      <w:szCs w:val="20"/>
    </w:rPr>
  </w:style>
  <w:style w:type="paragraph" w:customStyle="1" w:styleId="1739">
    <w:name w:val="正文0"/>
    <w:basedOn w:val="1"/>
    <w:semiHidden/>
    <w:qFormat/>
    <w:uiPriority w:val="0"/>
    <w:pPr>
      <w:keepNext/>
      <w:tabs>
        <w:tab w:val="left" w:pos="1134"/>
        <w:tab w:val="left" w:pos="1540"/>
      </w:tabs>
      <w:adjustRightInd w:val="0"/>
      <w:spacing w:line="580" w:lineRule="exact"/>
      <w:ind w:left="1134" w:hanging="567" w:firstLineChars="0"/>
      <w:jc w:val="left"/>
    </w:pPr>
    <w:rPr>
      <w:rFonts w:ascii="宋体" w:hAnsi="宋体" w:eastAsia="仿宋_GB2312" w:cs="Times New Roman"/>
      <w:color w:val="FF0000"/>
      <w:spacing w:val="8"/>
      <w:kern w:val="0"/>
      <w:sz w:val="30"/>
      <w:szCs w:val="30"/>
    </w:rPr>
  </w:style>
  <w:style w:type="paragraph" w:customStyle="1" w:styleId="1740">
    <w:name w:val="top"/>
    <w:basedOn w:val="1"/>
    <w:qFormat/>
    <w:uiPriority w:val="0"/>
    <w:pPr>
      <w:widowControl/>
      <w:spacing w:before="100" w:beforeAutospacing="1" w:after="100" w:afterAutospacing="1" w:line="240" w:lineRule="auto"/>
      <w:ind w:firstLine="0" w:firstLineChars="0"/>
      <w:jc w:val="right"/>
    </w:pPr>
    <w:rPr>
      <w:rFonts w:ascii="Arial" w:hAnsi="Arial" w:cs="Arial"/>
      <w:kern w:val="0"/>
      <w:sz w:val="12"/>
      <w:szCs w:val="12"/>
    </w:rPr>
  </w:style>
  <w:style w:type="character" w:customStyle="1" w:styleId="1741">
    <w:name w:val="报告正文 Char"/>
    <w:link w:val="1742"/>
    <w:qFormat/>
    <w:locked/>
    <w:uiPriority w:val="0"/>
    <w:rPr>
      <w:sz w:val="28"/>
      <w:szCs w:val="24"/>
    </w:rPr>
  </w:style>
  <w:style w:type="paragraph" w:customStyle="1" w:styleId="1742">
    <w:name w:val="报告正文"/>
    <w:basedOn w:val="1"/>
    <w:link w:val="1741"/>
    <w:qFormat/>
    <w:uiPriority w:val="0"/>
    <w:pPr>
      <w:spacing w:line="240" w:lineRule="auto"/>
      <w:jc w:val="left"/>
    </w:pPr>
    <w:rPr>
      <w:rFonts w:asciiTheme="minorHAnsi" w:hAnsiTheme="minorHAnsi" w:eastAsiaTheme="minorEastAsia"/>
      <w:sz w:val="28"/>
      <w:szCs w:val="24"/>
    </w:rPr>
  </w:style>
  <w:style w:type="paragraph" w:customStyle="1" w:styleId="1743">
    <w:name w:val="Char Char Char Char3"/>
    <w:basedOn w:val="5"/>
    <w:qFormat/>
    <w:uiPriority w:val="0"/>
    <w:pPr>
      <w:tabs>
        <w:tab w:val="left" w:pos="360"/>
        <w:tab w:val="left" w:pos="900"/>
      </w:tabs>
      <w:snapToGrid w:val="0"/>
      <w:spacing w:before="120"/>
      <w:ind w:left="542" w:leftChars="-12" w:firstLine="200" w:firstLineChars="200"/>
      <w:jc w:val="left"/>
    </w:pPr>
    <w:rPr>
      <w:b w:val="0"/>
      <w:bCs w:val="0"/>
      <w:sz w:val="24"/>
      <w:szCs w:val="24"/>
    </w:rPr>
  </w:style>
  <w:style w:type="paragraph" w:customStyle="1" w:styleId="1744">
    <w:name w:val="Char Char Char Char Char Char Char3"/>
    <w:basedOn w:val="1"/>
    <w:qFormat/>
    <w:uiPriority w:val="0"/>
    <w:rPr>
      <w:rFonts w:ascii="宋体" w:hAnsi="宋体" w:cs="宋体"/>
      <w:szCs w:val="24"/>
    </w:rPr>
  </w:style>
  <w:style w:type="paragraph" w:customStyle="1" w:styleId="1745">
    <w:name w:val="题注2"/>
    <w:basedOn w:val="1"/>
    <w:qFormat/>
    <w:uiPriority w:val="0"/>
    <w:pPr>
      <w:widowControl/>
      <w:spacing w:before="100" w:beforeAutospacing="1" w:line="240" w:lineRule="auto"/>
      <w:ind w:firstLine="0" w:firstLineChars="0"/>
      <w:jc w:val="left"/>
    </w:pPr>
    <w:rPr>
      <w:rFonts w:ascii="Arial" w:hAnsi="Arial" w:cs="Arial"/>
      <w:b/>
      <w:bCs/>
      <w:kern w:val="0"/>
      <w:sz w:val="14"/>
      <w:szCs w:val="14"/>
    </w:rPr>
  </w:style>
  <w:style w:type="paragraph" w:customStyle="1" w:styleId="1746">
    <w:name w:val="Char22"/>
    <w:basedOn w:val="1"/>
    <w:qFormat/>
    <w:uiPriority w:val="0"/>
    <w:pPr>
      <w:spacing w:line="240" w:lineRule="auto"/>
      <w:ind w:firstLine="0" w:firstLineChars="0"/>
    </w:pPr>
    <w:rPr>
      <w:rFonts w:ascii="宋体" w:hAnsi="宋体" w:cs="Courier New"/>
      <w:sz w:val="32"/>
      <w:szCs w:val="32"/>
    </w:rPr>
  </w:style>
  <w:style w:type="paragraph" w:customStyle="1" w:styleId="1747">
    <w:name w:val="样式 样式18 + 黑色"/>
    <w:basedOn w:val="1"/>
    <w:qFormat/>
    <w:uiPriority w:val="0"/>
    <w:pPr>
      <w:keepNext/>
      <w:keepLines/>
      <w:tabs>
        <w:tab w:val="left" w:pos="1800"/>
      </w:tabs>
      <w:overflowPunct w:val="0"/>
      <w:topLinePunct/>
      <w:autoSpaceDE w:val="0"/>
      <w:autoSpaceDN w:val="0"/>
      <w:adjustRightInd w:val="0"/>
      <w:snapToGrid w:val="0"/>
      <w:spacing w:line="480" w:lineRule="exact"/>
      <w:ind w:firstLine="0" w:firstLineChars="0"/>
      <w:jc w:val="left"/>
      <w:outlineLvl w:val="3"/>
    </w:pPr>
    <w:rPr>
      <w:rFonts w:hAnsi="宋体" w:cs="Times New Roman"/>
      <w:color w:val="000000"/>
      <w:kern w:val="0"/>
      <w:szCs w:val="20"/>
    </w:rPr>
  </w:style>
  <w:style w:type="paragraph" w:customStyle="1" w:styleId="1748">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ind w:firstLine="0" w:firstLineChars="0"/>
      <w:jc w:val="left"/>
    </w:pPr>
    <w:rPr>
      <w:rFonts w:cs="Times New Roman"/>
      <w:sz w:val="21"/>
      <w:szCs w:val="20"/>
    </w:rPr>
  </w:style>
  <w:style w:type="paragraph" w:customStyle="1" w:styleId="1749">
    <w:name w:val="正文6"/>
    <w:qFormat/>
    <w:uiPriority w:val="0"/>
    <w:pPr>
      <w:widowControl w:val="0"/>
      <w:adjustRightInd w:val="0"/>
      <w:spacing w:line="360" w:lineRule="atLeast"/>
    </w:pPr>
    <w:rPr>
      <w:rFonts w:ascii="Arial" w:hAnsi="Times New Roman" w:eastAsia="宋体" w:cs="Times New Roman"/>
      <w:sz w:val="34"/>
      <w:lang w:val="en-US" w:eastAsia="zh-CN" w:bidi="ar-SA"/>
    </w:rPr>
  </w:style>
  <w:style w:type="paragraph" w:customStyle="1" w:styleId="1750">
    <w:name w:val="a表格"/>
    <w:basedOn w:val="1"/>
    <w:qFormat/>
    <w:uiPriority w:val="0"/>
    <w:pPr>
      <w:snapToGrid w:val="0"/>
      <w:spacing w:line="440" w:lineRule="exact"/>
      <w:jc w:val="center"/>
    </w:pPr>
    <w:rPr>
      <w:rFonts w:cs="Times New Roman"/>
      <w:szCs w:val="24"/>
    </w:rPr>
  </w:style>
  <w:style w:type="paragraph" w:customStyle="1" w:styleId="1751">
    <w:name w:val="Char Char7 Char Char Char Char Char Char2"/>
    <w:basedOn w:val="5"/>
    <w:qFormat/>
    <w:uiPriority w:val="0"/>
    <w:pPr>
      <w:tabs>
        <w:tab w:val="left" w:pos="360"/>
        <w:tab w:val="left" w:pos="900"/>
      </w:tabs>
      <w:snapToGrid w:val="0"/>
      <w:spacing w:before="120" w:after="120"/>
      <w:ind w:left="542" w:leftChars="-12" w:firstLine="200" w:firstLineChars="200"/>
      <w:jc w:val="left"/>
    </w:pPr>
    <w:rPr>
      <w:bCs w:val="0"/>
      <w:kern w:val="0"/>
      <w:szCs w:val="20"/>
    </w:rPr>
  </w:style>
  <w:style w:type="paragraph" w:customStyle="1" w:styleId="1752">
    <w:name w:val="Char Char1 Char Char1 Char Char1 Char Char1 Char Char Char Char Char Char Char"/>
    <w:basedOn w:val="1"/>
    <w:qFormat/>
    <w:uiPriority w:val="0"/>
    <w:pPr>
      <w:spacing w:line="440" w:lineRule="exact"/>
      <w:ind w:firstLine="480"/>
    </w:pPr>
    <w:rPr>
      <w:rFonts w:ascii="Tahoma" w:hAnsi="Tahoma" w:cs="Times New Roman"/>
      <w:szCs w:val="24"/>
    </w:rPr>
  </w:style>
  <w:style w:type="paragraph" w:customStyle="1" w:styleId="1753">
    <w:name w:val=".€·..‘ .€·..‘ ..￡............è.. + .￥·..fi_GB2312 é|.è.....è..:  2 .....| ..μ.’”: 0.3 è.. è..è·.: 1.5 ..“è..è·. + é|.è.........&quot;1"/>
    <w:basedOn w:val="157"/>
    <w:next w:val="157"/>
    <w:qFormat/>
    <w:uiPriority w:val="0"/>
    <w:pPr>
      <w:spacing w:after="30"/>
    </w:pPr>
    <w:rPr>
      <w:rFonts w:ascii="Kai Titling" w:hAnsi="Times New Roman" w:eastAsia="Kai Titling" w:cs="Times New Roman"/>
      <w:color w:val="auto"/>
    </w:rPr>
  </w:style>
  <w:style w:type="paragraph" w:customStyle="1" w:styleId="1754">
    <w:name w:val="节标"/>
    <w:basedOn w:val="1"/>
    <w:qFormat/>
    <w:uiPriority w:val="0"/>
    <w:pPr>
      <w:widowControl/>
      <w:autoSpaceDE w:val="0"/>
      <w:autoSpaceDN w:val="0"/>
      <w:adjustRightInd w:val="0"/>
      <w:spacing w:line="480" w:lineRule="exact"/>
      <w:ind w:firstLine="567" w:firstLineChars="0"/>
      <w:jc w:val="center"/>
    </w:pPr>
    <w:rPr>
      <w:rFonts w:cs="Times New Roman"/>
      <w:b/>
      <w:kern w:val="0"/>
      <w:sz w:val="30"/>
      <w:szCs w:val="20"/>
    </w:rPr>
  </w:style>
  <w:style w:type="paragraph" w:customStyle="1" w:styleId="1755">
    <w:name w:val="首页脚注"/>
    <w:basedOn w:val="55"/>
    <w:qFormat/>
    <w:uiPriority w:val="0"/>
    <w:pPr>
      <w:keepLines/>
      <w:widowControl/>
      <w:tabs>
        <w:tab w:val="center" w:pos="4320"/>
        <w:tab w:val="clear" w:pos="4153"/>
        <w:tab w:val="clear" w:pos="8306"/>
      </w:tabs>
      <w:overflowPunct w:val="0"/>
      <w:autoSpaceDE w:val="0"/>
      <w:autoSpaceDN w:val="0"/>
      <w:adjustRightInd w:val="0"/>
      <w:snapToGrid/>
      <w:spacing w:line="360" w:lineRule="auto"/>
      <w:ind w:firstLine="0" w:firstLineChars="0"/>
      <w:jc w:val="center"/>
    </w:pPr>
    <w:rPr>
      <w:rFonts w:cs="Times New Roman"/>
      <w:kern w:val="0"/>
      <w:sz w:val="28"/>
      <w:szCs w:val="20"/>
    </w:rPr>
  </w:style>
  <w:style w:type="paragraph" w:customStyle="1" w:styleId="1756">
    <w:name w:val="Char1 Char Char Char12"/>
    <w:basedOn w:val="1"/>
    <w:qFormat/>
    <w:uiPriority w:val="0"/>
    <w:pPr>
      <w:spacing w:line="240" w:lineRule="auto"/>
      <w:ind w:firstLine="0" w:firstLineChars="0"/>
    </w:pPr>
    <w:rPr>
      <w:rFonts w:cs="Times New Roman"/>
      <w:sz w:val="21"/>
      <w:szCs w:val="24"/>
    </w:rPr>
  </w:style>
  <w:style w:type="paragraph" w:customStyle="1" w:styleId="1757">
    <w:name w:val="Char Char Char3 Char Char Char Char1"/>
    <w:basedOn w:val="1"/>
    <w:next w:val="1"/>
    <w:qFormat/>
    <w:uiPriority w:val="0"/>
    <w:rPr>
      <w:rFonts w:ascii="宋体" w:hAnsi="宋体" w:cs="宋体"/>
      <w:szCs w:val="24"/>
    </w:rPr>
  </w:style>
  <w:style w:type="paragraph" w:customStyle="1" w:styleId="1758">
    <w:name w:val="Personal Info"/>
    <w:basedOn w:val="1557"/>
    <w:qFormat/>
    <w:uiPriority w:val="0"/>
    <w:pPr>
      <w:tabs>
        <w:tab w:val="left" w:pos="425"/>
        <w:tab w:val="clear" w:pos="960"/>
      </w:tabs>
      <w:spacing w:before="220"/>
      <w:ind w:left="425" w:hanging="425"/>
    </w:pPr>
    <w:rPr>
      <w:szCs w:val="20"/>
    </w:rPr>
  </w:style>
  <w:style w:type="paragraph" w:customStyle="1" w:styleId="1759">
    <w:name w:val="正文文本缩进2"/>
    <w:basedOn w:val="1"/>
    <w:qFormat/>
    <w:uiPriority w:val="0"/>
    <w:pPr>
      <w:spacing w:line="460" w:lineRule="atLeast"/>
      <w:ind w:right="851" w:firstLine="560"/>
    </w:pPr>
    <w:rPr>
      <w:rFonts w:ascii="宋体" w:cs="Times New Roman"/>
      <w:kern w:val="0"/>
      <w:sz w:val="28"/>
      <w:szCs w:val="20"/>
    </w:rPr>
  </w:style>
  <w:style w:type="paragraph" w:customStyle="1" w:styleId="1760">
    <w:name w:val="Header Base"/>
    <w:basedOn w:val="1"/>
    <w:qFormat/>
    <w:uiPriority w:val="0"/>
    <w:pPr>
      <w:widowControl/>
      <w:spacing w:line="240" w:lineRule="auto"/>
      <w:ind w:right="-360" w:firstLine="0" w:firstLineChars="0"/>
      <w:jc w:val="left"/>
    </w:pPr>
    <w:rPr>
      <w:rFonts w:cs="Times New Roman"/>
      <w:kern w:val="0"/>
      <w:sz w:val="20"/>
      <w:szCs w:val="20"/>
    </w:rPr>
  </w:style>
  <w:style w:type="paragraph" w:customStyle="1" w:styleId="1761">
    <w:name w:val="Heading Base"/>
    <w:basedOn w:val="34"/>
    <w:next w:val="34"/>
    <w:qFormat/>
    <w:uiPriority w:val="0"/>
    <w:pPr>
      <w:keepNext/>
      <w:keepLines/>
      <w:widowControl/>
      <w:spacing w:after="0" w:line="220" w:lineRule="atLeast"/>
      <w:ind w:right="-360" w:firstLine="0" w:firstLineChars="0"/>
      <w:jc w:val="left"/>
    </w:pPr>
    <w:rPr>
      <w:rFonts w:ascii="Arial" w:hAnsi="Arial" w:cs="Times New Roman"/>
      <w:spacing w:val="-4"/>
      <w:kern w:val="0"/>
      <w:sz w:val="18"/>
      <w:szCs w:val="20"/>
    </w:rPr>
  </w:style>
  <w:style w:type="paragraph" w:customStyle="1" w:styleId="1762">
    <w:name w:val="Job Title"/>
    <w:next w:val="1557"/>
    <w:qFormat/>
    <w:uiPriority w:val="0"/>
    <w:pPr>
      <w:spacing w:after="40" w:line="220" w:lineRule="atLeast"/>
    </w:pPr>
    <w:rPr>
      <w:rFonts w:ascii="Arial" w:hAnsi="Arial" w:eastAsia="宋体" w:cs="Times New Roman"/>
      <w:b/>
      <w:spacing w:val="-10"/>
      <w:lang w:val="en-US" w:eastAsia="zh-CN" w:bidi="ar-SA"/>
    </w:rPr>
  </w:style>
  <w:style w:type="paragraph" w:customStyle="1" w:styleId="1763">
    <w:name w:val="Name"/>
    <w:basedOn w:val="1"/>
    <w:next w:val="1"/>
    <w:qFormat/>
    <w:uiPriority w:val="0"/>
    <w:pPr>
      <w:widowControl/>
      <w:spacing w:after="440" w:line="240" w:lineRule="atLeast"/>
      <w:ind w:left="2160" w:firstLine="0" w:firstLineChars="0"/>
      <w:jc w:val="left"/>
    </w:pPr>
    <w:rPr>
      <w:rFonts w:cs="Times New Roman"/>
      <w:spacing w:val="-20"/>
      <w:kern w:val="0"/>
      <w:sz w:val="48"/>
      <w:szCs w:val="20"/>
    </w:rPr>
  </w:style>
  <w:style w:type="paragraph" w:customStyle="1" w:styleId="1764">
    <w:name w:val="Objective"/>
    <w:basedOn w:val="1"/>
    <w:next w:val="34"/>
    <w:qFormat/>
    <w:uiPriority w:val="0"/>
    <w:pPr>
      <w:widowControl/>
      <w:spacing w:before="220" w:after="220" w:line="220" w:lineRule="atLeast"/>
      <w:ind w:firstLine="0" w:firstLineChars="0"/>
      <w:jc w:val="left"/>
    </w:pPr>
    <w:rPr>
      <w:rFonts w:cs="Times New Roman"/>
      <w:kern w:val="0"/>
      <w:sz w:val="20"/>
      <w:szCs w:val="20"/>
    </w:rPr>
  </w:style>
  <w:style w:type="paragraph" w:customStyle="1" w:styleId="1765">
    <w:name w:val="表格文字居中 Char Char"/>
    <w:basedOn w:val="86"/>
    <w:qFormat/>
    <w:uiPriority w:val="0"/>
    <w:pPr>
      <w:keepNext/>
      <w:tabs>
        <w:tab w:val="left" w:pos="628"/>
        <w:tab w:val="left" w:pos="980"/>
        <w:tab w:val="left" w:pos="1727"/>
        <w:tab w:val="left" w:pos="1884"/>
        <w:tab w:val="left" w:pos="4900"/>
      </w:tabs>
      <w:autoSpaceDE w:val="0"/>
      <w:autoSpaceDN w:val="0"/>
      <w:adjustRightInd w:val="0"/>
      <w:snapToGrid w:val="0"/>
      <w:spacing w:before="100" w:beforeAutospacing="1" w:after="0"/>
      <w:ind w:left="-139" w:leftChars="-58" w:firstLine="0" w:firstLineChars="0"/>
      <w:jc w:val="center"/>
    </w:pPr>
    <w:rPr>
      <w:rFonts w:ascii="宋体" w:hAnsi="宋体"/>
      <w:color w:val="FF0000"/>
      <w:spacing w:val="-12"/>
      <w:kern w:val="0"/>
      <w:sz w:val="28"/>
      <w:szCs w:val="28"/>
      <w:lang w:val="zh-CN"/>
    </w:rPr>
  </w:style>
  <w:style w:type="paragraph" w:customStyle="1" w:styleId="1766">
    <w:name w:val="In Table (II)"/>
    <w:basedOn w:val="1571"/>
    <w:qFormat/>
    <w:uiPriority w:val="0"/>
    <w:pPr>
      <w:spacing w:before="60" w:after="60"/>
      <w:ind w:left="52"/>
      <w:jc w:val="left"/>
    </w:pPr>
  </w:style>
  <w:style w:type="paragraph" w:customStyle="1" w:styleId="1767">
    <w:name w:val="a0"/>
    <w:basedOn w:val="1"/>
    <w:qFormat/>
    <w:uiPriority w:val="0"/>
    <w:pPr>
      <w:widowControl/>
      <w:spacing w:before="100" w:beforeAutospacing="1" w:after="100" w:afterAutospacing="1" w:line="240" w:lineRule="auto"/>
      <w:ind w:firstLine="0" w:firstLineChars="0"/>
      <w:jc w:val="left"/>
    </w:pPr>
    <w:rPr>
      <w:rFonts w:ascii="宋体" w:hAnsi="宋体" w:cs="Times New Roman"/>
      <w:color w:val="000000"/>
      <w:kern w:val="0"/>
      <w:szCs w:val="20"/>
    </w:rPr>
  </w:style>
  <w:style w:type="paragraph" w:customStyle="1" w:styleId="1768">
    <w:name w:val="表、图名宋旭峰"/>
    <w:basedOn w:val="1"/>
    <w:qFormat/>
    <w:uiPriority w:val="0"/>
    <w:pPr>
      <w:spacing w:beforeLines="50"/>
      <w:ind w:firstLine="480"/>
      <w:jc w:val="center"/>
    </w:pPr>
    <w:rPr>
      <w:rFonts w:ascii="黑体" w:hAnsi="宋体" w:eastAsia="黑体" w:cs="Times New Roman"/>
      <w:kern w:val="0"/>
    </w:rPr>
  </w:style>
  <w:style w:type="paragraph" w:customStyle="1" w:styleId="1769">
    <w:name w:val="标准文本 居中 单倍行距 Char"/>
    <w:basedOn w:val="1"/>
    <w:qFormat/>
    <w:uiPriority w:val="0"/>
    <w:pPr>
      <w:adjustRightInd w:val="0"/>
      <w:snapToGrid w:val="0"/>
      <w:spacing w:before="120" w:line="480" w:lineRule="exact"/>
      <w:ind w:firstLine="480"/>
      <w:jc w:val="center"/>
    </w:pPr>
    <w:rPr>
      <w:rFonts w:ascii="黑体" w:eastAsia="黑体" w:cs="宋体"/>
      <w:b/>
      <w:szCs w:val="24"/>
    </w:rPr>
  </w:style>
  <w:style w:type="paragraph" w:customStyle="1" w:styleId="1770">
    <w:name w:val="样式 题注 + (西文) Times New Roman (中文) 宋体 小四 加粗 黑色 居中 段前: 3 磅 ..."/>
    <w:basedOn w:val="22"/>
    <w:qFormat/>
    <w:uiPriority w:val="0"/>
    <w:pPr>
      <w:adjustRightInd w:val="0"/>
      <w:spacing w:afterLines="100" w:line="360" w:lineRule="auto"/>
    </w:pPr>
    <w:rPr>
      <w:rFonts w:ascii="Times New Roman" w:hAnsi="Times New Roman" w:cs="宋体"/>
      <w:b/>
      <w:bCs/>
      <w:color w:val="000000"/>
      <w:kern w:val="0"/>
      <w:sz w:val="24"/>
    </w:rPr>
  </w:style>
  <w:style w:type="paragraph" w:customStyle="1" w:styleId="1771">
    <w:name w:val="表内文字小"/>
    <w:basedOn w:val="1"/>
    <w:qFormat/>
    <w:uiPriority w:val="0"/>
    <w:pPr>
      <w:adjustRightInd w:val="0"/>
      <w:snapToGrid w:val="0"/>
      <w:spacing w:line="240" w:lineRule="auto"/>
      <w:ind w:firstLine="0" w:firstLineChars="0"/>
      <w:jc w:val="center"/>
    </w:pPr>
    <w:rPr>
      <w:rFonts w:cs="Times New Roman"/>
      <w:sz w:val="18"/>
      <w:szCs w:val="18"/>
    </w:rPr>
  </w:style>
  <w:style w:type="paragraph" w:customStyle="1" w:styleId="1772">
    <w:name w:val="表内5"/>
    <w:basedOn w:val="1"/>
    <w:qFormat/>
    <w:uiPriority w:val="0"/>
    <w:pPr>
      <w:adjustRightInd w:val="0"/>
      <w:snapToGrid w:val="0"/>
      <w:spacing w:line="300" w:lineRule="auto"/>
      <w:ind w:firstLine="0" w:firstLineChars="0"/>
      <w:jc w:val="left"/>
    </w:pPr>
    <w:rPr>
      <w:rFonts w:ascii="宋体" w:cs="Times New Roman"/>
      <w:sz w:val="21"/>
      <w:szCs w:val="20"/>
    </w:rPr>
  </w:style>
  <w:style w:type="paragraph" w:customStyle="1" w:styleId="1773">
    <w:name w:val="等核实"/>
    <w:basedOn w:val="35"/>
    <w:qFormat/>
    <w:uiPriority w:val="0"/>
    <w:pPr>
      <w:tabs>
        <w:tab w:val="left" w:pos="4305"/>
      </w:tabs>
      <w:adjustRightInd w:val="0"/>
      <w:snapToGrid w:val="0"/>
      <w:spacing w:after="0" w:line="300" w:lineRule="auto"/>
      <w:ind w:left="0" w:leftChars="0" w:firstLine="567" w:firstLineChars="0"/>
    </w:pPr>
    <w:rPr>
      <w:rFonts w:ascii="宋体" w:hAnsi="宋体" w:cs="Times New Roman"/>
      <w:color w:val="0000FF"/>
      <w:sz w:val="28"/>
      <w:szCs w:val="20"/>
    </w:rPr>
  </w:style>
  <w:style w:type="paragraph" w:customStyle="1" w:styleId="1774">
    <w:name w:val="样式 小五 居中 行距: 固定值 20 磅"/>
    <w:basedOn w:val="1"/>
    <w:qFormat/>
    <w:uiPriority w:val="0"/>
    <w:pPr>
      <w:spacing w:before="120" w:line="320" w:lineRule="atLeast"/>
      <w:ind w:firstLine="0" w:firstLineChars="0"/>
      <w:jc w:val="center"/>
    </w:pPr>
    <w:rPr>
      <w:rFonts w:cs="Times New Roman"/>
      <w:kern w:val="0"/>
      <w:sz w:val="18"/>
      <w:szCs w:val="18"/>
    </w:rPr>
  </w:style>
  <w:style w:type="paragraph" w:customStyle="1" w:styleId="1775">
    <w:name w:val="待定小"/>
    <w:basedOn w:val="1771"/>
    <w:qFormat/>
    <w:uiPriority w:val="0"/>
    <w:rPr>
      <w:rFonts w:ascii="宋体" w:hAnsi="Times"/>
      <w:color w:val="0000FF"/>
      <w:sz w:val="21"/>
      <w:szCs w:val="20"/>
    </w:rPr>
  </w:style>
  <w:style w:type="paragraph" w:customStyle="1" w:styleId="1776">
    <w:name w:val="表内宋5"/>
    <w:basedOn w:val="81"/>
    <w:qFormat/>
    <w:uiPriority w:val="0"/>
    <w:pPr>
      <w:adjustRightInd w:val="0"/>
      <w:snapToGrid w:val="0"/>
      <w:jc w:val="both"/>
    </w:pPr>
    <w:rPr>
      <w:rFonts w:hint="eastAsia" w:cs="Arial Unicode MS"/>
      <w:color w:val="000000"/>
      <w:kern w:val="2"/>
      <w:sz w:val="21"/>
    </w:rPr>
  </w:style>
  <w:style w:type="paragraph" w:customStyle="1" w:styleId="1777">
    <w:name w:val="ｽﾀｲﾙ1"/>
    <w:basedOn w:val="1"/>
    <w:qFormat/>
    <w:uiPriority w:val="0"/>
    <w:pPr>
      <w:spacing w:line="240" w:lineRule="auto"/>
      <w:ind w:left="1134" w:firstLine="0" w:firstLineChars="0"/>
    </w:pPr>
    <w:rPr>
      <w:rFonts w:ascii="Century" w:hAnsi="Century" w:eastAsia="MS Mincho" w:cs="Times New Roman"/>
      <w:sz w:val="21"/>
      <w:lang w:eastAsia="ja-JP"/>
    </w:rPr>
  </w:style>
  <w:style w:type="paragraph" w:customStyle="1" w:styleId="1778">
    <w:name w:val="样式 标题 2 + 段前: 0.3 行 段后: 0.3 行"/>
    <w:basedOn w:val="4"/>
    <w:qFormat/>
    <w:uiPriority w:val="0"/>
    <w:pPr>
      <w:widowControl/>
      <w:tabs>
        <w:tab w:val="left" w:pos="927"/>
        <w:tab w:val="left" w:pos="1134"/>
      </w:tabs>
      <w:adjustRightInd w:val="0"/>
      <w:snapToGrid w:val="0"/>
      <w:spacing w:before="120" w:after="120" w:line="480" w:lineRule="exact"/>
    </w:pPr>
    <w:rPr>
      <w:rFonts w:cs="宋体"/>
      <w:kern w:val="0"/>
      <w:sz w:val="30"/>
      <w:szCs w:val="20"/>
    </w:rPr>
  </w:style>
  <w:style w:type="character" w:customStyle="1" w:styleId="1779">
    <w:name w:val="表格头 Char Char"/>
    <w:link w:val="1780"/>
    <w:qFormat/>
    <w:locked/>
    <w:uiPriority w:val="0"/>
    <w:rPr>
      <w:sz w:val="24"/>
      <w:szCs w:val="24"/>
    </w:rPr>
  </w:style>
  <w:style w:type="paragraph" w:customStyle="1" w:styleId="1780">
    <w:name w:val="表格头"/>
    <w:link w:val="1779"/>
    <w:qFormat/>
    <w:uiPriority w:val="0"/>
    <w:pPr>
      <w:spacing w:before="120" w:after="120" w:line="480" w:lineRule="atLeast"/>
      <w:jc w:val="center"/>
    </w:pPr>
    <w:rPr>
      <w:rFonts w:asciiTheme="minorHAnsi" w:hAnsiTheme="minorHAnsi" w:eastAsiaTheme="minorEastAsia" w:cstheme="minorBidi"/>
      <w:kern w:val="2"/>
      <w:sz w:val="24"/>
      <w:szCs w:val="24"/>
      <w:lang w:val="en-US" w:eastAsia="zh-CN" w:bidi="ar-SA"/>
    </w:rPr>
  </w:style>
  <w:style w:type="paragraph" w:customStyle="1" w:styleId="1781">
    <w:name w:val="目次"/>
    <w:basedOn w:val="86"/>
    <w:qFormat/>
    <w:uiPriority w:val="0"/>
    <w:pPr>
      <w:keepNext/>
      <w:tabs>
        <w:tab w:val="left" w:pos="628"/>
        <w:tab w:val="left" w:pos="1727"/>
        <w:tab w:val="left" w:pos="1884"/>
        <w:tab w:val="left" w:pos="2660"/>
        <w:tab w:val="left" w:pos="4325"/>
      </w:tabs>
      <w:adjustRightInd w:val="0"/>
      <w:snapToGrid w:val="0"/>
      <w:spacing w:after="0" w:line="360" w:lineRule="auto"/>
      <w:ind w:firstLine="560" w:firstLineChars="200"/>
      <w:jc w:val="left"/>
    </w:pPr>
    <w:rPr>
      <w:rFonts w:ascii="宋体" w:hAnsi="宋体"/>
      <w:b/>
      <w:bCs/>
      <w:color w:val="000000"/>
      <w:kern w:val="0"/>
      <w:sz w:val="28"/>
      <w:szCs w:val="28"/>
    </w:rPr>
  </w:style>
  <w:style w:type="paragraph" w:customStyle="1" w:styleId="1782">
    <w:name w:val="表格03"/>
    <w:basedOn w:val="1"/>
    <w:qFormat/>
    <w:uiPriority w:val="0"/>
    <w:pPr>
      <w:spacing w:line="400" w:lineRule="exact"/>
      <w:ind w:firstLine="0" w:firstLineChars="0"/>
      <w:jc w:val="center"/>
    </w:pPr>
    <w:rPr>
      <w:rFonts w:cs="Times New Roman"/>
      <w:sz w:val="21"/>
    </w:rPr>
  </w:style>
  <w:style w:type="paragraph" w:customStyle="1" w:styleId="1783">
    <w:name w:val="Char Char Char Char Char Char12"/>
    <w:basedOn w:val="1"/>
    <w:qFormat/>
    <w:uiPriority w:val="0"/>
    <w:pPr>
      <w:widowControl/>
      <w:spacing w:after="160" w:line="240" w:lineRule="exact"/>
      <w:jc w:val="left"/>
    </w:pPr>
    <w:rPr>
      <w:rFonts w:cs="Garamond"/>
      <w:kern w:val="0"/>
      <w:sz w:val="20"/>
      <w:szCs w:val="24"/>
      <w:lang w:eastAsia="en-US"/>
    </w:rPr>
  </w:style>
  <w:style w:type="paragraph" w:customStyle="1" w:styleId="1784">
    <w:name w:val="首行缩进两字 Char"/>
    <w:basedOn w:val="1"/>
    <w:qFormat/>
    <w:uiPriority w:val="0"/>
    <w:pPr>
      <w:spacing w:line="240" w:lineRule="auto"/>
      <w:ind w:firstLine="549" w:firstLineChars="196"/>
      <w:jc w:val="left"/>
    </w:pPr>
    <w:rPr>
      <w:rFonts w:ascii="宋体" w:hAnsi="宋体" w:cs="Times New Roman"/>
      <w:sz w:val="28"/>
      <w:szCs w:val="24"/>
    </w:rPr>
  </w:style>
  <w:style w:type="paragraph" w:customStyle="1" w:styleId="1785">
    <w:name w:val="表头－h"/>
    <w:basedOn w:val="1"/>
    <w:next w:val="1"/>
    <w:qFormat/>
    <w:uiPriority w:val="0"/>
    <w:pPr>
      <w:keepNext/>
      <w:adjustRightInd w:val="0"/>
      <w:snapToGrid w:val="0"/>
      <w:spacing w:line="240" w:lineRule="auto"/>
      <w:ind w:firstLine="0" w:firstLineChars="0"/>
    </w:pPr>
    <w:rPr>
      <w:rFonts w:ascii="Arial" w:hAnsi="Arial" w:eastAsia="新宋体" w:cs="Times New Roman"/>
      <w:kern w:val="0"/>
      <w:szCs w:val="24"/>
    </w:rPr>
  </w:style>
  <w:style w:type="paragraph" w:customStyle="1" w:styleId="1786">
    <w:name w:val="style5"/>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1787">
    <w:name w:val="表格 2"/>
    <w:basedOn w:val="679"/>
    <w:qFormat/>
    <w:uiPriority w:val="0"/>
    <w:pPr>
      <w:autoSpaceDE w:val="0"/>
      <w:autoSpaceDN w:val="0"/>
      <w:snapToGrid/>
    </w:pPr>
    <w:rPr>
      <w:rFonts w:ascii="Times New Roman"/>
      <w:sz w:val="24"/>
    </w:rPr>
  </w:style>
  <w:style w:type="paragraph" w:customStyle="1" w:styleId="1788">
    <w:name w:val="样式 黑体 首行缩进:  2 字符 行距: 最小值 24 磅"/>
    <w:basedOn w:val="1"/>
    <w:qFormat/>
    <w:uiPriority w:val="0"/>
    <w:pPr>
      <w:spacing w:line="480" w:lineRule="atLeast"/>
      <w:ind w:firstLine="480"/>
    </w:pPr>
    <w:rPr>
      <w:rFonts w:ascii="黑体" w:eastAsia="黑体" w:cs="宋体"/>
      <w:szCs w:val="20"/>
    </w:rPr>
  </w:style>
  <w:style w:type="paragraph" w:customStyle="1" w:styleId="1789">
    <w:name w:val="Char Char Char Char Char Char Char Char Char2"/>
    <w:basedOn w:val="1"/>
    <w:qFormat/>
    <w:uiPriority w:val="0"/>
    <w:pPr>
      <w:spacing w:line="440" w:lineRule="exact"/>
    </w:pPr>
    <w:rPr>
      <w:rFonts w:ascii="Tahoma" w:hAnsi="Tahoma" w:cs="Garamond"/>
      <w:kern w:val="0"/>
      <w:szCs w:val="24"/>
    </w:rPr>
  </w:style>
  <w:style w:type="paragraph" w:customStyle="1" w:styleId="1790">
    <w:name w:val="样式 标题 3标题 3 Char + 黑色 行距: 固定值 26 磅"/>
    <w:basedOn w:val="5"/>
    <w:qFormat/>
    <w:uiPriority w:val="0"/>
    <w:pPr>
      <w:tabs>
        <w:tab w:val="left" w:pos="360"/>
        <w:tab w:val="left" w:pos="1647"/>
      </w:tabs>
      <w:spacing w:line="520" w:lineRule="exact"/>
      <w:ind w:hanging="200" w:hangingChars="200"/>
    </w:pPr>
    <w:rPr>
      <w:rFonts w:eastAsia="宋体" w:cs="宋体"/>
      <w:sz w:val="30"/>
      <w:szCs w:val="20"/>
    </w:rPr>
  </w:style>
  <w:style w:type="paragraph" w:customStyle="1" w:styleId="1791">
    <w:name w:val="样式 热电厂正文 + 四号 首行缩进:  2 字符"/>
    <w:qFormat/>
    <w:uiPriority w:val="0"/>
    <w:rPr>
      <w:rFonts w:ascii="Times New Roman" w:hAnsi="Times New Roman" w:eastAsia="宋体" w:cs="宋体"/>
      <w:lang w:val="en-US" w:eastAsia="zh-CN" w:bidi="ar-SA"/>
    </w:rPr>
  </w:style>
  <w:style w:type="paragraph" w:customStyle="1" w:styleId="1792">
    <w:name w:val="二 Char"/>
    <w:basedOn w:val="1"/>
    <w:qFormat/>
    <w:uiPriority w:val="0"/>
    <w:pPr>
      <w:spacing w:line="440" w:lineRule="exact"/>
    </w:pPr>
    <w:rPr>
      <w:rFonts w:ascii="黑体" w:eastAsia="黑体" w:cs="Times New Roman"/>
      <w:b/>
      <w:szCs w:val="20"/>
    </w:rPr>
  </w:style>
  <w:style w:type="paragraph" w:customStyle="1" w:styleId="1793">
    <w:name w:val="样式 标题 3标题 3 Char + 小四 黑色"/>
    <w:basedOn w:val="5"/>
    <w:qFormat/>
    <w:uiPriority w:val="0"/>
    <w:pPr>
      <w:tabs>
        <w:tab w:val="left" w:pos="360"/>
        <w:tab w:val="left" w:pos="1647"/>
      </w:tabs>
      <w:spacing w:line="480" w:lineRule="atLeast"/>
      <w:ind w:hanging="200" w:hangingChars="200"/>
    </w:pPr>
    <w:rPr>
      <w:rFonts w:eastAsia="宋体"/>
      <w:color w:val="000000"/>
      <w:szCs w:val="24"/>
    </w:rPr>
  </w:style>
  <w:style w:type="paragraph" w:customStyle="1" w:styleId="1794">
    <w:name w:val="标准文本 首行缩进:2 字符 行距1倍"/>
    <w:basedOn w:val="1"/>
    <w:qFormat/>
    <w:uiPriority w:val="0"/>
    <w:pPr>
      <w:adjustRightInd w:val="0"/>
      <w:snapToGrid w:val="0"/>
      <w:spacing w:line="440" w:lineRule="exact"/>
      <w:ind w:firstLine="480"/>
      <w:jc w:val="center"/>
    </w:pPr>
    <w:rPr>
      <w:rFonts w:ascii="黑体" w:hAnsi="宋体" w:eastAsia="黑体" w:cs="宋体"/>
      <w:b/>
      <w:color w:val="000000"/>
      <w:szCs w:val="24"/>
    </w:rPr>
  </w:style>
  <w:style w:type="paragraph" w:customStyle="1" w:styleId="1795">
    <w:name w:val="样式 标题 3标题 3 Char + 段前: 0 磅 段后: 0 磅 行距: 最小值 24 磅"/>
    <w:basedOn w:val="5"/>
    <w:qFormat/>
    <w:uiPriority w:val="0"/>
    <w:pPr>
      <w:tabs>
        <w:tab w:val="left" w:pos="360"/>
        <w:tab w:val="left" w:pos="1647"/>
      </w:tabs>
      <w:spacing w:line="480" w:lineRule="atLeast"/>
      <w:ind w:hanging="200" w:hangingChars="200"/>
    </w:pPr>
    <w:rPr>
      <w:rFonts w:eastAsia="宋体" w:cs="宋体"/>
      <w:sz w:val="30"/>
      <w:szCs w:val="20"/>
    </w:rPr>
  </w:style>
  <w:style w:type="paragraph" w:customStyle="1" w:styleId="1796">
    <w:name w:val="Char Char Char2 Char"/>
    <w:basedOn w:val="1"/>
    <w:qFormat/>
    <w:uiPriority w:val="0"/>
    <w:rPr>
      <w:rFonts w:ascii="宋体" w:hAnsi="宋体" w:cs="宋体"/>
      <w:szCs w:val="24"/>
    </w:rPr>
  </w:style>
  <w:style w:type="paragraph" w:customStyle="1" w:styleId="1797">
    <w:name w:val="样式 首行缩进:  2 字符9"/>
    <w:basedOn w:val="1"/>
    <w:qFormat/>
    <w:uiPriority w:val="0"/>
    <w:pPr>
      <w:spacing w:line="520" w:lineRule="exact"/>
      <w:ind w:firstLine="560"/>
    </w:pPr>
    <w:rPr>
      <w:rFonts w:cs="宋体"/>
      <w:szCs w:val="20"/>
    </w:rPr>
  </w:style>
  <w:style w:type="paragraph" w:customStyle="1" w:styleId="1798">
    <w:name w:val="样式 标题 1 + 首行缩进:  2 字符 段前: 12 磅 段后: 12 磅 行距: 最小值 24 磅"/>
    <w:basedOn w:val="3"/>
    <w:qFormat/>
    <w:uiPriority w:val="0"/>
    <w:pPr>
      <w:tabs>
        <w:tab w:val="left" w:pos="1134"/>
      </w:tabs>
      <w:adjustRightInd w:val="0"/>
      <w:snapToGrid w:val="0"/>
      <w:spacing w:line="480" w:lineRule="atLeast"/>
    </w:pPr>
    <w:rPr>
      <w:rFonts w:eastAsia="宋体"/>
      <w:sz w:val="32"/>
      <w:szCs w:val="20"/>
    </w:rPr>
  </w:style>
  <w:style w:type="paragraph" w:customStyle="1" w:styleId="1799">
    <w:name w:val="封面工程名"/>
    <w:basedOn w:val="1"/>
    <w:qFormat/>
    <w:uiPriority w:val="0"/>
    <w:pPr>
      <w:adjustRightInd w:val="0"/>
      <w:snapToGrid w:val="0"/>
      <w:ind w:firstLine="480"/>
      <w:jc w:val="center"/>
    </w:pPr>
    <w:rPr>
      <w:rFonts w:eastAsia="华文中宋" w:cs="Times New Roman"/>
      <w:b/>
      <w:bCs/>
      <w:kern w:val="0"/>
      <w:sz w:val="36"/>
      <w:szCs w:val="24"/>
    </w:rPr>
  </w:style>
  <w:style w:type="paragraph" w:customStyle="1" w:styleId="1800">
    <w:name w:val="样式 标题 2 + 段前: 6 磅 段后: 6 磅 行距: 最小值 24 磅"/>
    <w:basedOn w:val="4"/>
    <w:qFormat/>
    <w:uiPriority w:val="0"/>
    <w:pPr>
      <w:tabs>
        <w:tab w:val="left" w:pos="927"/>
        <w:tab w:val="left" w:pos="1134"/>
      </w:tabs>
      <w:adjustRightInd w:val="0"/>
      <w:snapToGrid w:val="0"/>
      <w:spacing w:before="120" w:after="120" w:line="480" w:lineRule="atLeast"/>
    </w:pPr>
    <w:rPr>
      <w:rFonts w:eastAsia="宋体"/>
      <w:b w:val="0"/>
      <w:sz w:val="30"/>
      <w:szCs w:val="30"/>
    </w:rPr>
  </w:style>
  <w:style w:type="paragraph" w:customStyle="1" w:styleId="1801">
    <w:name w:val="样式 标题 3 + 首行缩进:  2 字符 段前: 6 磅 段后: 6 磅 行距: 最小值 24 磅"/>
    <w:basedOn w:val="5"/>
    <w:qFormat/>
    <w:uiPriority w:val="0"/>
    <w:pPr>
      <w:tabs>
        <w:tab w:val="left" w:pos="1134"/>
        <w:tab w:val="left" w:pos="1256"/>
      </w:tabs>
      <w:adjustRightInd w:val="0"/>
      <w:snapToGrid w:val="0"/>
      <w:spacing w:before="120" w:after="120" w:line="480" w:lineRule="atLeast"/>
      <w:ind w:firstLine="100" w:firstLineChars="100"/>
    </w:pPr>
    <w:rPr>
      <w:rFonts w:eastAsia="宋体"/>
      <w:szCs w:val="28"/>
    </w:rPr>
  </w:style>
  <w:style w:type="paragraph" w:customStyle="1" w:styleId="1802">
    <w:name w:val="样式 样式 标题 4 + 首行缩进:  2 字符1 + 首行缩进:  2 字符"/>
    <w:basedOn w:val="1222"/>
    <w:qFormat/>
    <w:uiPriority w:val="0"/>
    <w:pPr>
      <w:ind w:firstLine="482"/>
    </w:pPr>
    <w:rPr>
      <w:rFonts w:ascii="Times New Roman" w:hAnsi="Times New Roman"/>
      <w:bCs/>
    </w:rPr>
  </w:style>
  <w:style w:type="paragraph" w:customStyle="1" w:styleId="1803">
    <w:name w:val="样式 标题 1 + 加粗"/>
    <w:basedOn w:val="3"/>
    <w:qFormat/>
    <w:uiPriority w:val="0"/>
    <w:pPr>
      <w:widowControl/>
      <w:tabs>
        <w:tab w:val="left" w:pos="1134"/>
      </w:tabs>
      <w:adjustRightInd w:val="0"/>
      <w:snapToGrid w:val="0"/>
      <w:spacing w:line="480" w:lineRule="atLeast"/>
    </w:pPr>
    <w:rPr>
      <w:szCs w:val="36"/>
    </w:rPr>
  </w:style>
  <w:style w:type="paragraph" w:customStyle="1" w:styleId="1804">
    <w:name w:val="正文 + 黑色"/>
    <w:basedOn w:val="1"/>
    <w:qFormat/>
    <w:uiPriority w:val="0"/>
    <w:pPr>
      <w:spacing w:line="440" w:lineRule="exact"/>
      <w:ind w:firstLine="492"/>
    </w:pPr>
    <w:rPr>
      <w:rFonts w:ascii="FLGPEK+TimesNewRoman,Italic" w:hAnsi="Tahoma" w:cs="Garamond"/>
      <w:color w:val="000000"/>
      <w:spacing w:val="-2"/>
      <w:kern w:val="0"/>
      <w:sz w:val="25"/>
      <w:szCs w:val="25"/>
    </w:rPr>
  </w:style>
  <w:style w:type="paragraph" w:customStyle="1" w:styleId="1805">
    <w:name w:val="样式 样式 标题 4 + 四号 + 首行缩进:  2 字符"/>
    <w:basedOn w:val="975"/>
    <w:qFormat/>
    <w:uiPriority w:val="0"/>
    <w:rPr>
      <w:rFonts w:cs="宋体"/>
      <w:szCs w:val="20"/>
    </w:rPr>
  </w:style>
  <w:style w:type="paragraph" w:customStyle="1" w:styleId="1806">
    <w:name w:val="样式 热电厂正文 + 首行缩进:  2 字符 Char Char"/>
    <w:basedOn w:val="662"/>
    <w:qFormat/>
    <w:uiPriority w:val="0"/>
    <w:pPr>
      <w:spacing w:line="480" w:lineRule="exact"/>
    </w:pPr>
    <w:rPr>
      <w:rFonts w:cs="宋体"/>
    </w:rPr>
  </w:style>
  <w:style w:type="paragraph" w:customStyle="1" w:styleId="1807">
    <w:name w:val="样式 样式 首行缩进:  2 字符 行距: 最小值 24 磅 + 首行缩进:  2 字符 Char"/>
    <w:basedOn w:val="1"/>
    <w:qFormat/>
    <w:uiPriority w:val="0"/>
    <w:pPr>
      <w:spacing w:line="480" w:lineRule="atLeast"/>
      <w:ind w:firstLine="480"/>
    </w:pPr>
    <w:rPr>
      <w:rFonts w:cs="宋体"/>
      <w:szCs w:val="24"/>
    </w:rPr>
  </w:style>
  <w:style w:type="paragraph" w:customStyle="1" w:styleId="1808">
    <w:name w:val="自定义"/>
    <w:basedOn w:val="1"/>
    <w:next w:val="31"/>
    <w:qFormat/>
    <w:uiPriority w:val="0"/>
    <w:pPr>
      <w:spacing w:after="120" w:line="440" w:lineRule="exact"/>
      <w:ind w:firstLine="480"/>
    </w:pPr>
    <w:rPr>
      <w:rFonts w:cs="Times New Roman"/>
      <w:sz w:val="16"/>
      <w:szCs w:val="16"/>
    </w:rPr>
  </w:style>
  <w:style w:type="paragraph" w:customStyle="1" w:styleId="1809">
    <w:name w:val="样式 行距: 固定值 24 磅"/>
    <w:basedOn w:val="1"/>
    <w:qFormat/>
    <w:uiPriority w:val="0"/>
    <w:pPr>
      <w:spacing w:line="480" w:lineRule="exact"/>
    </w:pPr>
    <w:rPr>
      <w:rFonts w:cs="Times New Roman"/>
      <w:szCs w:val="20"/>
    </w:rPr>
  </w:style>
  <w:style w:type="paragraph" w:customStyle="1" w:styleId="1810">
    <w:name w:val="reader-word-layer reader-word-s1-3"/>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11">
    <w:name w:val="Pa9"/>
    <w:basedOn w:val="1"/>
    <w:next w:val="1"/>
    <w:qFormat/>
    <w:uiPriority w:val="0"/>
    <w:pPr>
      <w:autoSpaceDE w:val="0"/>
      <w:autoSpaceDN w:val="0"/>
      <w:adjustRightInd w:val="0"/>
      <w:spacing w:line="221" w:lineRule="atLeast"/>
      <w:ind w:firstLine="0" w:firstLineChars="0"/>
      <w:jc w:val="left"/>
    </w:pPr>
    <w:rPr>
      <w:rFonts w:ascii="黑体" w:hAnsi="Calibri" w:eastAsia="黑体" w:cs="Times New Roman"/>
      <w:kern w:val="0"/>
      <w:szCs w:val="24"/>
    </w:rPr>
  </w:style>
  <w:style w:type="paragraph" w:customStyle="1" w:styleId="1812">
    <w:name w:val="正文加粗"/>
    <w:basedOn w:val="1"/>
    <w:qFormat/>
    <w:uiPriority w:val="0"/>
    <w:pPr>
      <w:ind w:firstLine="0" w:firstLineChars="0"/>
    </w:pPr>
    <w:rPr>
      <w:rFonts w:ascii="宋体" w:cs="Times New Roman"/>
      <w:b/>
      <w:szCs w:val="20"/>
    </w:rPr>
  </w:style>
  <w:style w:type="paragraph" w:customStyle="1" w:styleId="1813">
    <w:name w:val="样式 正文（首行缩进两字） + 宋体 小三 两端对齐 首行缩进:  2 字符 行距: 单倍行距"/>
    <w:basedOn w:val="21"/>
    <w:qFormat/>
    <w:uiPriority w:val="0"/>
    <w:pPr>
      <w:adjustRightInd w:val="0"/>
      <w:snapToGrid w:val="0"/>
      <w:spacing w:line="360" w:lineRule="auto"/>
      <w:ind w:firstLine="600" w:firstLineChars="150"/>
    </w:pPr>
    <w:rPr>
      <w:rFonts w:ascii="宋体" w:hAnsi="宋体" w:eastAsia="仿宋_GB2312" w:cstheme="minorBidi"/>
      <w:sz w:val="30"/>
      <w:szCs w:val="22"/>
    </w:rPr>
  </w:style>
  <w:style w:type="paragraph" w:customStyle="1" w:styleId="1814">
    <w:name w:val="小五表格"/>
    <w:basedOn w:val="1"/>
    <w:qFormat/>
    <w:uiPriority w:val="0"/>
    <w:pPr>
      <w:spacing w:line="440" w:lineRule="exact"/>
      <w:jc w:val="left"/>
    </w:pPr>
    <w:rPr>
      <w:rFonts w:ascii="Tahoma" w:hAnsi="Tahoma" w:cs="Garamond"/>
      <w:kern w:val="0"/>
      <w:sz w:val="18"/>
      <w:szCs w:val="24"/>
    </w:rPr>
  </w:style>
  <w:style w:type="paragraph" w:customStyle="1" w:styleId="1815">
    <w:name w:val="Char31"/>
    <w:basedOn w:val="1"/>
    <w:qFormat/>
    <w:uiPriority w:val="0"/>
    <w:rPr>
      <w:rFonts w:ascii="宋体" w:hAnsi="宋体" w:cs="宋体"/>
      <w:szCs w:val="24"/>
    </w:rPr>
  </w:style>
  <w:style w:type="paragraph" w:customStyle="1" w:styleId="1816">
    <w:name w:val="样式 标题 3一标题3H3h33rd level第二层条头标题 3 Char Char标题 3 Char2标..."/>
    <w:basedOn w:val="5"/>
    <w:qFormat/>
    <w:uiPriority w:val="0"/>
    <w:pPr>
      <w:tabs>
        <w:tab w:val="left" w:pos="720"/>
      </w:tabs>
      <w:spacing w:beforeLines="50" w:afterLines="20" w:line="360" w:lineRule="exact"/>
      <w:ind w:left="720" w:hanging="720" w:firstLineChars="200"/>
      <w:jc w:val="left"/>
    </w:pPr>
    <w:rPr>
      <w:rFonts w:ascii="FLGPEK+TimesNewRoman,Italic" w:hAnsi="FLGPEK+TimesNewRoman,Italic" w:eastAsia="华文仿宋" w:cs="Garamond"/>
      <w:b w:val="0"/>
      <w:color w:val="000000"/>
      <w:sz w:val="30"/>
    </w:rPr>
  </w:style>
  <w:style w:type="paragraph" w:customStyle="1" w:styleId="1817">
    <w:name w:val="reader-word-layer reader-word-s1-17"/>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18">
    <w:name w:val="reader-word-layer reader-word-s1-14"/>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19">
    <w:name w:val="三级 标题"/>
    <w:basedOn w:val="1"/>
    <w:qFormat/>
    <w:uiPriority w:val="0"/>
    <w:pPr>
      <w:spacing w:before="60" w:after="60" w:line="440" w:lineRule="exact"/>
      <w:ind w:firstLine="640"/>
    </w:pPr>
    <w:rPr>
      <w:rFonts w:cs="Times New Roman"/>
      <w:b/>
      <w:szCs w:val="20"/>
    </w:rPr>
  </w:style>
  <w:style w:type="paragraph" w:customStyle="1" w:styleId="1820">
    <w:name w:val="Char Char Char3 Char Char Char Char"/>
    <w:basedOn w:val="1"/>
    <w:next w:val="1"/>
    <w:qFormat/>
    <w:uiPriority w:val="0"/>
    <w:rPr>
      <w:rFonts w:ascii="宋体" w:hAnsi="宋体" w:eastAsia="仿宋_GB2312" w:cs="宋体"/>
      <w:szCs w:val="24"/>
    </w:rPr>
  </w:style>
  <w:style w:type="paragraph" w:customStyle="1" w:styleId="1821">
    <w:name w:val="目录4"/>
    <w:basedOn w:val="1"/>
    <w:next w:val="1"/>
    <w:qFormat/>
    <w:uiPriority w:val="0"/>
    <w:pPr>
      <w:widowControl/>
      <w:tabs>
        <w:tab w:val="left" w:leader="dot" w:pos="8503"/>
      </w:tabs>
      <w:spacing w:line="317" w:lineRule="atLeast"/>
      <w:ind w:left="419" w:firstLine="629" w:firstLineChars="0"/>
    </w:pPr>
    <w:rPr>
      <w:rFonts w:cs="Times New Roman"/>
      <w:color w:val="000000"/>
      <w:kern w:val="0"/>
      <w:sz w:val="21"/>
      <w:szCs w:val="20"/>
      <w:u w:color="000000"/>
    </w:rPr>
  </w:style>
  <w:style w:type="paragraph" w:customStyle="1" w:styleId="1822">
    <w:name w:val="Char Char3 Char Char Char Char Char Char"/>
    <w:basedOn w:val="1"/>
    <w:qFormat/>
    <w:uiPriority w:val="0"/>
    <w:pPr>
      <w:widowControl/>
      <w:spacing w:after="160" w:line="240" w:lineRule="exact"/>
      <w:ind w:firstLine="0" w:firstLineChars="0"/>
      <w:jc w:val="left"/>
    </w:pPr>
    <w:rPr>
      <w:rFonts w:cs="Times New Roman"/>
      <w:sz w:val="18"/>
      <w:szCs w:val="24"/>
    </w:rPr>
  </w:style>
  <w:style w:type="paragraph" w:customStyle="1" w:styleId="1823">
    <w:name w:val="dxj表内容"/>
    <w:basedOn w:val="885"/>
    <w:qFormat/>
    <w:uiPriority w:val="0"/>
    <w:pPr>
      <w:widowControl w:val="0"/>
      <w:overflowPunct w:val="0"/>
      <w:adjustRightInd/>
      <w:snapToGrid/>
      <w:spacing w:line="280" w:lineRule="exact"/>
    </w:pPr>
    <w:rPr>
      <w:rFonts w:eastAsia="Times New Roman"/>
      <w:color w:val="000000"/>
      <w:kern w:val="24"/>
      <w:sz w:val="18"/>
      <w:szCs w:val="24"/>
    </w:rPr>
  </w:style>
  <w:style w:type="paragraph" w:customStyle="1" w:styleId="1824">
    <w:name w:val="样式 标题 3三级标题标题3H3h33rd level第二层条ReHead 3 WSA标题03三级标题 3..."/>
    <w:basedOn w:val="5"/>
    <w:qFormat/>
    <w:uiPriority w:val="0"/>
    <w:pPr>
      <w:tabs>
        <w:tab w:val="left" w:pos="1134"/>
        <w:tab w:val="left" w:pos="1256"/>
      </w:tabs>
      <w:jc w:val="left"/>
    </w:pPr>
    <w:rPr>
      <w:rFonts w:ascii="黑体" w:cs="宋体"/>
      <w:szCs w:val="28"/>
    </w:rPr>
  </w:style>
  <w:style w:type="paragraph" w:customStyle="1" w:styleId="1825">
    <w:name w:val="Char Char Char Char Char Char3"/>
    <w:basedOn w:val="1"/>
    <w:semiHidden/>
    <w:qFormat/>
    <w:uiPriority w:val="0"/>
    <w:pPr>
      <w:spacing w:line="240" w:lineRule="auto"/>
      <w:ind w:firstLine="0" w:firstLineChars="0"/>
    </w:pPr>
    <w:rPr>
      <w:rFonts w:cs="Times New Roman"/>
      <w:sz w:val="21"/>
      <w:szCs w:val="24"/>
    </w:rPr>
  </w:style>
  <w:style w:type="paragraph" w:customStyle="1" w:styleId="1826">
    <w:name w:val="Char32"/>
    <w:basedOn w:val="1"/>
    <w:qFormat/>
    <w:uiPriority w:val="0"/>
    <w:rPr>
      <w:rFonts w:ascii="宋体" w:hAnsi="宋体" w:cs="宋体"/>
      <w:szCs w:val="24"/>
    </w:rPr>
  </w:style>
  <w:style w:type="paragraph" w:customStyle="1" w:styleId="1827">
    <w:name w:val="Char Char1 Char Char1 Char Char Char Char1"/>
    <w:basedOn w:val="1"/>
    <w:qFormat/>
    <w:uiPriority w:val="0"/>
    <w:pPr>
      <w:spacing w:line="240" w:lineRule="auto"/>
      <w:ind w:firstLine="0" w:firstLineChars="0"/>
    </w:pPr>
    <w:rPr>
      <w:rFonts w:ascii="Tahoma" w:hAnsi="Tahoma" w:cs="Times New Roman"/>
      <w:szCs w:val="20"/>
    </w:rPr>
  </w:style>
  <w:style w:type="character" w:customStyle="1" w:styleId="1828">
    <w:name w:val="日期 Char Char"/>
    <w:link w:val="1829"/>
    <w:qFormat/>
    <w:locked/>
    <w:uiPriority w:val="0"/>
    <w:rPr>
      <w:rFonts w:ascii="Verdana" w:hAnsi="Verdana"/>
      <w:szCs w:val="24"/>
    </w:rPr>
  </w:style>
  <w:style w:type="paragraph" w:customStyle="1" w:styleId="1829">
    <w:name w:val="日期4"/>
    <w:basedOn w:val="1"/>
    <w:next w:val="1"/>
    <w:link w:val="1828"/>
    <w:qFormat/>
    <w:uiPriority w:val="0"/>
    <w:pPr>
      <w:spacing w:line="360" w:lineRule="atLeast"/>
      <w:ind w:left="100" w:leftChars="2500" w:firstLine="480"/>
      <w:jc w:val="left"/>
    </w:pPr>
    <w:rPr>
      <w:rFonts w:ascii="Verdana" w:hAnsi="Verdana" w:eastAsiaTheme="minorEastAsia"/>
      <w:sz w:val="21"/>
      <w:szCs w:val="24"/>
    </w:rPr>
  </w:style>
  <w:style w:type="paragraph" w:customStyle="1" w:styleId="1830">
    <w:name w:val="3级标题 New"/>
    <w:basedOn w:val="5"/>
    <w:qFormat/>
    <w:uiPriority w:val="0"/>
    <w:pPr>
      <w:tabs>
        <w:tab w:val="left" w:pos="780"/>
        <w:tab w:val="left" w:pos="1575"/>
      </w:tabs>
      <w:ind w:left="200" w:hanging="200" w:hangingChars="200"/>
      <w:jc w:val="left"/>
    </w:pPr>
    <w:rPr>
      <w:b w:val="0"/>
      <w:spacing w:val="2"/>
      <w:w w:val="99"/>
      <w:kern w:val="0"/>
      <w:position w:val="-2"/>
      <w:sz w:val="24"/>
      <w:szCs w:val="24"/>
      <w:lang w:eastAsia="en-US" w:bidi="en-US"/>
    </w:rPr>
  </w:style>
  <w:style w:type="paragraph" w:customStyle="1" w:styleId="1831">
    <w:name w:val="[1]正文 New"/>
    <w:basedOn w:val="1"/>
    <w:qFormat/>
    <w:uiPriority w:val="0"/>
    <w:pPr>
      <w:widowControl/>
      <w:snapToGrid w:val="0"/>
      <w:jc w:val="left"/>
    </w:pPr>
    <w:rPr>
      <w:rFonts w:ascii="Calibri" w:hAnsi="Calibri" w:cs="Times New Roman"/>
      <w:kern w:val="0"/>
      <w:szCs w:val="28"/>
    </w:rPr>
  </w:style>
  <w:style w:type="paragraph" w:customStyle="1" w:styleId="1832">
    <w:name w:val="正文缩进 New"/>
    <w:basedOn w:val="1"/>
    <w:qFormat/>
    <w:uiPriority w:val="0"/>
    <w:pPr>
      <w:widowControl/>
      <w:spacing w:line="240" w:lineRule="auto"/>
      <w:ind w:firstLine="420" w:firstLineChars="0"/>
      <w:jc w:val="left"/>
    </w:pPr>
    <w:rPr>
      <w:rFonts w:cs="Times New Roman"/>
      <w:kern w:val="0"/>
      <w:sz w:val="20"/>
      <w:szCs w:val="20"/>
    </w:rPr>
  </w:style>
  <w:style w:type="character" w:customStyle="1" w:styleId="1833">
    <w:name w:val="样式 表格图文 + 五号 行距: 固定值 18 磅 Char"/>
    <w:link w:val="1834"/>
    <w:qFormat/>
    <w:locked/>
    <w:uiPriority w:val="0"/>
    <w:rPr>
      <w:rFonts w:ascii="宋体" w:hAnsi="宋体" w:eastAsia="宋体" w:cs="宋体"/>
    </w:rPr>
  </w:style>
  <w:style w:type="paragraph" w:customStyle="1" w:styleId="1834">
    <w:name w:val="样式 表格图文 + 五号 行距: 固定值 18 磅"/>
    <w:basedOn w:val="679"/>
    <w:link w:val="1833"/>
    <w:qFormat/>
    <w:uiPriority w:val="0"/>
    <w:pPr>
      <w:widowControl/>
      <w:snapToGrid/>
      <w:spacing w:line="360" w:lineRule="exact"/>
      <w:ind w:firstLine="200" w:firstLineChars="200"/>
    </w:pPr>
    <w:rPr>
      <w:rFonts w:cs="宋体"/>
    </w:rPr>
  </w:style>
  <w:style w:type="paragraph" w:customStyle="1" w:styleId="1835">
    <w:name w:val="4级标题"/>
    <w:basedOn w:val="6"/>
    <w:qFormat/>
    <w:uiPriority w:val="0"/>
    <w:pPr>
      <w:keepLines w:val="0"/>
      <w:widowControl/>
      <w:snapToGrid w:val="0"/>
      <w:jc w:val="left"/>
    </w:pPr>
    <w:rPr>
      <w:rFonts w:eastAsia="宋体" w:cs="Times New Roman"/>
      <w:b w:val="0"/>
      <w:kern w:val="0"/>
      <w:lang w:eastAsia="en-US" w:bidi="en-US"/>
    </w:rPr>
  </w:style>
  <w:style w:type="paragraph" w:customStyle="1" w:styleId="1836">
    <w:name w:val="标题1xxx"/>
    <w:basedOn w:val="3"/>
    <w:qFormat/>
    <w:uiPriority w:val="0"/>
    <w:pPr>
      <w:keepNext w:val="0"/>
      <w:keepLines w:val="0"/>
      <w:adjustRightInd w:val="0"/>
      <w:snapToGrid w:val="0"/>
    </w:pPr>
    <w:rPr>
      <w:rFonts w:cs="宋体"/>
      <w:b w:val="0"/>
      <w:bCs w:val="0"/>
      <w:sz w:val="30"/>
      <w:szCs w:val="20"/>
    </w:rPr>
  </w:style>
  <w:style w:type="paragraph" w:customStyle="1" w:styleId="1837">
    <w:name w:val="陈光的正文"/>
    <w:basedOn w:val="1"/>
    <w:qFormat/>
    <w:uiPriority w:val="0"/>
    <w:pPr>
      <w:adjustRightInd w:val="0"/>
      <w:snapToGrid w:val="0"/>
      <w:spacing w:beforeLines="10" w:afterLines="10"/>
      <w:ind w:firstLine="560"/>
    </w:pPr>
    <w:rPr>
      <w:rFonts w:cs="Times New Roman"/>
      <w:sz w:val="28"/>
      <w:szCs w:val="20"/>
    </w:rPr>
  </w:style>
  <w:style w:type="character" w:customStyle="1" w:styleId="1838">
    <w:name w:val="正文条款 Char Char"/>
    <w:link w:val="1839"/>
    <w:qFormat/>
    <w:locked/>
    <w:uiPriority w:val="0"/>
    <w:rPr>
      <w:rFonts w:ascii="Verdana" w:hAnsi="Verdana"/>
      <w:sz w:val="24"/>
      <w:szCs w:val="28"/>
    </w:rPr>
  </w:style>
  <w:style w:type="paragraph" w:customStyle="1" w:styleId="1839">
    <w:name w:val="正文条款"/>
    <w:basedOn w:val="816"/>
    <w:link w:val="1838"/>
    <w:qFormat/>
    <w:uiPriority w:val="0"/>
    <w:pPr>
      <w:pBdr>
        <w:top w:val="none" w:color="auto" w:sz="0" w:space="0"/>
      </w:pBdr>
      <w:tabs>
        <w:tab w:val="clear" w:pos="4153"/>
        <w:tab w:val="clear" w:pos="8306"/>
      </w:tabs>
      <w:snapToGrid/>
      <w:spacing w:line="360" w:lineRule="exact"/>
      <w:ind w:left="1617" w:leftChars="770"/>
      <w:jc w:val="both"/>
    </w:pPr>
    <w:rPr>
      <w:rFonts w:ascii="Verdana" w:hAnsi="Verdana" w:eastAsiaTheme="minorEastAsia"/>
      <w:szCs w:val="28"/>
    </w:rPr>
  </w:style>
  <w:style w:type="paragraph" w:customStyle="1" w:styleId="1840">
    <w:name w:val="样式 1"/>
    <w:basedOn w:val="5"/>
    <w:qFormat/>
    <w:uiPriority w:val="0"/>
    <w:pPr>
      <w:tabs>
        <w:tab w:val="left" w:pos="840"/>
      </w:tabs>
      <w:ind w:firstLine="470" w:firstLineChars="196"/>
      <w:jc w:val="left"/>
    </w:pPr>
    <w:rPr>
      <w:rFonts w:ascii="黑体" w:hAnsi="宋体"/>
      <w:b w:val="0"/>
      <w:color w:val="000000"/>
      <w:kern w:val="0"/>
      <w:sz w:val="24"/>
      <w:szCs w:val="24"/>
    </w:rPr>
  </w:style>
  <w:style w:type="paragraph" w:customStyle="1" w:styleId="1841">
    <w:name w:val="正文 + 仿宋_GB2312"/>
    <w:basedOn w:val="1"/>
    <w:qFormat/>
    <w:uiPriority w:val="0"/>
    <w:pPr>
      <w:spacing w:line="420" w:lineRule="exact"/>
      <w:ind w:firstLine="480"/>
    </w:pPr>
    <w:rPr>
      <w:rFonts w:ascii="仿宋_GB2312" w:eastAsia="仿宋_GB2312" w:cs="Times New Roman"/>
      <w:szCs w:val="24"/>
    </w:rPr>
  </w:style>
  <w:style w:type="paragraph" w:customStyle="1" w:styleId="1842">
    <w:name w:val="样式 标题 11.标题 1h11headingHeader 1st Pageh1 chapter heading章..."/>
    <w:basedOn w:val="3"/>
    <w:next w:val="1135"/>
    <w:qFormat/>
    <w:uiPriority w:val="0"/>
    <w:pPr>
      <w:spacing w:line="576" w:lineRule="auto"/>
    </w:pPr>
    <w:rPr>
      <w:rFonts w:ascii="宋体" w:hAnsi="宋体" w:eastAsia="宋体"/>
      <w:b w:val="0"/>
      <w:bCs w:val="0"/>
      <w:kern w:val="28"/>
      <w:sz w:val="28"/>
    </w:rPr>
  </w:style>
  <w:style w:type="character" w:customStyle="1" w:styleId="1843">
    <w:name w:val="小表左 Char Char"/>
    <w:link w:val="1844"/>
    <w:qFormat/>
    <w:locked/>
    <w:uiPriority w:val="0"/>
    <w:rPr>
      <w:rFonts w:ascii="宋体" w:hAnsi="宋体" w:eastAsia="宋体"/>
      <w:szCs w:val="21"/>
    </w:rPr>
  </w:style>
  <w:style w:type="paragraph" w:customStyle="1" w:styleId="1844">
    <w:name w:val="小表左"/>
    <w:basedOn w:val="1"/>
    <w:link w:val="1843"/>
    <w:qFormat/>
    <w:uiPriority w:val="0"/>
    <w:pPr>
      <w:keepNext/>
      <w:adjustRightInd w:val="0"/>
      <w:snapToGrid w:val="0"/>
      <w:spacing w:line="240" w:lineRule="atLeast"/>
      <w:ind w:firstLine="480"/>
    </w:pPr>
    <w:rPr>
      <w:rFonts w:ascii="宋体" w:hAnsi="宋体"/>
      <w:sz w:val="21"/>
    </w:rPr>
  </w:style>
  <w:style w:type="character" w:customStyle="1" w:styleId="1845">
    <w:name w:val="表头------------- Char"/>
    <w:link w:val="1846"/>
    <w:qFormat/>
    <w:locked/>
    <w:uiPriority w:val="0"/>
    <w:rPr>
      <w:rFonts w:ascii="黑体" w:hAnsi="黑体" w:eastAsia="黑体" w:cs="宋体"/>
      <w:sz w:val="24"/>
    </w:rPr>
  </w:style>
  <w:style w:type="paragraph" w:customStyle="1" w:styleId="1846">
    <w:name w:val="表头-------------"/>
    <w:basedOn w:val="1"/>
    <w:link w:val="1845"/>
    <w:qFormat/>
    <w:uiPriority w:val="0"/>
    <w:pPr>
      <w:spacing w:line="460" w:lineRule="exact"/>
      <w:ind w:firstLine="0" w:firstLineChars="0"/>
      <w:jc w:val="center"/>
    </w:pPr>
    <w:rPr>
      <w:rFonts w:ascii="黑体" w:hAnsi="黑体" w:eastAsia="黑体" w:cs="宋体"/>
    </w:rPr>
  </w:style>
  <w:style w:type="character" w:customStyle="1" w:styleId="1847">
    <w:name w:val="左-正文 Char Char"/>
    <w:link w:val="1848"/>
    <w:qFormat/>
    <w:locked/>
    <w:uiPriority w:val="0"/>
    <w:rPr>
      <w:rFonts w:ascii="宋体" w:hAnsi="宋体" w:eastAsia="宋体"/>
      <w:sz w:val="24"/>
      <w:szCs w:val="24"/>
    </w:rPr>
  </w:style>
  <w:style w:type="paragraph" w:customStyle="1" w:styleId="1848">
    <w:name w:val="左-正文"/>
    <w:basedOn w:val="1"/>
    <w:link w:val="1847"/>
    <w:qFormat/>
    <w:uiPriority w:val="0"/>
    <w:pPr>
      <w:widowControl/>
      <w:topLinePunct/>
    </w:pPr>
    <w:rPr>
      <w:rFonts w:ascii="宋体" w:hAnsi="宋体"/>
      <w:szCs w:val="24"/>
    </w:rPr>
  </w:style>
  <w:style w:type="paragraph" w:customStyle="1" w:styleId="1849">
    <w:name w:val="表格竖"/>
    <w:basedOn w:val="1"/>
    <w:qFormat/>
    <w:uiPriority w:val="0"/>
    <w:pPr>
      <w:spacing w:line="240" w:lineRule="auto"/>
      <w:ind w:firstLine="0" w:firstLineChars="0"/>
      <w:jc w:val="center"/>
    </w:pPr>
    <w:rPr>
      <w:rFonts w:eastAsia="Times New Roman" w:cs="Times New Roman"/>
      <w:sz w:val="18"/>
      <w:szCs w:val="18"/>
    </w:rPr>
  </w:style>
  <w:style w:type="paragraph" w:customStyle="1" w:styleId="1850">
    <w:name w:val="M表格竖"/>
    <w:basedOn w:val="1"/>
    <w:qFormat/>
    <w:uiPriority w:val="0"/>
    <w:pPr>
      <w:spacing w:line="240" w:lineRule="auto"/>
      <w:ind w:firstLine="0" w:firstLineChars="0"/>
      <w:jc w:val="center"/>
    </w:pPr>
    <w:rPr>
      <w:rFonts w:cs="Times New Roman"/>
      <w:sz w:val="21"/>
      <w:szCs w:val="18"/>
    </w:rPr>
  </w:style>
  <w:style w:type="paragraph" w:customStyle="1" w:styleId="1851">
    <w:name w:val="样式 标题 4 + Times New Roman 两端对齐 行距: 固定值 22 磅"/>
    <w:basedOn w:val="6"/>
    <w:qFormat/>
    <w:uiPriority w:val="0"/>
    <w:pPr>
      <w:widowControl/>
      <w:spacing w:line="440" w:lineRule="exact"/>
    </w:pPr>
    <w:rPr>
      <w:rFonts w:eastAsia="宋体" w:cs="Times New Roman"/>
      <w:b w:val="0"/>
      <w:bCs w:val="0"/>
      <w:szCs w:val="20"/>
    </w:rPr>
  </w:style>
  <w:style w:type="paragraph" w:customStyle="1" w:styleId="1852">
    <w:name w:val="列出段落3"/>
    <w:basedOn w:val="1"/>
    <w:qFormat/>
    <w:uiPriority w:val="0"/>
    <w:pPr>
      <w:ind w:firstLine="420"/>
    </w:pPr>
    <w:rPr>
      <w:rFonts w:ascii="Calibri" w:hAnsi="Calibri" w:cs="Times New Roman"/>
    </w:rPr>
  </w:style>
  <w:style w:type="character" w:customStyle="1" w:styleId="1853">
    <w:name w:val="一般正文 Char1"/>
    <w:link w:val="1854"/>
    <w:qFormat/>
    <w:locked/>
    <w:uiPriority w:val="0"/>
    <w:rPr>
      <w:sz w:val="26"/>
    </w:rPr>
  </w:style>
  <w:style w:type="paragraph" w:customStyle="1" w:styleId="1854">
    <w:name w:val="一般正文"/>
    <w:basedOn w:val="1"/>
    <w:link w:val="1853"/>
    <w:qFormat/>
    <w:uiPriority w:val="0"/>
    <w:pPr>
      <w:adjustRightInd w:val="0"/>
      <w:snapToGrid w:val="0"/>
      <w:spacing w:line="500" w:lineRule="exact"/>
    </w:pPr>
    <w:rPr>
      <w:rFonts w:asciiTheme="minorHAnsi" w:hAnsiTheme="minorHAnsi" w:eastAsiaTheme="minorEastAsia"/>
      <w:sz w:val="26"/>
    </w:rPr>
  </w:style>
  <w:style w:type="paragraph" w:customStyle="1" w:styleId="1855">
    <w:name w:val="表格左对齐"/>
    <w:basedOn w:val="1"/>
    <w:qFormat/>
    <w:uiPriority w:val="0"/>
    <w:pPr>
      <w:spacing w:line="264" w:lineRule="auto"/>
      <w:jc w:val="center"/>
    </w:pPr>
    <w:rPr>
      <w:rFonts w:eastAsia="仿宋_GB2312" w:cs="Times New Roman"/>
      <w:bCs/>
      <w:szCs w:val="24"/>
    </w:rPr>
  </w:style>
  <w:style w:type="paragraph" w:customStyle="1" w:styleId="1856">
    <w:name w:val="海港表格文字"/>
    <w:basedOn w:val="615"/>
    <w:qFormat/>
    <w:uiPriority w:val="0"/>
    <w:pPr>
      <w:snapToGrid w:val="0"/>
      <w:spacing w:before="0" w:line="300" w:lineRule="exact"/>
      <w:ind w:left="-56" w:leftChars="-30" w:right="-63" w:rightChars="-30" w:firstLine="720" w:firstLineChars="200"/>
    </w:pPr>
    <w:rPr>
      <w:rFonts w:ascii="Tahoma" w:hAnsi="Tahoma" w:eastAsia="华文仿宋" w:cs="Garamond"/>
      <w:kern w:val="21"/>
      <w:szCs w:val="24"/>
    </w:rPr>
  </w:style>
  <w:style w:type="paragraph" w:customStyle="1" w:styleId="1857">
    <w:name w:val="正文(1)"/>
    <w:basedOn w:val="1"/>
    <w:qFormat/>
    <w:uiPriority w:val="0"/>
    <w:pPr>
      <w:adjustRightInd w:val="0"/>
      <w:snapToGrid w:val="0"/>
      <w:spacing w:line="440" w:lineRule="exact"/>
      <w:jc w:val="center"/>
    </w:pPr>
    <w:rPr>
      <w:rFonts w:ascii="FLGPEK+TimesNewRoman,Italic" w:hAnsi="Tahoma" w:cs="Garamond"/>
      <w:kern w:val="0"/>
      <w:szCs w:val="24"/>
    </w:rPr>
  </w:style>
  <w:style w:type="paragraph" w:customStyle="1" w:styleId="1858">
    <w:name w:val="正文文字缩进A"/>
    <w:basedOn w:val="1"/>
    <w:qFormat/>
    <w:uiPriority w:val="0"/>
    <w:pPr>
      <w:ind w:firstLine="480"/>
    </w:pPr>
    <w:rPr>
      <w:rFonts w:ascii="黑体" w:hAnsi="黑体" w:eastAsia="黑体" w:cs="Times New Roman"/>
      <w:b/>
      <w:color w:val="000000"/>
      <w:kern w:val="0"/>
      <w:szCs w:val="20"/>
    </w:rPr>
  </w:style>
  <w:style w:type="character" w:customStyle="1" w:styleId="1859">
    <w:name w:val="标题33 Char"/>
    <w:link w:val="1860"/>
    <w:qFormat/>
    <w:locked/>
    <w:uiPriority w:val="0"/>
    <w:rPr>
      <w:rFonts w:ascii="楷体_GB2312" w:eastAsia="楷体_GB2312"/>
      <w:sz w:val="30"/>
      <w:szCs w:val="24"/>
    </w:rPr>
  </w:style>
  <w:style w:type="paragraph" w:customStyle="1" w:styleId="1860">
    <w:name w:val="标题33"/>
    <w:basedOn w:val="1"/>
    <w:link w:val="1859"/>
    <w:qFormat/>
    <w:uiPriority w:val="0"/>
    <w:pPr>
      <w:keepNext/>
      <w:keepLines/>
      <w:tabs>
        <w:tab w:val="left" w:pos="540"/>
      </w:tabs>
      <w:spacing w:beforeLines="50" w:afterLines="50"/>
      <w:ind w:left="1958" w:hanging="1418" w:firstLineChars="0"/>
      <w:outlineLvl w:val="2"/>
    </w:pPr>
    <w:rPr>
      <w:rFonts w:ascii="楷体_GB2312" w:eastAsia="楷体_GB2312" w:hAnsiTheme="minorHAnsi"/>
      <w:sz w:val="30"/>
      <w:szCs w:val="24"/>
    </w:rPr>
  </w:style>
  <w:style w:type="paragraph" w:customStyle="1" w:styleId="1861">
    <w:name w:val="Char Char2 Char Char Char Char Char Char"/>
    <w:basedOn w:val="1"/>
    <w:qFormat/>
    <w:uiPriority w:val="0"/>
    <w:pPr>
      <w:spacing w:line="440" w:lineRule="exact"/>
      <w:ind w:firstLine="480"/>
    </w:pPr>
    <w:rPr>
      <w:rFonts w:ascii="宋体" w:hAnsi="宋体" w:cs="Times New Roman"/>
      <w:sz w:val="22"/>
      <w:szCs w:val="20"/>
    </w:rPr>
  </w:style>
  <w:style w:type="paragraph" w:customStyle="1" w:styleId="1862">
    <w:name w:val="Char Char Char Char Char Char11"/>
    <w:basedOn w:val="1"/>
    <w:qFormat/>
    <w:uiPriority w:val="0"/>
    <w:pPr>
      <w:widowControl/>
      <w:spacing w:after="160" w:line="240" w:lineRule="exact"/>
      <w:jc w:val="left"/>
    </w:pPr>
    <w:rPr>
      <w:rFonts w:ascii="仿宋_GB2312" w:hAnsi="仿宋_GB2312" w:cs="Batang"/>
      <w:kern w:val="0"/>
      <w:sz w:val="20"/>
      <w:szCs w:val="24"/>
      <w:lang w:eastAsia="en-US"/>
    </w:rPr>
  </w:style>
  <w:style w:type="paragraph" w:customStyle="1" w:styleId="1863">
    <w:name w:val="普通(Web)1"/>
    <w:basedOn w:val="1"/>
    <w:qFormat/>
    <w:uiPriority w:val="0"/>
    <w:pPr>
      <w:widowControl/>
      <w:spacing w:before="225" w:after="225" w:line="345" w:lineRule="atLeast"/>
      <w:ind w:firstLine="0" w:firstLineChars="0"/>
      <w:jc w:val="left"/>
    </w:pPr>
    <w:rPr>
      <w:rFonts w:ascii="宋体" w:hAnsi="宋体" w:cs="宋体"/>
      <w:kern w:val="0"/>
      <w:sz w:val="21"/>
    </w:rPr>
  </w:style>
  <w:style w:type="paragraph" w:customStyle="1" w:styleId="1864">
    <w:name w:val="YHY"/>
    <w:basedOn w:val="1"/>
    <w:qFormat/>
    <w:uiPriority w:val="0"/>
    <w:pPr>
      <w:spacing w:beforeLines="50" w:afterLines="50"/>
    </w:pPr>
    <w:rPr>
      <w:rFonts w:cs="宋体"/>
      <w:szCs w:val="24"/>
    </w:rPr>
  </w:style>
  <w:style w:type="paragraph" w:customStyle="1" w:styleId="1865">
    <w:name w:val="首消息标题"/>
    <w:basedOn w:val="79"/>
    <w:next w:val="79"/>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left" w:pos="4320"/>
        <w:tab w:val="left" w:pos="5040"/>
        <w:tab w:val="right" w:pos="8640"/>
      </w:tabs>
      <w:spacing w:after="40" w:line="440" w:lineRule="atLeast"/>
      <w:ind w:left="0" w:leftChars="0" w:firstLine="0" w:firstLineChars="0"/>
      <w:jc w:val="left"/>
    </w:pPr>
    <w:rPr>
      <w:rFonts w:cs="Times New Roman"/>
      <w:spacing w:val="-5"/>
      <w:kern w:val="0"/>
      <w:sz w:val="21"/>
      <w:szCs w:val="21"/>
    </w:rPr>
  </w:style>
  <w:style w:type="paragraph" w:customStyle="1" w:styleId="1866">
    <w:name w:val="表格文字（四）左"/>
    <w:basedOn w:val="1"/>
    <w:qFormat/>
    <w:uiPriority w:val="0"/>
    <w:pPr>
      <w:spacing w:before="60" w:after="60" w:line="240" w:lineRule="atLeast"/>
      <w:ind w:firstLine="0" w:firstLineChars="0"/>
    </w:pPr>
    <w:rPr>
      <w:rFonts w:cs="Times New Roman"/>
      <w:sz w:val="21"/>
      <w:szCs w:val="24"/>
    </w:rPr>
  </w:style>
  <w:style w:type="paragraph" w:customStyle="1" w:styleId="1867">
    <w:name w:val="myfont9new"/>
    <w:basedOn w:val="1"/>
    <w:qFormat/>
    <w:uiPriority w:val="0"/>
    <w:pPr>
      <w:widowControl/>
      <w:spacing w:before="100" w:beforeAutospacing="1" w:after="100" w:afterAutospacing="1" w:line="240" w:lineRule="auto"/>
      <w:ind w:firstLine="0" w:firstLineChars="0"/>
      <w:jc w:val="left"/>
    </w:pPr>
    <w:rPr>
      <w:rFonts w:ascii="宋体" w:hAnsi="宋体" w:cs="Times New Roman"/>
      <w:kern w:val="0"/>
      <w:szCs w:val="24"/>
    </w:rPr>
  </w:style>
  <w:style w:type="paragraph" w:customStyle="1" w:styleId="1868">
    <w:name w:val="表头5"/>
    <w:basedOn w:val="1"/>
    <w:qFormat/>
    <w:uiPriority w:val="0"/>
    <w:pPr>
      <w:tabs>
        <w:tab w:val="left" w:pos="625"/>
      </w:tabs>
      <w:adjustRightInd w:val="0"/>
      <w:snapToGrid w:val="0"/>
      <w:spacing w:beforeLines="100" w:afterLines="50" w:line="240" w:lineRule="atLeast"/>
      <w:ind w:left="950" w:leftChars="250" w:hanging="425"/>
    </w:pPr>
    <w:rPr>
      <w:rFonts w:cs="Times New Roman"/>
      <w:b/>
      <w:szCs w:val="24"/>
    </w:rPr>
  </w:style>
  <w:style w:type="paragraph" w:customStyle="1" w:styleId="1869">
    <w:name w:val="样式 标题 3 + 四号"/>
    <w:basedOn w:val="5"/>
    <w:qFormat/>
    <w:uiPriority w:val="0"/>
    <w:pPr>
      <w:adjustRightInd w:val="0"/>
      <w:snapToGrid w:val="0"/>
      <w:spacing w:beforeLines="50"/>
      <w:jc w:val="left"/>
    </w:pPr>
    <w:rPr>
      <w:rFonts w:eastAsia="宋体"/>
      <w:kern w:val="0"/>
      <w:szCs w:val="20"/>
    </w:rPr>
  </w:style>
  <w:style w:type="paragraph" w:customStyle="1" w:styleId="1870">
    <w:name w:val="样式 首行缩进:  2 字符18"/>
    <w:basedOn w:val="1"/>
    <w:qFormat/>
    <w:uiPriority w:val="0"/>
    <w:pPr>
      <w:spacing w:line="520" w:lineRule="exact"/>
      <w:ind w:firstLine="560"/>
    </w:pPr>
    <w:rPr>
      <w:rFonts w:cs="Times New Roman"/>
      <w:szCs w:val="20"/>
    </w:rPr>
  </w:style>
  <w:style w:type="paragraph" w:customStyle="1" w:styleId="1871">
    <w:name w:val="Char Char5 Char Char Char Char Char Char Char Char Char Char Char Char Char Char Char1 Char2"/>
    <w:basedOn w:val="5"/>
    <w:qFormat/>
    <w:uiPriority w:val="0"/>
    <w:pPr>
      <w:tabs>
        <w:tab w:val="left" w:pos="360"/>
        <w:tab w:val="left" w:pos="900"/>
      </w:tabs>
      <w:snapToGrid w:val="0"/>
      <w:spacing w:before="120" w:after="120" w:line="440" w:lineRule="exact"/>
      <w:ind w:left="542" w:leftChars="-12" w:firstLine="200" w:firstLineChars="200"/>
      <w:jc w:val="left"/>
    </w:pPr>
    <w:rPr>
      <w:rFonts w:eastAsia="宋体" w:cs="Chicago"/>
      <w:b w:val="0"/>
      <w:bCs w:val="0"/>
      <w:sz w:val="24"/>
      <w:szCs w:val="24"/>
    </w:rPr>
  </w:style>
  <w:style w:type="paragraph" w:customStyle="1" w:styleId="1872">
    <w:name w:val="标题 41"/>
    <w:basedOn w:val="1"/>
    <w:next w:val="1"/>
    <w:qFormat/>
    <w:uiPriority w:val="0"/>
    <w:pPr>
      <w:keepNext/>
      <w:keepLines/>
      <w:tabs>
        <w:tab w:val="left" w:pos="900"/>
        <w:tab w:val="left" w:pos="1080"/>
        <w:tab w:val="left" w:pos="1440"/>
      </w:tabs>
      <w:spacing w:before="120" w:after="120" w:line="440" w:lineRule="exact"/>
      <w:ind w:firstLine="562"/>
      <w:outlineLvl w:val="3"/>
    </w:pPr>
    <w:rPr>
      <w:rFonts w:cs="Times New Roman"/>
      <w:b/>
      <w:sz w:val="28"/>
      <w:szCs w:val="20"/>
    </w:rPr>
  </w:style>
  <w:style w:type="paragraph" w:customStyle="1" w:styleId="1873">
    <w:name w:val="1文章"/>
    <w:basedOn w:val="1"/>
    <w:qFormat/>
    <w:uiPriority w:val="0"/>
    <w:pPr>
      <w:snapToGrid w:val="0"/>
      <w:ind w:firstLine="496"/>
      <w:outlineLvl w:val="4"/>
    </w:pPr>
    <w:rPr>
      <w:rFonts w:cs="Times New Roman"/>
      <w:bCs/>
      <w:spacing w:val="4"/>
      <w:kern w:val="0"/>
      <w:szCs w:val="24"/>
    </w:rPr>
  </w:style>
  <w:style w:type="paragraph" w:customStyle="1" w:styleId="1874">
    <w:name w:val="样式 标题 4 + 字距调整二号"/>
    <w:basedOn w:val="6"/>
    <w:qFormat/>
    <w:uiPriority w:val="0"/>
    <w:pPr>
      <w:spacing w:before="120" w:after="120" w:line="240" w:lineRule="auto"/>
    </w:pPr>
    <w:rPr>
      <w:rFonts w:eastAsia="宋体" w:cs="Times New Roman"/>
      <w:b w:val="0"/>
      <w:bCs w:val="0"/>
      <w:kern w:val="44"/>
      <w:sz w:val="28"/>
      <w:szCs w:val="20"/>
    </w:rPr>
  </w:style>
  <w:style w:type="paragraph" w:customStyle="1" w:styleId="1875">
    <w:name w:val="图形标题"/>
    <w:basedOn w:val="1"/>
    <w:next w:val="1"/>
    <w:qFormat/>
    <w:uiPriority w:val="0"/>
    <w:pPr>
      <w:spacing w:before="120" w:after="120" w:line="240" w:lineRule="auto"/>
      <w:ind w:firstLine="615" w:firstLineChars="0"/>
      <w:jc w:val="center"/>
    </w:pPr>
    <w:rPr>
      <w:rFonts w:ascii="黑体" w:eastAsia="黑体" w:cs="Times New Roman"/>
    </w:rPr>
  </w:style>
  <w:style w:type="paragraph" w:customStyle="1" w:styleId="1876">
    <w:name w:val="Default Text:1"/>
    <w:basedOn w:val="1"/>
    <w:qFormat/>
    <w:uiPriority w:val="0"/>
    <w:pPr>
      <w:widowControl/>
      <w:overflowPunct w:val="0"/>
      <w:autoSpaceDE w:val="0"/>
      <w:autoSpaceDN w:val="0"/>
      <w:adjustRightInd w:val="0"/>
      <w:spacing w:line="240" w:lineRule="auto"/>
      <w:ind w:firstLine="0" w:firstLineChars="0"/>
      <w:jc w:val="left"/>
    </w:pPr>
    <w:rPr>
      <w:rFonts w:cs="Times New Roman"/>
      <w:kern w:val="0"/>
      <w:szCs w:val="24"/>
    </w:rPr>
  </w:style>
  <w:style w:type="paragraph" w:customStyle="1" w:styleId="1877">
    <w:name w:val="13"/>
    <w:basedOn w:val="1"/>
    <w:next w:val="35"/>
    <w:qFormat/>
    <w:uiPriority w:val="0"/>
    <w:pPr>
      <w:ind w:firstLine="570" w:firstLineChars="0"/>
    </w:pPr>
    <w:rPr>
      <w:rFonts w:cs="Times New Roman"/>
      <w:color w:val="000000"/>
      <w:szCs w:val="24"/>
    </w:rPr>
  </w:style>
  <w:style w:type="paragraph" w:customStyle="1" w:styleId="1878">
    <w:name w:val="CM77"/>
    <w:basedOn w:val="1"/>
    <w:next w:val="1"/>
    <w:qFormat/>
    <w:uiPriority w:val="0"/>
    <w:pPr>
      <w:autoSpaceDE w:val="0"/>
      <w:autoSpaceDN w:val="0"/>
      <w:adjustRightInd w:val="0"/>
      <w:spacing w:after="435" w:line="240" w:lineRule="auto"/>
      <w:ind w:firstLine="0" w:firstLineChars="0"/>
      <w:jc w:val="left"/>
    </w:pPr>
    <w:rPr>
      <w:rFonts w:cs="Times New Roman"/>
      <w:kern w:val="0"/>
      <w:szCs w:val="24"/>
    </w:rPr>
  </w:style>
  <w:style w:type="paragraph" w:customStyle="1" w:styleId="1879">
    <w:name w:val="WW-普通文字"/>
    <w:basedOn w:val="1"/>
    <w:qFormat/>
    <w:uiPriority w:val="0"/>
    <w:pPr>
      <w:suppressAutoHyphens/>
      <w:spacing w:line="440" w:lineRule="exact"/>
    </w:pPr>
    <w:rPr>
      <w:rFonts w:ascii="宋体" w:hAnsi="宋体" w:cs="Times New Roman"/>
      <w:szCs w:val="20"/>
      <w:lang w:eastAsia="ar-SA"/>
    </w:rPr>
  </w:style>
  <w:style w:type="paragraph" w:customStyle="1" w:styleId="1880">
    <w:name w:val="特殊标题３"/>
    <w:basedOn w:val="1"/>
    <w:qFormat/>
    <w:uiPriority w:val="0"/>
    <w:pPr>
      <w:overflowPunct w:val="0"/>
      <w:autoSpaceDE w:val="0"/>
      <w:autoSpaceDN w:val="0"/>
      <w:adjustRightInd w:val="0"/>
      <w:ind w:firstLine="0" w:firstLineChars="0"/>
    </w:pPr>
    <w:rPr>
      <w:rFonts w:eastAsia="仿宋_GB2312" w:cs="Times New Roman"/>
      <w:kern w:val="0"/>
      <w:sz w:val="21"/>
      <w:szCs w:val="20"/>
    </w:rPr>
  </w:style>
  <w:style w:type="paragraph" w:customStyle="1" w:styleId="1881">
    <w:name w:val="表题 2"/>
    <w:basedOn w:val="1"/>
    <w:qFormat/>
    <w:uiPriority w:val="0"/>
    <w:pPr>
      <w:adjustRightInd w:val="0"/>
      <w:spacing w:before="120" w:after="120" w:line="240" w:lineRule="auto"/>
      <w:ind w:firstLine="0" w:firstLineChars="0"/>
      <w:jc w:val="center"/>
    </w:pPr>
    <w:rPr>
      <w:rFonts w:cs="Times New Roman"/>
      <w:kern w:val="0"/>
      <w:sz w:val="28"/>
      <w:szCs w:val="20"/>
    </w:rPr>
  </w:style>
  <w:style w:type="paragraph" w:customStyle="1" w:styleId="1882">
    <w:name w:val="CM19"/>
    <w:basedOn w:val="157"/>
    <w:next w:val="157"/>
    <w:qFormat/>
    <w:uiPriority w:val="0"/>
    <w:pPr>
      <w:spacing w:line="453" w:lineRule="atLeast"/>
    </w:pPr>
    <w:rPr>
      <w:rFonts w:ascii="Times New Roman" w:hAnsi="Times New Roman" w:cs="Times New Roman"/>
      <w:color w:val="auto"/>
    </w:rPr>
  </w:style>
  <w:style w:type="paragraph" w:customStyle="1" w:styleId="1883">
    <w:name w:val="正文文字3"/>
    <w:basedOn w:val="1"/>
    <w:qFormat/>
    <w:uiPriority w:val="0"/>
    <w:pPr>
      <w:spacing w:before="60" w:after="60" w:line="500" w:lineRule="exact"/>
      <w:ind w:left="1021" w:firstLine="567" w:firstLineChars="0"/>
    </w:pPr>
    <w:rPr>
      <w:rFonts w:cs="Times New Roman"/>
      <w:sz w:val="28"/>
      <w:szCs w:val="28"/>
    </w:rPr>
  </w:style>
  <w:style w:type="paragraph" w:customStyle="1" w:styleId="1884">
    <w:name w:val="标题06"/>
    <w:basedOn w:val="1"/>
    <w:qFormat/>
    <w:uiPriority w:val="0"/>
    <w:pPr>
      <w:adjustRightInd w:val="0"/>
      <w:spacing w:before="2040" w:line="400" w:lineRule="atLeast"/>
      <w:ind w:firstLine="0" w:firstLineChars="0"/>
    </w:pPr>
    <w:rPr>
      <w:rFonts w:eastAsia="黑体" w:cs="Times New Roman"/>
      <w:spacing w:val="10"/>
      <w:kern w:val="0"/>
      <w:sz w:val="28"/>
      <w:szCs w:val="20"/>
    </w:rPr>
  </w:style>
  <w:style w:type="paragraph" w:customStyle="1" w:styleId="1885">
    <w:name w:val="lw正文"/>
    <w:basedOn w:val="1"/>
    <w:qFormat/>
    <w:uiPriority w:val="0"/>
    <w:pPr>
      <w:autoSpaceDE w:val="0"/>
      <w:autoSpaceDN w:val="0"/>
      <w:adjustRightInd w:val="0"/>
      <w:ind w:firstLine="420"/>
      <w:jc w:val="left"/>
    </w:pPr>
    <w:rPr>
      <w:rFonts w:cs="Times New Roman"/>
      <w:kern w:val="0"/>
      <w:szCs w:val="20"/>
    </w:rPr>
  </w:style>
  <w:style w:type="paragraph" w:customStyle="1" w:styleId="1886">
    <w:name w:val="样式 标题 3标题 3 Char标题 3 Char Char标题 3 Char Char Char条标题1.1.1BS...1"/>
    <w:basedOn w:val="5"/>
    <w:qFormat/>
    <w:uiPriority w:val="0"/>
    <w:pPr>
      <w:keepNext w:val="0"/>
      <w:keepLines w:val="0"/>
      <w:spacing w:before="80" w:after="80"/>
      <w:ind w:left="709" w:hanging="709"/>
      <w:jc w:val="left"/>
    </w:pPr>
    <w:rPr>
      <w:rFonts w:ascii="Verdana" w:hAnsi="Verdana" w:eastAsia="宋体" w:cs="宋体"/>
      <w:bCs w:val="0"/>
      <w:kern w:val="0"/>
      <w:szCs w:val="24"/>
    </w:rPr>
  </w:style>
  <w:style w:type="paragraph" w:customStyle="1" w:styleId="1887">
    <w:name w:val="msonormalcxspmiddle"/>
    <w:basedOn w:val="1"/>
    <w:qFormat/>
    <w:uiPriority w:val="0"/>
    <w:pPr>
      <w:widowControl/>
      <w:spacing w:before="100" w:beforeAutospacing="1" w:after="100" w:afterAutospacing="1" w:line="440" w:lineRule="exact"/>
      <w:ind w:firstLine="480"/>
      <w:jc w:val="left"/>
    </w:pPr>
    <w:rPr>
      <w:rFonts w:ascii="宋体" w:hAnsi="宋体" w:cs="宋体"/>
      <w:kern w:val="0"/>
      <w:szCs w:val="24"/>
    </w:rPr>
  </w:style>
  <w:style w:type="paragraph" w:customStyle="1" w:styleId="1888">
    <w:name w:val="样式 样式 小三 + 首行缩进:  2 字符"/>
    <w:basedOn w:val="1"/>
    <w:qFormat/>
    <w:uiPriority w:val="0"/>
    <w:pPr>
      <w:ind w:firstLine="560"/>
    </w:pPr>
    <w:rPr>
      <w:rFonts w:cs="Times New Roman"/>
      <w:color w:val="000000"/>
      <w:sz w:val="28"/>
      <w:szCs w:val="28"/>
    </w:rPr>
  </w:style>
  <w:style w:type="paragraph" w:customStyle="1" w:styleId="1889">
    <w:name w:val="样式 标题 1标题 1 1 + 小二"/>
    <w:basedOn w:val="3"/>
    <w:qFormat/>
    <w:uiPriority w:val="0"/>
    <w:pPr>
      <w:tabs>
        <w:tab w:val="left" w:pos="432"/>
      </w:tabs>
      <w:spacing w:beforeLines="100" w:line="440" w:lineRule="exact"/>
      <w:ind w:left="432" w:hanging="432" w:firstLineChars="200"/>
    </w:pPr>
    <w:rPr>
      <w:rFonts w:ascii="宋体" w:hAnsi="Tahoma" w:eastAsia="宋体" w:cs="Garamond"/>
      <w:bCs w:val="0"/>
      <w:color w:val="000000"/>
      <w:sz w:val="30"/>
      <w:szCs w:val="24"/>
    </w:rPr>
  </w:style>
  <w:style w:type="paragraph" w:customStyle="1" w:styleId="1890">
    <w:name w:val="样式 标题 4 + (西文) 宋体"/>
    <w:basedOn w:val="6"/>
    <w:qFormat/>
    <w:uiPriority w:val="0"/>
    <w:pPr>
      <w:spacing w:before="120" w:after="120" w:line="400" w:lineRule="atLeast"/>
      <w:jc w:val="left"/>
    </w:pPr>
    <w:rPr>
      <w:rFonts w:ascii="宋体" w:hAnsi="宋体" w:eastAsia="宋体" w:cs="Times New Roman"/>
      <w:bCs w:val="0"/>
      <w:szCs w:val="20"/>
    </w:rPr>
  </w:style>
  <w:style w:type="paragraph" w:customStyle="1" w:styleId="189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892">
    <w:name w:val="样式 1 + 宋体 小四 首行缩进:  2 字符1"/>
    <w:basedOn w:val="1"/>
    <w:qFormat/>
    <w:uiPriority w:val="0"/>
    <w:rPr>
      <w:rFonts w:ascii="宋体" w:hAnsi="宋体" w:cs="宋体"/>
      <w:kern w:val="0"/>
      <w:szCs w:val="20"/>
    </w:rPr>
  </w:style>
  <w:style w:type="paragraph" w:customStyle="1" w:styleId="1893">
    <w:name w:val="?2"/>
    <w:basedOn w:val="1"/>
    <w:next w:val="1"/>
    <w:qFormat/>
    <w:uiPriority w:val="0"/>
    <w:pPr>
      <w:autoSpaceDE w:val="0"/>
      <w:autoSpaceDN w:val="0"/>
      <w:adjustRightInd w:val="0"/>
      <w:spacing w:line="240" w:lineRule="auto"/>
      <w:ind w:firstLine="0" w:firstLineChars="0"/>
      <w:jc w:val="left"/>
    </w:pPr>
    <w:rPr>
      <w:rFonts w:ascii="五" w:eastAsia="五" w:cs="Times New Roman"/>
      <w:kern w:val="0"/>
      <w:sz w:val="20"/>
      <w:szCs w:val="24"/>
    </w:rPr>
  </w:style>
  <w:style w:type="paragraph" w:customStyle="1" w:styleId="1894">
    <w:name w:val="样式 居中 段前: 4 磅 段后: 4 磅"/>
    <w:basedOn w:val="1"/>
    <w:qFormat/>
    <w:uiPriority w:val="0"/>
    <w:pPr>
      <w:snapToGrid w:val="0"/>
      <w:spacing w:before="80" w:after="80" w:line="440" w:lineRule="exact"/>
      <w:jc w:val="center"/>
    </w:pPr>
    <w:rPr>
      <w:rFonts w:cs="宋体"/>
      <w:szCs w:val="20"/>
    </w:rPr>
  </w:style>
  <w:style w:type="paragraph" w:customStyle="1" w:styleId="1895">
    <w:name w:val="论文正文"/>
    <w:basedOn w:val="1"/>
    <w:qFormat/>
    <w:uiPriority w:val="0"/>
    <w:pPr>
      <w:spacing w:line="240" w:lineRule="auto"/>
      <w:ind w:left="420" w:right="-334" w:rightChars="-159" w:firstLine="420" w:firstLineChars="150"/>
      <w:jc w:val="left"/>
    </w:pPr>
    <w:rPr>
      <w:rFonts w:ascii="宋体" w:hAnsi="宋体" w:cs="宋体"/>
      <w:color w:val="000000"/>
      <w:sz w:val="28"/>
      <w:szCs w:val="20"/>
    </w:rPr>
  </w:style>
  <w:style w:type="paragraph" w:customStyle="1" w:styleId="1896">
    <w:name w:val="_Style 161"/>
    <w:basedOn w:val="1"/>
    <w:qFormat/>
    <w:uiPriority w:val="0"/>
    <w:pPr>
      <w:spacing w:line="375" w:lineRule="atLeast"/>
      <w:ind w:firstLine="128" w:firstLineChars="50"/>
      <w:jc w:val="left"/>
    </w:pPr>
    <w:rPr>
      <w:rFonts w:cs="Times New Roman"/>
      <w:kern w:val="0"/>
      <w:szCs w:val="24"/>
    </w:rPr>
  </w:style>
  <w:style w:type="paragraph" w:customStyle="1" w:styleId="1897">
    <w:name w:val="10"/>
    <w:basedOn w:val="1"/>
    <w:next w:val="35"/>
    <w:qFormat/>
    <w:uiPriority w:val="0"/>
    <w:pPr>
      <w:ind w:firstLine="570" w:firstLineChars="0"/>
    </w:pPr>
    <w:rPr>
      <w:rFonts w:cs="Times New Roman"/>
      <w:color w:val="000000"/>
      <w:szCs w:val="24"/>
    </w:rPr>
  </w:style>
  <w:style w:type="paragraph" w:customStyle="1" w:styleId="1898">
    <w:name w:val="表文(G)"/>
    <w:basedOn w:val="1"/>
    <w:qFormat/>
    <w:uiPriority w:val="0"/>
    <w:pPr>
      <w:tabs>
        <w:tab w:val="left" w:pos="1021"/>
      </w:tabs>
      <w:jc w:val="center"/>
    </w:pPr>
    <w:rPr>
      <w:rFonts w:hAnsi="宋体" w:cs="Times New Roman"/>
      <w:kern w:val="0"/>
      <w:position w:val="-24"/>
    </w:rPr>
  </w:style>
  <w:style w:type="paragraph" w:customStyle="1" w:styleId="1899">
    <w:name w:val="样式 标题 11.标题 1一、标题 1 Char Char Char Char1 南陵标题 1标题 1 Char标题..."/>
    <w:basedOn w:val="3"/>
    <w:qFormat/>
    <w:uiPriority w:val="0"/>
    <w:pPr>
      <w:keepLines w:val="0"/>
      <w:tabs>
        <w:tab w:val="left" w:pos="360"/>
      </w:tabs>
      <w:adjustRightInd w:val="0"/>
      <w:spacing w:line="440" w:lineRule="exact"/>
      <w:ind w:firstLine="200" w:firstLineChars="200"/>
    </w:pPr>
    <w:rPr>
      <w:rFonts w:ascii="Tahoma" w:hAnsi="Tahoma" w:eastAsia="华文仿宋" w:cs="Garamond"/>
      <w:bCs w:val="0"/>
      <w:color w:val="000000"/>
      <w:kern w:val="2"/>
      <w:sz w:val="28"/>
      <w:szCs w:val="24"/>
    </w:rPr>
  </w:style>
  <w:style w:type="paragraph" w:customStyle="1" w:styleId="1900">
    <w:name w:val="样式 四号 段前: 7.8 磅 行距: 多倍行距 1.25 字行 首行缩进:  2 字符"/>
    <w:basedOn w:val="1"/>
    <w:qFormat/>
    <w:uiPriority w:val="0"/>
    <w:pPr>
      <w:spacing w:beforeLines="50" w:line="300" w:lineRule="auto"/>
    </w:pPr>
    <w:rPr>
      <w:rFonts w:cs="Times New Roman"/>
      <w:sz w:val="28"/>
      <w:szCs w:val="20"/>
    </w:rPr>
  </w:style>
  <w:style w:type="paragraph" w:customStyle="1" w:styleId="1901">
    <w:name w:val="Char Char7 Char Char Char"/>
    <w:basedOn w:val="5"/>
    <w:qFormat/>
    <w:uiPriority w:val="0"/>
    <w:pPr>
      <w:widowControl/>
      <w:tabs>
        <w:tab w:val="left" w:pos="360"/>
        <w:tab w:val="left" w:pos="900"/>
      </w:tabs>
      <w:snapToGrid w:val="0"/>
      <w:spacing w:before="120" w:after="120"/>
      <w:ind w:left="542" w:leftChars="-12" w:firstLine="200" w:firstLineChars="200"/>
      <w:jc w:val="left"/>
    </w:pPr>
    <w:rPr>
      <w:b w:val="0"/>
      <w:sz w:val="24"/>
      <w:szCs w:val="24"/>
    </w:rPr>
  </w:style>
  <w:style w:type="paragraph" w:customStyle="1" w:styleId="1902">
    <w:name w:val="14"/>
    <w:basedOn w:val="1"/>
    <w:next w:val="45"/>
    <w:qFormat/>
    <w:uiPriority w:val="0"/>
    <w:pPr>
      <w:spacing w:line="240" w:lineRule="auto"/>
      <w:ind w:firstLine="0" w:firstLineChars="0"/>
    </w:pPr>
    <w:rPr>
      <w:rFonts w:ascii="宋体" w:hAnsi="Courier New" w:cs="Times New Roman"/>
      <w:sz w:val="21"/>
      <w:szCs w:val="20"/>
    </w:rPr>
  </w:style>
  <w:style w:type="paragraph" w:customStyle="1" w:styleId="1903">
    <w:name w:val="样式 自定义正文 + 首行缩进:  2 字符"/>
    <w:basedOn w:val="1"/>
    <w:qFormat/>
    <w:uiPriority w:val="0"/>
    <w:pPr>
      <w:adjustRightInd w:val="0"/>
      <w:snapToGrid w:val="0"/>
      <w:ind w:firstLine="510" w:firstLineChars="0"/>
    </w:pPr>
    <w:rPr>
      <w:rFonts w:cs="Times New Roman"/>
      <w:spacing w:val="-2"/>
      <w:sz w:val="28"/>
      <w:szCs w:val="20"/>
    </w:rPr>
  </w:style>
  <w:style w:type="paragraph" w:customStyle="1" w:styleId="1904">
    <w:name w:val="样式 正文文本 3 + 加粗1"/>
    <w:basedOn w:val="31"/>
    <w:qFormat/>
    <w:uiPriority w:val="0"/>
    <w:pPr>
      <w:autoSpaceDE/>
      <w:autoSpaceDN/>
      <w:adjustRightInd/>
      <w:snapToGrid w:val="0"/>
      <w:spacing w:line="320" w:lineRule="exact"/>
      <w:ind w:firstLine="200" w:firstLineChars="200"/>
      <w:jc w:val="both"/>
    </w:pPr>
    <w:rPr>
      <w:rFonts w:ascii="Times New Roman" w:hAnsi="Times New Roman" w:eastAsia="仿宋_GB2312"/>
      <w:b/>
      <w:bCs/>
      <w:color w:val="auto"/>
      <w:spacing w:val="4"/>
    </w:rPr>
  </w:style>
  <w:style w:type="paragraph" w:customStyle="1" w:styleId="1905">
    <w:name w:val="zhengwen"/>
    <w:basedOn w:val="1"/>
    <w:qFormat/>
    <w:uiPriority w:val="0"/>
    <w:pPr>
      <w:spacing w:line="360" w:lineRule="atLeast"/>
      <w:ind w:firstLine="0" w:firstLineChars="0"/>
    </w:pPr>
    <w:rPr>
      <w:rFonts w:ascii="黑体" w:hAnsi="Calibri" w:eastAsia="Times New Roman" w:cs="宋体"/>
      <w:iCs/>
      <w:sz w:val="21"/>
      <w:szCs w:val="32"/>
    </w:rPr>
  </w:style>
  <w:style w:type="character" w:customStyle="1" w:styleId="1906">
    <w:name w:val="表格，五宋 Char"/>
    <w:link w:val="1907"/>
    <w:qFormat/>
    <w:locked/>
    <w:uiPriority w:val="0"/>
  </w:style>
  <w:style w:type="paragraph" w:customStyle="1" w:styleId="1907">
    <w:name w:val="表格，五宋"/>
    <w:link w:val="1906"/>
    <w:qFormat/>
    <w:uiPriority w:val="0"/>
    <w:pPr>
      <w:keepNext/>
      <w:widowControl w:val="0"/>
      <w:adjustRightInd w:val="0"/>
      <w:spacing w:line="360" w:lineRule="exact"/>
      <w:jc w:val="both"/>
    </w:pPr>
    <w:rPr>
      <w:rFonts w:asciiTheme="minorHAnsi" w:hAnsiTheme="minorHAnsi" w:eastAsiaTheme="minorEastAsia" w:cstheme="minorBidi"/>
      <w:kern w:val="2"/>
      <w:sz w:val="21"/>
      <w:szCs w:val="21"/>
      <w:lang w:val="en-US" w:eastAsia="zh-CN" w:bidi="ar-SA"/>
    </w:rPr>
  </w:style>
  <w:style w:type="paragraph" w:customStyle="1" w:styleId="1908">
    <w:name w:val="文1"/>
    <w:basedOn w:val="1"/>
    <w:qFormat/>
    <w:uiPriority w:val="0"/>
    <w:pPr>
      <w:autoSpaceDE w:val="0"/>
      <w:autoSpaceDN w:val="0"/>
      <w:spacing w:line="312" w:lineRule="auto"/>
      <w:ind w:firstLine="567"/>
    </w:pPr>
    <w:rPr>
      <w:rFonts w:ascii="宋体" w:cs="Times New Roman"/>
      <w:spacing w:val="6"/>
      <w:sz w:val="28"/>
      <w:szCs w:val="20"/>
    </w:rPr>
  </w:style>
  <w:style w:type="paragraph" w:customStyle="1" w:styleId="1909">
    <w:name w:val="样本"/>
    <w:basedOn w:val="1"/>
    <w:qFormat/>
    <w:uiPriority w:val="0"/>
    <w:pPr>
      <w:spacing w:before="100" w:after="100" w:line="500" w:lineRule="exact"/>
    </w:pPr>
    <w:rPr>
      <w:rFonts w:cs="Times New Roman"/>
      <w:sz w:val="28"/>
      <w:szCs w:val="20"/>
    </w:rPr>
  </w:style>
  <w:style w:type="paragraph" w:customStyle="1" w:styleId="1910">
    <w:name w:val="样式 表格标题 + 段前: 0.5 行"/>
    <w:basedOn w:val="21"/>
    <w:qFormat/>
    <w:uiPriority w:val="0"/>
    <w:pPr>
      <w:spacing w:beforeLines="20" w:line="360" w:lineRule="auto"/>
      <w:ind w:firstLine="0"/>
      <w:jc w:val="center"/>
    </w:pPr>
    <w:rPr>
      <w:rFonts w:eastAsia="黑体" w:asciiTheme="minorHAnsi" w:hAnsiTheme="minorHAnsi" w:cstheme="minorBidi"/>
      <w:sz w:val="24"/>
      <w:szCs w:val="22"/>
    </w:rPr>
  </w:style>
  <w:style w:type="paragraph" w:customStyle="1" w:styleId="1911">
    <w:name w:val="样式 样式 样式 00正文 + 左侧:  1.27 厘米 + 首行缩进:  2 字符 + 首行缩进:  2 字符"/>
    <w:basedOn w:val="1"/>
    <w:qFormat/>
    <w:uiPriority w:val="0"/>
    <w:pPr>
      <w:snapToGrid w:val="0"/>
      <w:ind w:firstLine="560"/>
      <w:jc w:val="left"/>
    </w:pPr>
    <w:rPr>
      <w:rFonts w:eastAsia="新宋体" w:cs="宋体"/>
      <w:sz w:val="28"/>
      <w:szCs w:val="20"/>
    </w:rPr>
  </w:style>
  <w:style w:type="paragraph" w:customStyle="1" w:styleId="1912">
    <w:name w:val="样式 普通文字 + (符号) 宋体 行距: 固定值 31 磅"/>
    <w:basedOn w:val="45"/>
    <w:qFormat/>
    <w:uiPriority w:val="0"/>
    <w:pPr>
      <w:adjustRightInd w:val="0"/>
      <w:spacing w:line="360" w:lineRule="auto"/>
      <w:ind w:firstLine="560" w:firstLineChars="200"/>
      <w:jc w:val="center"/>
    </w:pPr>
    <w:rPr>
      <w:rFonts w:hAnsi="Times New Roman" w:eastAsia="宋体" w:cs="Times New Roman"/>
      <w:color w:val="FF0000"/>
      <w:kern w:val="0"/>
      <w:sz w:val="28"/>
      <w:szCs w:val="24"/>
    </w:rPr>
  </w:style>
  <w:style w:type="paragraph" w:customStyle="1" w:styleId="1913">
    <w:name w:val="样式 样式 样式 正文 + 首行缩进:  2 字符 段前: 0.5 行 段后: 0.5 行 + 首行缩进:  2 字符 段前: ..."/>
    <w:basedOn w:val="1"/>
    <w:qFormat/>
    <w:uiPriority w:val="0"/>
    <w:pPr>
      <w:spacing w:line="440" w:lineRule="exact"/>
      <w:ind w:firstLine="448"/>
      <w:jc w:val="left"/>
    </w:pPr>
    <w:rPr>
      <w:rFonts w:ascii="宋体" w:cs="宋体"/>
      <w:spacing w:val="2"/>
      <w:kern w:val="0"/>
      <w:sz w:val="22"/>
      <w:szCs w:val="20"/>
    </w:rPr>
  </w:style>
  <w:style w:type="paragraph" w:customStyle="1" w:styleId="1914">
    <w:name w:val="w4"/>
    <w:basedOn w:val="1"/>
    <w:next w:val="5"/>
    <w:qFormat/>
    <w:uiPriority w:val="0"/>
    <w:pPr>
      <w:adjustRightInd w:val="0"/>
      <w:snapToGrid w:val="0"/>
      <w:spacing w:line="440" w:lineRule="exact"/>
      <w:ind w:firstLine="480"/>
    </w:pPr>
    <w:rPr>
      <w:rFonts w:ascii="宋体" w:hAnsi="宋体" w:cs="Times New Roman"/>
      <w:kern w:val="0"/>
      <w:sz w:val="28"/>
      <w:szCs w:val="20"/>
    </w:rPr>
  </w:style>
  <w:style w:type="paragraph" w:customStyle="1" w:styleId="1915">
    <w:name w:val="7"/>
    <w:basedOn w:val="1"/>
    <w:next w:val="35"/>
    <w:qFormat/>
    <w:uiPriority w:val="0"/>
    <w:pPr>
      <w:ind w:firstLine="435" w:firstLineChars="0"/>
    </w:pPr>
    <w:rPr>
      <w:rFonts w:cs="Times New Roman"/>
      <w:szCs w:val="24"/>
    </w:rPr>
  </w:style>
  <w:style w:type="paragraph" w:customStyle="1" w:styleId="1916">
    <w:name w:val="列图"/>
    <w:basedOn w:val="66"/>
    <w:next w:val="1"/>
    <w:qFormat/>
    <w:uiPriority w:val="0"/>
    <w:pPr>
      <w:keepLines/>
      <w:spacing w:before="120" w:after="120" w:line="300" w:lineRule="atLeast"/>
      <w:ind w:firstLine="200" w:firstLineChars="200"/>
      <w:jc w:val="both"/>
    </w:pPr>
    <w:rPr>
      <w:rFonts w:hint="eastAsia" w:ascii="Tahoma" w:hAnsi="Tahoma" w:eastAsia="华文仿宋" w:cstheme="minorBidi"/>
      <w:kern w:val="28"/>
      <w:szCs w:val="22"/>
    </w:rPr>
  </w:style>
  <w:style w:type="paragraph" w:customStyle="1" w:styleId="1917">
    <w:name w:val="标准中文版式_正文"/>
    <w:basedOn w:val="1"/>
    <w:qFormat/>
    <w:uiPriority w:val="0"/>
    <w:pPr>
      <w:spacing w:before="30"/>
      <w:ind w:firstLine="0" w:firstLineChars="0"/>
    </w:pPr>
    <w:rPr>
      <w:rFonts w:ascii="Arial" w:hAnsi="Arial" w:cs="Times New Roman"/>
      <w:szCs w:val="24"/>
    </w:rPr>
  </w:style>
  <w:style w:type="paragraph" w:customStyle="1" w:styleId="1918">
    <w:name w:val="样式 表格文字统一样式 + Arial 小五 非加粗 自动设置 行距: 单倍行距"/>
    <w:basedOn w:val="1657"/>
    <w:qFormat/>
    <w:uiPriority w:val="0"/>
    <w:rPr>
      <w:rFonts w:ascii="Batang" w:hAnsi="Batang"/>
      <w:b/>
    </w:rPr>
  </w:style>
  <w:style w:type="paragraph" w:customStyle="1" w:styleId="1919">
    <w:name w:val="image_subtitle"/>
    <w:basedOn w:val="1"/>
    <w:qFormat/>
    <w:uiPriority w:val="0"/>
    <w:pPr>
      <w:widowControl/>
      <w:spacing w:line="240" w:lineRule="auto"/>
      <w:ind w:firstLine="0" w:firstLineChars="0"/>
      <w:jc w:val="left"/>
    </w:pPr>
    <w:rPr>
      <w:rFonts w:ascii="宋体" w:hAnsi="宋体" w:cs="Times New Roman"/>
      <w:kern w:val="0"/>
      <w:sz w:val="15"/>
      <w:szCs w:val="15"/>
    </w:rPr>
  </w:style>
  <w:style w:type="paragraph" w:customStyle="1" w:styleId="1920">
    <w:name w:val="正文[858D7CFB-ED40-4347-BF05-701D383B685F][858D7CFB-ED40-4347-BF05-701D383B685F]"/>
    <w:qFormat/>
    <w:uiPriority w:val="0"/>
    <w:pPr>
      <w:spacing w:line="520" w:lineRule="exact"/>
      <w:ind w:firstLine="200" w:firstLineChars="200"/>
    </w:pPr>
    <w:rPr>
      <w:rFonts w:ascii="Times New Roman" w:hAnsi="Times New Roman" w:eastAsia="宋体" w:cs="Times New Roman"/>
      <w:sz w:val="28"/>
      <w:szCs w:val="28"/>
      <w:lang w:val="en-US" w:eastAsia="zh-CN" w:bidi="ar-SA"/>
    </w:rPr>
  </w:style>
  <w:style w:type="paragraph" w:customStyle="1" w:styleId="1921">
    <w:name w:val="CM79"/>
    <w:basedOn w:val="1"/>
    <w:next w:val="1"/>
    <w:qFormat/>
    <w:uiPriority w:val="0"/>
    <w:pPr>
      <w:autoSpaceDE w:val="0"/>
      <w:autoSpaceDN w:val="0"/>
      <w:adjustRightInd w:val="0"/>
      <w:spacing w:after="248" w:line="240" w:lineRule="auto"/>
      <w:ind w:firstLine="0" w:firstLineChars="0"/>
      <w:jc w:val="left"/>
    </w:pPr>
    <w:rPr>
      <w:rFonts w:cs="Times New Roman"/>
      <w:kern w:val="0"/>
      <w:szCs w:val="24"/>
    </w:rPr>
  </w:style>
  <w:style w:type="paragraph" w:customStyle="1" w:styleId="1922">
    <w:name w:val="A标题"/>
    <w:basedOn w:val="6"/>
    <w:qFormat/>
    <w:uiPriority w:val="0"/>
    <w:pPr>
      <w:tabs>
        <w:tab w:val="left" w:pos="-120"/>
        <w:tab w:val="left" w:pos="625"/>
      </w:tabs>
      <w:spacing w:before="60" w:after="60" w:line="264" w:lineRule="auto"/>
      <w:ind w:left="625" w:hanging="425"/>
      <w:jc w:val="left"/>
    </w:pPr>
    <w:rPr>
      <w:rFonts w:cs="Times New Roman"/>
      <w:b w:val="0"/>
      <w:spacing w:val="20"/>
      <w:szCs w:val="20"/>
    </w:rPr>
  </w:style>
  <w:style w:type="paragraph" w:customStyle="1" w:styleId="1923">
    <w:name w:val="CM78"/>
    <w:basedOn w:val="157"/>
    <w:next w:val="157"/>
    <w:qFormat/>
    <w:uiPriority w:val="0"/>
    <w:pPr>
      <w:spacing w:after="495"/>
    </w:pPr>
    <w:rPr>
      <w:rFonts w:ascii="Times New Roman" w:hAnsi="Times New Roman" w:cs="Times New Roman"/>
      <w:color w:val="auto"/>
    </w:rPr>
  </w:style>
  <w:style w:type="paragraph" w:customStyle="1" w:styleId="1924">
    <w:name w:val="Char2 Char Char Char Char Char Char Char Char Char"/>
    <w:basedOn w:val="1"/>
    <w:qFormat/>
    <w:uiPriority w:val="0"/>
    <w:rPr>
      <w:rFonts w:ascii="宋体" w:hAnsi="宋体" w:cs="宋体"/>
      <w:szCs w:val="24"/>
    </w:rPr>
  </w:style>
  <w:style w:type="paragraph" w:customStyle="1" w:styleId="1925">
    <w:name w:val="CM21"/>
    <w:basedOn w:val="1"/>
    <w:next w:val="1"/>
    <w:qFormat/>
    <w:uiPriority w:val="0"/>
    <w:pPr>
      <w:autoSpaceDE w:val="0"/>
      <w:autoSpaceDN w:val="0"/>
      <w:adjustRightInd w:val="0"/>
      <w:spacing w:line="480" w:lineRule="atLeast"/>
      <w:ind w:firstLine="0" w:firstLineChars="0"/>
      <w:jc w:val="left"/>
    </w:pPr>
    <w:rPr>
      <w:rFonts w:cs="Times New Roman"/>
      <w:kern w:val="0"/>
      <w:szCs w:val="24"/>
    </w:rPr>
  </w:style>
  <w:style w:type="paragraph" w:customStyle="1" w:styleId="1926">
    <w:name w:val="1 Char Char Char Char Char Char Char Char Char Char"/>
    <w:basedOn w:val="1"/>
    <w:qFormat/>
    <w:uiPriority w:val="0"/>
    <w:pPr>
      <w:spacing w:beforeLines="50" w:afterLines="50" w:line="480" w:lineRule="exact"/>
    </w:pPr>
    <w:rPr>
      <w:rFonts w:cs="Times New Roman"/>
      <w:sz w:val="28"/>
      <w:szCs w:val="28"/>
    </w:rPr>
  </w:style>
  <w:style w:type="paragraph" w:customStyle="1" w:styleId="1927">
    <w:name w:val="样式 样式 标题 3标题3H3h33rd level第二层条头小标题小节标题标题 3 Char Char一海港标... +"/>
    <w:basedOn w:val="854"/>
    <w:qFormat/>
    <w:uiPriority w:val="0"/>
    <w:rPr>
      <w:rFonts w:ascii="Tahoma" w:hAnsi="Tahoma"/>
      <w:kern w:val="2"/>
    </w:rPr>
  </w:style>
  <w:style w:type="paragraph" w:customStyle="1" w:styleId="1928">
    <w:name w:val="文档标签"/>
    <w:basedOn w:val="1"/>
    <w:qFormat/>
    <w:uiPriority w:val="0"/>
    <w:pPr>
      <w:keepNext/>
      <w:keepLines/>
      <w:widowControl/>
      <w:spacing w:before="400" w:after="120" w:line="240" w:lineRule="atLeast"/>
      <w:ind w:firstLine="0" w:firstLineChars="0"/>
      <w:jc w:val="left"/>
    </w:pPr>
    <w:rPr>
      <w:rFonts w:ascii="Arial Black" w:hAnsi="Arial Black" w:cs="Times New Roman"/>
      <w:spacing w:val="-100"/>
      <w:kern w:val="28"/>
      <w:sz w:val="108"/>
      <w:szCs w:val="108"/>
    </w:rPr>
  </w:style>
  <w:style w:type="paragraph" w:customStyle="1" w:styleId="1929">
    <w:name w:val="CM1"/>
    <w:basedOn w:val="157"/>
    <w:next w:val="157"/>
    <w:qFormat/>
    <w:uiPriority w:val="0"/>
    <w:pPr>
      <w:spacing w:line="456" w:lineRule="atLeast"/>
    </w:pPr>
    <w:rPr>
      <w:rFonts w:ascii="Times New Roman" w:hAnsi="Times New Roman" w:cs="Times New Roman"/>
      <w:color w:val="auto"/>
    </w:rPr>
  </w:style>
  <w:style w:type="paragraph" w:customStyle="1" w:styleId="1930">
    <w:name w:val="00 正文"/>
    <w:qFormat/>
    <w:uiPriority w:val="0"/>
    <w:pPr>
      <w:tabs>
        <w:tab w:val="left" w:pos="780"/>
        <w:tab w:val="left" w:pos="1206"/>
      </w:tabs>
      <w:snapToGrid w:val="0"/>
      <w:spacing w:line="520" w:lineRule="exact"/>
      <w:ind w:left="425" w:hanging="425"/>
      <w:jc w:val="both"/>
    </w:pPr>
    <w:rPr>
      <w:rFonts w:ascii="Times New Roman" w:hAnsi="宋体" w:eastAsia="宋体" w:cs="Times New Roman"/>
      <w:color w:val="000000"/>
      <w:sz w:val="24"/>
      <w:szCs w:val="24"/>
      <w:lang w:val="en-US" w:eastAsia="zh-CN" w:bidi="ar-SA"/>
    </w:rPr>
  </w:style>
  <w:style w:type="paragraph" w:customStyle="1" w:styleId="1931">
    <w:name w:val="封面标题"/>
    <w:basedOn w:val="1"/>
    <w:next w:val="574"/>
    <w:qFormat/>
    <w:uiPriority w:val="0"/>
    <w:pPr>
      <w:tabs>
        <w:tab w:val="center" w:pos="6804"/>
        <w:tab w:val="right" w:pos="7371"/>
      </w:tabs>
      <w:overflowPunct w:val="0"/>
      <w:adjustRightInd w:val="0"/>
      <w:ind w:firstLine="0" w:firstLineChars="0"/>
      <w:jc w:val="center"/>
    </w:pPr>
    <w:rPr>
      <w:rFonts w:ascii="Arial" w:eastAsia="黑体" w:cs="Times New Roman"/>
      <w:color w:val="FF0000"/>
      <w:spacing w:val="20"/>
      <w:kern w:val="52"/>
      <w:sz w:val="72"/>
      <w:szCs w:val="20"/>
    </w:rPr>
  </w:style>
  <w:style w:type="paragraph" w:customStyle="1" w:styleId="1932">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1933">
    <w:name w:val="样式 标题 3 + 宋体 四号"/>
    <w:basedOn w:val="5"/>
    <w:qFormat/>
    <w:uiPriority w:val="0"/>
    <w:pPr>
      <w:spacing w:before="260" w:after="260" w:line="412" w:lineRule="auto"/>
    </w:pPr>
    <w:rPr>
      <w:rFonts w:ascii="宋体" w:hAnsi="宋体" w:eastAsia="宋体"/>
      <w:i/>
    </w:rPr>
  </w:style>
  <w:style w:type="paragraph" w:customStyle="1" w:styleId="1934">
    <w:name w:val="表格标题01"/>
    <w:basedOn w:val="1"/>
    <w:qFormat/>
    <w:uiPriority w:val="0"/>
    <w:pPr>
      <w:snapToGrid w:val="0"/>
      <w:spacing w:before="120" w:line="400" w:lineRule="atLeast"/>
      <w:ind w:firstLine="0" w:firstLineChars="0"/>
      <w:jc w:val="center"/>
    </w:pPr>
    <w:rPr>
      <w:rFonts w:cs="Times New Roman"/>
      <w:kern w:val="0"/>
      <w:szCs w:val="24"/>
    </w:rPr>
  </w:style>
  <w:style w:type="paragraph" w:customStyle="1" w:styleId="1935">
    <w:name w:val="表中正文五号"/>
    <w:basedOn w:val="1"/>
    <w:qFormat/>
    <w:uiPriority w:val="0"/>
    <w:pPr>
      <w:spacing w:line="480" w:lineRule="exact"/>
      <w:ind w:firstLine="0" w:firstLineChars="0"/>
      <w:jc w:val="center"/>
    </w:pPr>
    <w:rPr>
      <w:rFonts w:ascii="楷体" w:eastAsia="楷体" w:cs="Times New Roman"/>
      <w:sz w:val="21"/>
      <w:szCs w:val="20"/>
    </w:rPr>
  </w:style>
  <w:style w:type="paragraph" w:customStyle="1" w:styleId="1936">
    <w:name w:val="正文表头"/>
    <w:basedOn w:val="1"/>
    <w:next w:val="1"/>
    <w:qFormat/>
    <w:uiPriority w:val="0"/>
    <w:pPr>
      <w:keepNext/>
      <w:tabs>
        <w:tab w:val="center" w:pos="4253"/>
        <w:tab w:val="center" w:pos="6804"/>
        <w:tab w:val="right" w:pos="8505"/>
      </w:tabs>
      <w:overflowPunct w:val="0"/>
      <w:adjustRightInd w:val="0"/>
      <w:spacing w:before="120"/>
      <w:ind w:firstLine="0" w:firstLineChars="0"/>
      <w:jc w:val="center"/>
    </w:pPr>
    <w:rPr>
      <w:rFonts w:eastAsia="黑体" w:cs="Times New Roman"/>
      <w:kern w:val="0"/>
      <w:sz w:val="28"/>
      <w:szCs w:val="28"/>
    </w:rPr>
  </w:style>
  <w:style w:type="paragraph" w:customStyle="1" w:styleId="1937">
    <w:name w:val="Normal06"/>
    <w:basedOn w:val="1"/>
    <w:qFormat/>
    <w:uiPriority w:val="0"/>
    <w:pPr>
      <w:widowControl/>
      <w:snapToGrid w:val="0"/>
      <w:spacing w:line="360" w:lineRule="exact"/>
      <w:ind w:left="476" w:firstLine="0" w:firstLineChars="0"/>
    </w:pPr>
    <w:rPr>
      <w:rFonts w:ascii="Arial" w:hAnsi="Arial" w:cs="Times New Roman"/>
      <w:kern w:val="0"/>
      <w:szCs w:val="20"/>
      <w:lang w:val="it-IT" w:eastAsia="it-IT"/>
    </w:rPr>
  </w:style>
  <w:style w:type="paragraph" w:customStyle="1" w:styleId="1938">
    <w:name w:val="样式 zw + 首行缩进:  1 字符"/>
    <w:basedOn w:val="1"/>
    <w:qFormat/>
    <w:uiPriority w:val="0"/>
    <w:pPr>
      <w:ind w:firstLine="538" w:firstLineChars="192"/>
      <w:jc w:val="left"/>
    </w:pPr>
    <w:rPr>
      <w:rFonts w:ascii="宋体" w:hAnsi="宋体" w:cs="MSMincho"/>
      <w:kern w:val="0"/>
      <w:sz w:val="28"/>
      <w:szCs w:val="28"/>
    </w:rPr>
  </w:style>
  <w:style w:type="paragraph" w:customStyle="1" w:styleId="1939">
    <w:name w:val="表尾"/>
    <w:basedOn w:val="1"/>
    <w:qFormat/>
    <w:uiPriority w:val="0"/>
    <w:pPr>
      <w:spacing w:line="240" w:lineRule="auto"/>
      <w:ind w:firstLine="0" w:firstLineChars="0"/>
      <w:jc w:val="center"/>
    </w:pPr>
    <w:rPr>
      <w:rFonts w:cs="Times New Roman"/>
      <w:sz w:val="21"/>
      <w:szCs w:val="24"/>
    </w:rPr>
  </w:style>
  <w:style w:type="paragraph" w:customStyle="1" w:styleId="1940">
    <w:name w:val="样式 小四 居中 行距: 最小值 12 磅"/>
    <w:basedOn w:val="1"/>
    <w:qFormat/>
    <w:uiPriority w:val="0"/>
    <w:pPr>
      <w:adjustRightInd w:val="0"/>
      <w:snapToGrid w:val="0"/>
      <w:spacing w:line="240" w:lineRule="atLeast"/>
      <w:ind w:firstLine="480"/>
      <w:jc w:val="center"/>
    </w:pPr>
    <w:rPr>
      <w:rFonts w:cs="Times New Roman"/>
      <w:szCs w:val="20"/>
    </w:rPr>
  </w:style>
  <w:style w:type="paragraph" w:customStyle="1" w:styleId="1941">
    <w:name w:val="8"/>
    <w:basedOn w:val="1"/>
    <w:next w:val="34"/>
    <w:qFormat/>
    <w:uiPriority w:val="0"/>
    <w:pPr>
      <w:spacing w:line="240" w:lineRule="auto"/>
      <w:ind w:firstLine="0" w:firstLineChars="0"/>
    </w:pPr>
    <w:rPr>
      <w:rFonts w:ascii="宋体" w:hAnsi="宋体" w:cs="Times New Roman"/>
      <w:sz w:val="28"/>
      <w:szCs w:val="24"/>
    </w:rPr>
  </w:style>
  <w:style w:type="paragraph" w:customStyle="1" w:styleId="1942">
    <w:name w:val="表格注释"/>
    <w:basedOn w:val="1"/>
    <w:qFormat/>
    <w:uiPriority w:val="0"/>
    <w:pPr>
      <w:spacing w:line="320" w:lineRule="exact"/>
      <w:ind w:firstLine="630" w:firstLineChars="300"/>
      <w:jc w:val="left"/>
      <w:outlineLvl w:val="2"/>
    </w:pPr>
    <w:rPr>
      <w:rFonts w:eastAsia="仿宋_GB2312" w:cs="Times New Roman"/>
      <w:kern w:val="18"/>
      <w:sz w:val="21"/>
      <w:szCs w:val="20"/>
    </w:rPr>
  </w:style>
  <w:style w:type="paragraph" w:customStyle="1" w:styleId="1943">
    <w:name w:val="样式 (西文) 宋体 小四 红色 行距: 1.5 倍行距 首行缩进:  2 字符"/>
    <w:basedOn w:val="1"/>
    <w:qFormat/>
    <w:uiPriority w:val="0"/>
    <w:pPr>
      <w:ind w:firstLine="480"/>
    </w:pPr>
    <w:rPr>
      <w:rFonts w:ascii="宋体" w:hAnsi="宋体" w:cs="宋体"/>
      <w:color w:val="FF0000"/>
      <w:sz w:val="28"/>
      <w:szCs w:val="20"/>
    </w:rPr>
  </w:style>
  <w:style w:type="paragraph" w:customStyle="1" w:styleId="1944">
    <w:name w:val="J【表中文字】"/>
    <w:basedOn w:val="1"/>
    <w:qFormat/>
    <w:uiPriority w:val="0"/>
    <w:pPr>
      <w:spacing w:line="440" w:lineRule="exact"/>
      <w:ind w:firstLine="720"/>
      <w:jc w:val="center"/>
    </w:pPr>
    <w:rPr>
      <w:rFonts w:cs="FLGPEK+TimesNewRoman,Italic"/>
      <w:kern w:val="0"/>
    </w:rPr>
  </w:style>
  <w:style w:type="paragraph" w:customStyle="1" w:styleId="1945">
    <w:name w:val="环表头"/>
    <w:basedOn w:val="1"/>
    <w:next w:val="1"/>
    <w:qFormat/>
    <w:uiPriority w:val="0"/>
    <w:pPr>
      <w:suppressAutoHyphens/>
      <w:adjustRightInd w:val="0"/>
      <w:spacing w:line="420" w:lineRule="exact"/>
      <w:ind w:right="28" w:firstLine="0" w:firstLineChars="0"/>
      <w:jc w:val="center"/>
    </w:pPr>
    <w:rPr>
      <w:rFonts w:ascii="黑体" w:hAnsi="宋体" w:eastAsia="黑体" w:cs="Times New Roman"/>
      <w:color w:val="000000"/>
      <w:kern w:val="0"/>
      <w:szCs w:val="20"/>
    </w:rPr>
  </w:style>
  <w:style w:type="character" w:customStyle="1" w:styleId="1946">
    <w:name w:val="A2 Char Char"/>
    <w:link w:val="1947"/>
    <w:qFormat/>
    <w:locked/>
    <w:uiPriority w:val="0"/>
    <w:rPr>
      <w:rFonts w:ascii="Chicago" w:hAnsi="Chicago" w:eastAsia="Calibri"/>
      <w:sz w:val="30"/>
      <w:szCs w:val="24"/>
    </w:rPr>
  </w:style>
  <w:style w:type="paragraph" w:customStyle="1" w:styleId="1947">
    <w:name w:val="A2"/>
    <w:basedOn w:val="1"/>
    <w:link w:val="1946"/>
    <w:qFormat/>
    <w:uiPriority w:val="0"/>
    <w:pPr>
      <w:ind w:firstLine="570"/>
    </w:pPr>
    <w:rPr>
      <w:rFonts w:ascii="Chicago" w:hAnsi="Chicago" w:eastAsia="Calibri"/>
      <w:sz w:val="30"/>
      <w:szCs w:val="24"/>
    </w:rPr>
  </w:style>
  <w:style w:type="paragraph" w:customStyle="1" w:styleId="194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49">
    <w:name w:val="5-正文 Char Char"/>
    <w:link w:val="1950"/>
    <w:qFormat/>
    <w:locked/>
    <w:uiPriority w:val="0"/>
    <w:rPr>
      <w:sz w:val="24"/>
    </w:rPr>
  </w:style>
  <w:style w:type="paragraph" w:customStyle="1" w:styleId="1950">
    <w:name w:val="5-正文"/>
    <w:basedOn w:val="1"/>
    <w:link w:val="1949"/>
    <w:qFormat/>
    <w:uiPriority w:val="0"/>
    <w:pPr>
      <w:snapToGrid w:val="0"/>
      <w:ind w:firstLine="480"/>
    </w:pPr>
    <w:rPr>
      <w:rFonts w:asciiTheme="minorHAnsi" w:hAnsiTheme="minorHAnsi" w:eastAsiaTheme="minorEastAsia"/>
    </w:rPr>
  </w:style>
  <w:style w:type="character" w:customStyle="1" w:styleId="1951">
    <w:name w:val="段落(G) Char Char"/>
    <w:link w:val="1952"/>
    <w:qFormat/>
    <w:locked/>
    <w:uiPriority w:val="0"/>
    <w:rPr>
      <w:color w:val="000000"/>
      <w:kern w:val="24"/>
      <w:sz w:val="24"/>
      <w:szCs w:val="24"/>
      <w:lang w:val="zh-CN"/>
    </w:rPr>
  </w:style>
  <w:style w:type="paragraph" w:customStyle="1" w:styleId="1952">
    <w:name w:val="段落(G)"/>
    <w:basedOn w:val="1"/>
    <w:link w:val="1951"/>
    <w:qFormat/>
    <w:uiPriority w:val="0"/>
    <w:pPr>
      <w:tabs>
        <w:tab w:val="left" w:pos="1021"/>
        <w:tab w:val="left" w:pos="1320"/>
      </w:tabs>
      <w:ind w:firstLine="480"/>
    </w:pPr>
    <w:rPr>
      <w:rFonts w:asciiTheme="minorHAnsi" w:hAnsiTheme="minorHAnsi" w:eastAsiaTheme="minorEastAsia"/>
      <w:color w:val="000000"/>
      <w:kern w:val="24"/>
      <w:szCs w:val="24"/>
      <w:lang w:val="zh-CN"/>
    </w:rPr>
  </w:style>
  <w:style w:type="character" w:customStyle="1" w:styleId="1953">
    <w:name w:val="岳长样式 Char"/>
    <w:link w:val="1954"/>
    <w:qFormat/>
    <w:locked/>
    <w:uiPriority w:val="0"/>
    <w:rPr>
      <w:rFonts w:ascii="仿宋_GB2312" w:eastAsia="仿宋_GB2312"/>
      <w:w w:val="90"/>
      <w:sz w:val="24"/>
    </w:rPr>
  </w:style>
  <w:style w:type="paragraph" w:customStyle="1" w:styleId="1954">
    <w:name w:val="岳长样式"/>
    <w:basedOn w:val="35"/>
    <w:link w:val="1953"/>
    <w:qFormat/>
    <w:uiPriority w:val="0"/>
    <w:pPr>
      <w:spacing w:after="0" w:line="288" w:lineRule="auto"/>
      <w:ind w:left="0" w:leftChars="0" w:firstLine="431"/>
    </w:pPr>
    <w:rPr>
      <w:rFonts w:ascii="仿宋_GB2312" w:eastAsia="仿宋_GB2312" w:hAnsiTheme="minorHAnsi"/>
      <w:w w:val="90"/>
    </w:rPr>
  </w:style>
  <w:style w:type="character" w:customStyle="1" w:styleId="1955">
    <w:name w:val="标题4，攀 Char Char"/>
    <w:link w:val="1956"/>
    <w:qFormat/>
    <w:locked/>
    <w:uiPriority w:val="0"/>
    <w:rPr>
      <w:rFonts w:ascii="宋体" w:hAnsi="宋体" w:eastAsia="黑体"/>
      <w:b/>
      <w:color w:val="000000"/>
      <w:sz w:val="24"/>
    </w:rPr>
  </w:style>
  <w:style w:type="paragraph" w:customStyle="1" w:styleId="1956">
    <w:name w:val="标题4，攀"/>
    <w:basedOn w:val="1"/>
    <w:next w:val="1"/>
    <w:link w:val="1955"/>
    <w:qFormat/>
    <w:uiPriority w:val="0"/>
    <w:pPr>
      <w:spacing w:beforeLines="50" w:afterLines="50"/>
      <w:ind w:firstLine="480"/>
    </w:pPr>
    <w:rPr>
      <w:rFonts w:ascii="宋体" w:hAnsi="宋体" w:eastAsia="黑体"/>
      <w:b/>
      <w:color w:val="000000"/>
    </w:rPr>
  </w:style>
  <w:style w:type="character" w:customStyle="1" w:styleId="1957">
    <w:name w:val="广鹿岛 Char Char"/>
    <w:link w:val="1958"/>
    <w:qFormat/>
    <w:locked/>
    <w:uiPriority w:val="0"/>
    <w:rPr>
      <w:sz w:val="24"/>
    </w:rPr>
  </w:style>
  <w:style w:type="paragraph" w:customStyle="1" w:styleId="1958">
    <w:name w:val="广鹿岛"/>
    <w:basedOn w:val="1"/>
    <w:link w:val="1957"/>
    <w:qFormat/>
    <w:uiPriority w:val="0"/>
    <w:pPr>
      <w:spacing w:line="500" w:lineRule="exact"/>
    </w:pPr>
    <w:rPr>
      <w:rFonts w:asciiTheme="minorHAnsi" w:hAnsiTheme="minorHAnsi" w:eastAsiaTheme="minorEastAsia"/>
    </w:rPr>
  </w:style>
  <w:style w:type="character" w:customStyle="1" w:styleId="1959">
    <w:name w:val="目录标题 Char"/>
    <w:link w:val="1960"/>
    <w:qFormat/>
    <w:locked/>
    <w:uiPriority w:val="0"/>
    <w:rPr>
      <w:b/>
      <w:color w:val="000000"/>
      <w:sz w:val="40"/>
      <w:szCs w:val="24"/>
    </w:rPr>
  </w:style>
  <w:style w:type="paragraph" w:customStyle="1" w:styleId="1960">
    <w:name w:val="目录标题"/>
    <w:link w:val="1959"/>
    <w:qFormat/>
    <w:uiPriority w:val="0"/>
    <w:pPr>
      <w:jc w:val="center"/>
    </w:pPr>
    <w:rPr>
      <w:rFonts w:asciiTheme="minorHAnsi" w:hAnsiTheme="minorHAnsi" w:eastAsiaTheme="minorEastAsia" w:cstheme="minorBidi"/>
      <w:b/>
      <w:color w:val="000000"/>
      <w:kern w:val="2"/>
      <w:sz w:val="40"/>
      <w:szCs w:val="24"/>
      <w:lang w:val="en-US" w:eastAsia="zh-CN" w:bidi="ar-SA"/>
    </w:rPr>
  </w:style>
  <w:style w:type="character" w:customStyle="1" w:styleId="1961">
    <w:name w:val="无间隔 Char"/>
    <w:link w:val="1962"/>
    <w:qFormat/>
    <w:locked/>
    <w:uiPriority w:val="1"/>
  </w:style>
  <w:style w:type="paragraph" w:customStyle="1" w:styleId="1962">
    <w:name w:val="无间隔1"/>
    <w:basedOn w:val="1"/>
    <w:link w:val="1961"/>
    <w:qFormat/>
    <w:uiPriority w:val="0"/>
    <w:pPr>
      <w:spacing w:line="240" w:lineRule="auto"/>
      <w:ind w:firstLine="0" w:firstLineChars="0"/>
    </w:pPr>
    <w:rPr>
      <w:rFonts w:asciiTheme="minorHAnsi" w:hAnsiTheme="minorHAnsi" w:eastAsiaTheme="minorEastAsia"/>
      <w:sz w:val="21"/>
    </w:rPr>
  </w:style>
  <w:style w:type="character" w:customStyle="1" w:styleId="1963">
    <w:name w:val="样式 标题 31.1.1标题03条标题1.1.1小标题白鹤滩标题 31.1.1 Char小节 + Times Ne... Char"/>
    <w:link w:val="1964"/>
    <w:qFormat/>
    <w:locked/>
    <w:uiPriority w:val="0"/>
    <w:rPr>
      <w:b/>
      <w:bCs/>
      <w:snapToGrid w:val="0"/>
      <w:color w:val="000000"/>
      <w:sz w:val="30"/>
    </w:rPr>
  </w:style>
  <w:style w:type="paragraph" w:customStyle="1" w:styleId="1964">
    <w:name w:val="样式 标题 31.1.1标题03条标题1.1.1小标题白鹤滩标题 31.1.1 Char小节 + Times Ne..."/>
    <w:basedOn w:val="5"/>
    <w:link w:val="1963"/>
    <w:qFormat/>
    <w:uiPriority w:val="0"/>
    <w:pPr>
      <w:widowControl/>
      <w:snapToGrid w:val="0"/>
      <w:jc w:val="left"/>
    </w:pPr>
    <w:rPr>
      <w:rFonts w:asciiTheme="minorHAnsi" w:hAnsiTheme="minorHAnsi" w:eastAsiaTheme="minorEastAsia" w:cstheme="minorBidi"/>
      <w:snapToGrid w:val="0"/>
      <w:color w:val="000000"/>
      <w:sz w:val="30"/>
      <w:szCs w:val="22"/>
    </w:rPr>
  </w:style>
  <w:style w:type="character" w:customStyle="1" w:styleId="1965">
    <w:name w:val="报审报批 Char"/>
    <w:link w:val="1966"/>
    <w:qFormat/>
    <w:locked/>
    <w:uiPriority w:val="0"/>
    <w:rPr>
      <w:b/>
      <w:color w:val="000000"/>
      <w:sz w:val="32"/>
      <w:szCs w:val="24"/>
    </w:rPr>
  </w:style>
  <w:style w:type="paragraph" w:customStyle="1" w:styleId="1966">
    <w:name w:val="报审报批"/>
    <w:basedOn w:val="1"/>
    <w:link w:val="1965"/>
    <w:qFormat/>
    <w:uiPriority w:val="0"/>
    <w:pPr>
      <w:spacing w:line="240" w:lineRule="auto"/>
      <w:ind w:firstLine="0" w:firstLineChars="0"/>
      <w:jc w:val="center"/>
    </w:pPr>
    <w:rPr>
      <w:rFonts w:asciiTheme="minorHAnsi" w:hAnsiTheme="minorHAnsi" w:eastAsiaTheme="minorEastAsia"/>
      <w:b/>
      <w:color w:val="000000"/>
      <w:sz w:val="32"/>
      <w:szCs w:val="24"/>
    </w:rPr>
  </w:style>
  <w:style w:type="character" w:customStyle="1" w:styleId="1967">
    <w:name w:val="syh2级标题 Char Char"/>
    <w:link w:val="1968"/>
    <w:qFormat/>
    <w:locked/>
    <w:uiPriority w:val="0"/>
    <w:rPr>
      <w:rFonts w:ascii="黑体" w:hAnsi="宋体" w:eastAsia="黑体"/>
      <w:b/>
      <w:sz w:val="28"/>
      <w:szCs w:val="28"/>
      <w:lang w:val="zh-CN"/>
    </w:rPr>
  </w:style>
  <w:style w:type="paragraph" w:customStyle="1" w:styleId="1968">
    <w:name w:val="syh2级标题"/>
    <w:basedOn w:val="1"/>
    <w:link w:val="1967"/>
    <w:qFormat/>
    <w:uiPriority w:val="0"/>
    <w:pPr>
      <w:keepNext/>
      <w:widowControl/>
      <w:spacing w:line="520" w:lineRule="exact"/>
      <w:ind w:firstLine="480"/>
      <w:jc w:val="left"/>
      <w:outlineLvl w:val="1"/>
    </w:pPr>
    <w:rPr>
      <w:rFonts w:ascii="黑体" w:hAnsi="宋体" w:eastAsia="黑体"/>
      <w:b/>
      <w:sz w:val="28"/>
      <w:szCs w:val="28"/>
      <w:lang w:val="zh-CN"/>
    </w:rPr>
  </w:style>
  <w:style w:type="character" w:customStyle="1" w:styleId="1969">
    <w:name w:val="样式 样式 宋体 小四 黑色 行距: 1.5 倍行距 + Times New Roman Char"/>
    <w:link w:val="1970"/>
    <w:qFormat/>
    <w:locked/>
    <w:uiPriority w:val="0"/>
    <w:rPr>
      <w:color w:val="000000"/>
      <w:sz w:val="24"/>
    </w:rPr>
  </w:style>
  <w:style w:type="paragraph" w:customStyle="1" w:styleId="1970">
    <w:name w:val="样式 样式 宋体 小四 黑色 行距: 1.5 倍行距 + Times New Roman"/>
    <w:basedOn w:val="1"/>
    <w:link w:val="1969"/>
    <w:qFormat/>
    <w:uiPriority w:val="0"/>
    <w:pPr>
      <w:keepNext/>
    </w:pPr>
    <w:rPr>
      <w:rFonts w:asciiTheme="minorHAnsi" w:hAnsiTheme="minorHAnsi" w:eastAsiaTheme="minorEastAsia"/>
      <w:color w:val="000000"/>
    </w:rPr>
  </w:style>
  <w:style w:type="character" w:customStyle="1" w:styleId="1971">
    <w:name w:val="样式 正文1 + 加粗 Char Char"/>
    <w:link w:val="1972"/>
    <w:qFormat/>
    <w:locked/>
    <w:uiPriority w:val="0"/>
    <w:rPr>
      <w:sz w:val="24"/>
    </w:rPr>
  </w:style>
  <w:style w:type="paragraph" w:customStyle="1" w:styleId="1972">
    <w:name w:val="样式 正文1 + 加粗"/>
    <w:basedOn w:val="536"/>
    <w:link w:val="1971"/>
    <w:qFormat/>
    <w:uiPriority w:val="0"/>
    <w:pPr>
      <w:snapToGrid/>
      <w:spacing w:beforeLines="20" w:line="360" w:lineRule="auto"/>
      <w:ind w:firstLine="480"/>
    </w:pPr>
    <w:rPr>
      <w:rFonts w:asciiTheme="minorHAnsi" w:hAnsiTheme="minorHAnsi" w:eastAsiaTheme="minorEastAsia"/>
      <w:spacing w:val="0"/>
    </w:rPr>
  </w:style>
  <w:style w:type="character" w:customStyle="1" w:styleId="1973">
    <w:name w:val="公式2 Char Char"/>
    <w:link w:val="1974"/>
    <w:qFormat/>
    <w:locked/>
    <w:uiPriority w:val="0"/>
    <w:rPr>
      <w:rFonts w:ascii="楷体_GB2312" w:eastAsia="楷体_GB2312"/>
    </w:rPr>
  </w:style>
  <w:style w:type="paragraph" w:customStyle="1" w:styleId="1974">
    <w:name w:val="公式2"/>
    <w:basedOn w:val="1"/>
    <w:link w:val="1973"/>
    <w:qFormat/>
    <w:uiPriority w:val="0"/>
    <w:pPr>
      <w:spacing w:before="120" w:after="120"/>
      <w:ind w:firstLine="480"/>
    </w:pPr>
    <w:rPr>
      <w:rFonts w:ascii="楷体_GB2312" w:eastAsia="楷体_GB2312" w:hAnsiTheme="minorHAnsi"/>
      <w:sz w:val="21"/>
    </w:rPr>
  </w:style>
  <w:style w:type="character" w:customStyle="1" w:styleId="1975">
    <w:name w:val="标题-4 Char Char"/>
    <w:link w:val="1976"/>
    <w:qFormat/>
    <w:locked/>
    <w:uiPriority w:val="0"/>
    <w:rPr>
      <w:rFonts w:ascii="ӗԲ" w:hAnsi="ӗԲ" w:eastAsia="ˎ̥"/>
      <w:b/>
      <w:sz w:val="24"/>
      <w:szCs w:val="24"/>
    </w:rPr>
  </w:style>
  <w:style w:type="paragraph" w:customStyle="1" w:styleId="1976">
    <w:name w:val="标题-4"/>
    <w:basedOn w:val="6"/>
    <w:link w:val="1975"/>
    <w:qFormat/>
    <w:uiPriority w:val="0"/>
    <w:pPr>
      <w:adjustRightInd w:val="0"/>
      <w:snapToGrid w:val="0"/>
      <w:spacing w:beforeLines="50"/>
    </w:pPr>
    <w:rPr>
      <w:rFonts w:ascii="ӗԲ" w:hAnsi="ӗԲ" w:eastAsia="ˎ̥" w:cstheme="minorBidi"/>
      <w:bCs w:val="0"/>
      <w:szCs w:val="24"/>
    </w:rPr>
  </w:style>
  <w:style w:type="paragraph" w:customStyle="1" w:styleId="1977">
    <w:name w:val="Char Char1 Char Char Char Char"/>
    <w:basedOn w:val="1"/>
    <w:qFormat/>
    <w:uiPriority w:val="0"/>
    <w:pPr>
      <w:spacing w:line="440" w:lineRule="exact"/>
      <w:ind w:firstLine="480"/>
    </w:pPr>
    <w:rPr>
      <w:rFonts w:cs="Times New Roman"/>
      <w:szCs w:val="24"/>
    </w:rPr>
  </w:style>
  <w:style w:type="character" w:customStyle="1" w:styleId="1978">
    <w:name w:val="样式 标题 4 + 首行缩进:  2 字符 Char"/>
    <w:link w:val="1979"/>
    <w:qFormat/>
    <w:locked/>
    <w:uiPriority w:val="0"/>
    <w:rPr>
      <w:rFonts w:ascii="Arial" w:hAnsi="Arial" w:cs="Arial"/>
      <w:sz w:val="28"/>
      <w:szCs w:val="28"/>
    </w:rPr>
  </w:style>
  <w:style w:type="paragraph" w:customStyle="1" w:styleId="1979">
    <w:name w:val="样式 标题 4 + 首行缩进:  2 字符"/>
    <w:basedOn w:val="6"/>
    <w:link w:val="1978"/>
    <w:qFormat/>
    <w:uiPriority w:val="0"/>
    <w:pPr>
      <w:spacing w:before="120" w:after="120" w:line="240" w:lineRule="auto"/>
    </w:pPr>
    <w:rPr>
      <w:rFonts w:ascii="Arial" w:hAnsi="Arial" w:cs="Arial" w:eastAsiaTheme="minorEastAsia"/>
      <w:b w:val="0"/>
      <w:bCs w:val="0"/>
      <w:sz w:val="28"/>
    </w:rPr>
  </w:style>
  <w:style w:type="character" w:customStyle="1" w:styleId="1980">
    <w:name w:val="正文首行缩进 2 Char Char"/>
    <w:link w:val="1981"/>
    <w:qFormat/>
    <w:locked/>
    <w:uiPriority w:val="0"/>
    <w:rPr>
      <w:rFonts w:ascii="Tahoma" w:hAnsi="Tahoma" w:cs="Tahoma"/>
      <w:szCs w:val="24"/>
    </w:rPr>
  </w:style>
  <w:style w:type="paragraph" w:customStyle="1" w:styleId="1981">
    <w:name w:val="正文首行缩进 21"/>
    <w:basedOn w:val="1759"/>
    <w:link w:val="1980"/>
    <w:qFormat/>
    <w:uiPriority w:val="0"/>
    <w:pPr>
      <w:spacing w:after="120" w:line="360" w:lineRule="auto"/>
      <w:ind w:left="420" w:leftChars="200" w:right="0" w:firstLine="420"/>
    </w:pPr>
    <w:rPr>
      <w:rFonts w:ascii="Tahoma" w:hAnsi="Tahoma" w:cs="Tahoma" w:eastAsiaTheme="minorEastAsia"/>
      <w:kern w:val="2"/>
      <w:sz w:val="21"/>
      <w:szCs w:val="24"/>
    </w:rPr>
  </w:style>
  <w:style w:type="character" w:customStyle="1" w:styleId="1982">
    <w:name w:val="正文首行缩进 Char Char"/>
    <w:link w:val="1983"/>
    <w:qFormat/>
    <w:locked/>
    <w:uiPriority w:val="0"/>
    <w:rPr>
      <w:rFonts w:ascii="Arial" w:hAnsi="Arial" w:cs="Arial"/>
      <w:kern w:val="28"/>
      <w:sz w:val="24"/>
    </w:rPr>
  </w:style>
  <w:style w:type="paragraph" w:customStyle="1" w:styleId="1983">
    <w:name w:val="Body Text First Indent1"/>
    <w:basedOn w:val="34"/>
    <w:link w:val="1982"/>
    <w:qFormat/>
    <w:uiPriority w:val="0"/>
    <w:pPr>
      <w:spacing w:beforeLines="50" w:afterLines="50"/>
      <w:ind w:firstLine="420" w:firstLineChars="100"/>
    </w:pPr>
    <w:rPr>
      <w:rFonts w:ascii="Arial" w:hAnsi="Arial" w:cs="Arial" w:eastAsiaTheme="minorEastAsia"/>
      <w:kern w:val="28"/>
    </w:rPr>
  </w:style>
  <w:style w:type="paragraph" w:customStyle="1" w:styleId="1984">
    <w:name w:val="王标题3"/>
    <w:basedOn w:val="5"/>
    <w:qFormat/>
    <w:uiPriority w:val="0"/>
    <w:pPr>
      <w:spacing w:beforeLines="30" w:afterLines="30" w:line="560" w:lineRule="exact"/>
      <w:ind w:firstLine="200" w:firstLineChars="200"/>
      <w:jc w:val="left"/>
    </w:pPr>
    <w:rPr>
      <w:rFonts w:ascii="FLGPEK+TimesNewRoman,Italic" w:hAnsi="FLGPEK+TimesNewRoman,Italic" w:eastAsia="宋体" w:cs="Garamond"/>
      <w:color w:val="000000"/>
      <w:sz w:val="24"/>
    </w:rPr>
  </w:style>
  <w:style w:type="character" w:customStyle="1" w:styleId="1985">
    <w:name w:val="E Char"/>
    <w:link w:val="1986"/>
    <w:qFormat/>
    <w:locked/>
    <w:uiPriority w:val="0"/>
    <w:rPr>
      <w:rFonts w:ascii="Arial" w:hAnsi="Arial" w:eastAsia="楷体_GB2312" w:cs="Arial"/>
    </w:rPr>
  </w:style>
  <w:style w:type="paragraph" w:customStyle="1" w:styleId="1986">
    <w:name w:val="E"/>
    <w:basedOn w:val="1"/>
    <w:link w:val="1985"/>
    <w:qFormat/>
    <w:uiPriority w:val="0"/>
    <w:pPr>
      <w:spacing w:line="500" w:lineRule="exact"/>
    </w:pPr>
    <w:rPr>
      <w:rFonts w:ascii="Arial" w:hAnsi="Arial" w:eastAsia="楷体_GB2312" w:cs="Arial"/>
      <w:sz w:val="21"/>
    </w:rPr>
  </w:style>
  <w:style w:type="paragraph" w:customStyle="1" w:styleId="1987">
    <w:name w:val="表文左对齐"/>
    <w:basedOn w:val="1"/>
    <w:qFormat/>
    <w:uiPriority w:val="0"/>
    <w:pPr>
      <w:spacing w:line="440" w:lineRule="exact"/>
      <w:ind w:firstLine="480"/>
      <w:jc w:val="left"/>
    </w:pPr>
    <w:rPr>
      <w:rFonts w:eastAsia="仿宋_GB2312" w:cs="Times New Roman"/>
    </w:rPr>
  </w:style>
  <w:style w:type="character" w:customStyle="1" w:styleId="1988">
    <w:name w:val="称呼 Char Char"/>
    <w:link w:val="1989"/>
    <w:qFormat/>
    <w:locked/>
    <w:uiPriority w:val="0"/>
    <w:rPr>
      <w:rFonts w:ascii="Tahoma" w:hAnsi="Tahoma" w:cs="Tahoma"/>
      <w:sz w:val="28"/>
    </w:rPr>
  </w:style>
  <w:style w:type="paragraph" w:customStyle="1" w:styleId="1989">
    <w:name w:val="称呼1"/>
    <w:basedOn w:val="1"/>
    <w:next w:val="1"/>
    <w:link w:val="1988"/>
    <w:qFormat/>
    <w:uiPriority w:val="0"/>
    <w:pPr>
      <w:spacing w:line="440" w:lineRule="exact"/>
    </w:pPr>
    <w:rPr>
      <w:rFonts w:ascii="Tahoma" w:hAnsi="Tahoma" w:cs="Tahoma" w:eastAsiaTheme="minorEastAsia"/>
      <w:sz w:val="28"/>
    </w:rPr>
  </w:style>
  <w:style w:type="paragraph" w:customStyle="1" w:styleId="1990">
    <w:name w:val="样式 标题 4标题 4 Char标题 4（修改） + 左 段前: 0.5 行 段后: 0.2 行 行距: 多倍行距 1..."/>
    <w:basedOn w:val="6"/>
    <w:qFormat/>
    <w:uiPriority w:val="0"/>
    <w:pPr>
      <w:tabs>
        <w:tab w:val="left" w:pos="864"/>
      </w:tabs>
      <w:spacing w:beforeLines="50" w:afterLines="20" w:line="264" w:lineRule="auto"/>
      <w:ind w:left="864" w:hanging="864" w:firstLineChars="200"/>
    </w:pPr>
    <w:rPr>
      <w:rFonts w:ascii="Tahoma" w:hAnsi="Tahoma" w:eastAsia="Calibri" w:cs="Garamond"/>
      <w:b w:val="0"/>
      <w:bCs w:val="0"/>
      <w:szCs w:val="20"/>
    </w:rPr>
  </w:style>
  <w:style w:type="character" w:customStyle="1" w:styleId="1991">
    <w:name w:val="2应急预案 图标表头 Char Char"/>
    <w:link w:val="1992"/>
    <w:qFormat/>
    <w:locked/>
    <w:uiPriority w:val="0"/>
    <w:rPr>
      <w:rFonts w:ascii="Verdana" w:hAnsi="Verdana"/>
      <w:b/>
      <w:sz w:val="24"/>
    </w:rPr>
  </w:style>
  <w:style w:type="paragraph" w:customStyle="1" w:styleId="1992">
    <w:name w:val="2应急预案 图标表头"/>
    <w:basedOn w:val="1"/>
    <w:link w:val="1991"/>
    <w:qFormat/>
    <w:uiPriority w:val="0"/>
    <w:pPr>
      <w:spacing w:beforeLines="50"/>
      <w:ind w:firstLine="480"/>
      <w:jc w:val="center"/>
    </w:pPr>
    <w:rPr>
      <w:rFonts w:ascii="Verdana" w:hAnsi="Verdana" w:eastAsiaTheme="minorEastAsia"/>
      <w:b/>
    </w:rPr>
  </w:style>
  <w:style w:type="character" w:customStyle="1" w:styleId="1993">
    <w:name w:val="批注主题 Char Char"/>
    <w:link w:val="1994"/>
    <w:qFormat/>
    <w:locked/>
    <w:uiPriority w:val="0"/>
    <w:rPr>
      <w:b/>
      <w:bCs/>
      <w:sz w:val="24"/>
      <w:szCs w:val="24"/>
    </w:rPr>
  </w:style>
  <w:style w:type="paragraph" w:customStyle="1" w:styleId="1994">
    <w:name w:val="批注主题1"/>
    <w:basedOn w:val="28"/>
    <w:next w:val="28"/>
    <w:link w:val="1993"/>
    <w:qFormat/>
    <w:uiPriority w:val="0"/>
    <w:rPr>
      <w:rFonts w:asciiTheme="minorHAnsi" w:hAnsiTheme="minorHAnsi" w:eastAsiaTheme="minorEastAsia"/>
      <w:b/>
      <w:bCs/>
      <w:szCs w:val="24"/>
    </w:rPr>
  </w:style>
  <w:style w:type="paragraph" w:customStyle="1" w:styleId="1995">
    <w:name w:val="讲义"/>
    <w:basedOn w:val="1"/>
    <w:qFormat/>
    <w:uiPriority w:val="0"/>
    <w:pPr>
      <w:widowControl/>
      <w:spacing w:before="60" w:after="40" w:line="300" w:lineRule="atLeast"/>
      <w:ind w:firstLine="425" w:firstLineChars="0"/>
    </w:pPr>
    <w:rPr>
      <w:rFonts w:ascii="Times" w:hAnsi="Times" w:cs="Times New Roman"/>
      <w:color w:val="000000"/>
      <w:kern w:val="0"/>
      <w:sz w:val="28"/>
      <w:szCs w:val="20"/>
    </w:rPr>
  </w:style>
  <w:style w:type="character" w:customStyle="1" w:styleId="1996">
    <w:name w:val="四号正文 Char Char"/>
    <w:link w:val="1997"/>
    <w:qFormat/>
    <w:locked/>
    <w:uiPriority w:val="0"/>
    <w:rPr>
      <w:rFonts w:ascii="Verdana" w:hAnsi="Verdana"/>
      <w:spacing w:val="6"/>
      <w:sz w:val="28"/>
    </w:rPr>
  </w:style>
  <w:style w:type="paragraph" w:customStyle="1" w:styleId="1997">
    <w:name w:val="四号正文"/>
    <w:basedOn w:val="1"/>
    <w:link w:val="1996"/>
    <w:qFormat/>
    <w:uiPriority w:val="0"/>
    <w:pPr>
      <w:spacing w:line="440" w:lineRule="exact"/>
    </w:pPr>
    <w:rPr>
      <w:rFonts w:ascii="Verdana" w:hAnsi="Verdana" w:eastAsiaTheme="minorEastAsia"/>
      <w:spacing w:val="6"/>
      <w:sz w:val="28"/>
    </w:rPr>
  </w:style>
  <w:style w:type="character" w:customStyle="1" w:styleId="1998">
    <w:name w:val="ljsh Char Char"/>
    <w:link w:val="1999"/>
    <w:qFormat/>
    <w:locked/>
    <w:uiPriority w:val="0"/>
    <w:rPr>
      <w:rFonts w:ascii="宋体" w:hAnsi="宋体" w:eastAsia="宋体"/>
      <w:color w:val="000000"/>
    </w:rPr>
  </w:style>
  <w:style w:type="paragraph" w:customStyle="1" w:styleId="1999">
    <w:name w:val="ljsh"/>
    <w:link w:val="1998"/>
    <w:qFormat/>
    <w:uiPriority w:val="0"/>
    <w:pPr>
      <w:adjustRightInd w:val="0"/>
      <w:snapToGrid w:val="0"/>
      <w:spacing w:line="360" w:lineRule="auto"/>
      <w:ind w:left="350" w:leftChars="350" w:firstLine="200" w:firstLineChars="200"/>
    </w:pPr>
    <w:rPr>
      <w:rFonts w:ascii="宋体" w:hAnsi="宋体" w:eastAsia="宋体" w:cstheme="minorBidi"/>
      <w:color w:val="000000"/>
      <w:kern w:val="2"/>
      <w:sz w:val="21"/>
      <w:szCs w:val="21"/>
      <w:lang w:val="en-US" w:eastAsia="zh-CN" w:bidi="ar-SA"/>
    </w:rPr>
  </w:style>
  <w:style w:type="character" w:customStyle="1" w:styleId="2000">
    <w:name w:val="正文dg Char Char"/>
    <w:link w:val="2001"/>
    <w:qFormat/>
    <w:locked/>
    <w:uiPriority w:val="0"/>
    <w:rPr>
      <w:rFonts w:ascii="新宋体" w:hAnsi="新宋体" w:eastAsia="新宋体"/>
      <w:sz w:val="24"/>
      <w:szCs w:val="24"/>
    </w:rPr>
  </w:style>
  <w:style w:type="paragraph" w:customStyle="1" w:styleId="2001">
    <w:name w:val="正文dg"/>
    <w:basedOn w:val="1"/>
    <w:link w:val="2000"/>
    <w:qFormat/>
    <w:uiPriority w:val="0"/>
    <w:pPr>
      <w:spacing w:line="520" w:lineRule="exact"/>
      <w:ind w:firstLine="480"/>
    </w:pPr>
    <w:rPr>
      <w:rFonts w:ascii="新宋体" w:hAnsi="新宋体" w:eastAsia="新宋体"/>
      <w:szCs w:val="24"/>
    </w:rPr>
  </w:style>
  <w:style w:type="character" w:customStyle="1" w:styleId="2002">
    <w:name w:val="MTDisplayEquation Char Char"/>
    <w:link w:val="2003"/>
    <w:qFormat/>
    <w:locked/>
    <w:uiPriority w:val="0"/>
    <w:rPr>
      <w:sz w:val="24"/>
      <w:szCs w:val="24"/>
    </w:rPr>
  </w:style>
  <w:style w:type="paragraph" w:customStyle="1" w:styleId="2003">
    <w:name w:val="MTDisplayEquation"/>
    <w:basedOn w:val="1"/>
    <w:next w:val="1"/>
    <w:link w:val="2002"/>
    <w:qFormat/>
    <w:uiPriority w:val="0"/>
    <w:pPr>
      <w:tabs>
        <w:tab w:val="center" w:pos="4520"/>
        <w:tab w:val="right" w:pos="9020"/>
      </w:tabs>
      <w:spacing w:line="500" w:lineRule="exact"/>
      <w:ind w:firstLine="480"/>
      <w:jc w:val="left"/>
    </w:pPr>
    <w:rPr>
      <w:rFonts w:asciiTheme="minorHAnsi" w:hAnsiTheme="minorHAnsi" w:eastAsiaTheme="minorEastAsia"/>
      <w:szCs w:val="24"/>
    </w:rPr>
  </w:style>
  <w:style w:type="character" w:customStyle="1" w:styleId="2004">
    <w:name w:val="款下正文 Char"/>
    <w:link w:val="2005"/>
    <w:qFormat/>
    <w:locked/>
    <w:uiPriority w:val="0"/>
    <w:rPr>
      <w:rFonts w:ascii="仿宋_GB2312" w:eastAsia="仿宋_GB2312"/>
      <w:sz w:val="28"/>
    </w:rPr>
  </w:style>
  <w:style w:type="paragraph" w:customStyle="1" w:styleId="2005">
    <w:name w:val="款下正文"/>
    <w:basedOn w:val="1"/>
    <w:link w:val="2004"/>
    <w:qFormat/>
    <w:uiPriority w:val="0"/>
    <w:pPr>
      <w:spacing w:line="460" w:lineRule="exact"/>
      <w:ind w:firstLine="560"/>
    </w:pPr>
    <w:rPr>
      <w:rFonts w:ascii="仿宋_GB2312" w:eastAsia="仿宋_GB2312" w:hAnsiTheme="minorHAnsi"/>
      <w:sz w:val="28"/>
    </w:rPr>
  </w:style>
  <w:style w:type="paragraph" w:customStyle="1" w:styleId="2006">
    <w:name w:val="标题 4新"/>
    <w:basedOn w:val="6"/>
    <w:next w:val="1742"/>
    <w:qFormat/>
    <w:uiPriority w:val="0"/>
    <w:pPr>
      <w:tabs>
        <w:tab w:val="left" w:pos="360"/>
        <w:tab w:val="left" w:pos="612"/>
      </w:tabs>
      <w:spacing w:line="440" w:lineRule="exact"/>
    </w:pPr>
    <w:rPr>
      <w:rFonts w:eastAsia="宋体" w:cs="Times New Roman"/>
      <w:b w:val="0"/>
      <w:bCs w:val="0"/>
      <w:sz w:val="28"/>
      <w:szCs w:val="24"/>
    </w:rPr>
  </w:style>
  <w:style w:type="character" w:customStyle="1" w:styleId="2007">
    <w:name w:val="样式 标题 11.标题 1一、标题 1 Char Char Char Char1 南陵标题 1标题 1 Char标题...1 Char Char"/>
    <w:link w:val="2008"/>
    <w:qFormat/>
    <w:locked/>
    <w:uiPriority w:val="0"/>
    <w:rPr>
      <w:rFonts w:ascii="华文仿宋" w:hAnsi="华文仿宋" w:eastAsia="华文仿宋"/>
      <w:b/>
      <w:sz w:val="28"/>
    </w:rPr>
  </w:style>
  <w:style w:type="paragraph" w:customStyle="1" w:styleId="2008">
    <w:name w:val="样式 标题 11.标题 1一、标题 1 Char Char Char Char1 南陵标题 1标题 1 Char标题...1"/>
    <w:basedOn w:val="3"/>
    <w:link w:val="2007"/>
    <w:qFormat/>
    <w:uiPriority w:val="0"/>
    <w:pPr>
      <w:keepLines w:val="0"/>
      <w:adjustRightInd w:val="0"/>
      <w:spacing w:line="440" w:lineRule="exact"/>
      <w:ind w:firstLine="200" w:firstLineChars="200"/>
    </w:pPr>
    <w:rPr>
      <w:rFonts w:ascii="华文仿宋" w:hAnsi="华文仿宋" w:eastAsia="华文仿宋" w:cstheme="minorBidi"/>
      <w:bCs w:val="0"/>
      <w:kern w:val="2"/>
      <w:sz w:val="28"/>
      <w:szCs w:val="22"/>
    </w:rPr>
  </w:style>
  <w:style w:type="character" w:customStyle="1" w:styleId="2009">
    <w:name w:val="样式 样式1 + (符号) 宋体 Char"/>
    <w:link w:val="2010"/>
    <w:qFormat/>
    <w:locked/>
    <w:uiPriority w:val="0"/>
    <w:rPr>
      <w:rFonts w:ascii="宋体" w:hAnsi="宋体" w:eastAsia="宋体"/>
      <w:snapToGrid w:val="0"/>
      <w:sz w:val="24"/>
      <w:szCs w:val="24"/>
    </w:rPr>
  </w:style>
  <w:style w:type="paragraph" w:customStyle="1" w:styleId="2010">
    <w:name w:val="样式 样式1 + (符号) 宋体"/>
    <w:basedOn w:val="779"/>
    <w:link w:val="2009"/>
    <w:qFormat/>
    <w:uiPriority w:val="0"/>
    <w:pPr>
      <w:spacing w:line="460" w:lineRule="exact"/>
      <w:ind w:firstLine="200" w:firstLineChars="200"/>
      <w:jc w:val="both"/>
    </w:pPr>
    <w:rPr>
      <w:snapToGrid w:val="0"/>
      <w:color w:val="auto"/>
      <w:sz w:val="24"/>
      <w:szCs w:val="24"/>
    </w:rPr>
  </w:style>
  <w:style w:type="character" w:customStyle="1" w:styleId="2011">
    <w:name w:val="正文文本缩进 Char Char"/>
    <w:link w:val="2012"/>
    <w:qFormat/>
    <w:locked/>
    <w:uiPriority w:val="0"/>
    <w:rPr>
      <w:rFonts w:ascii="宋体" w:hAnsi="宋体" w:eastAsia="宋体"/>
      <w:color w:val="000000"/>
      <w:szCs w:val="21"/>
      <w:lang w:val="zh-CN"/>
    </w:rPr>
  </w:style>
  <w:style w:type="paragraph" w:customStyle="1" w:styleId="2012">
    <w:name w:val="Body Text Indent1"/>
    <w:basedOn w:val="1"/>
    <w:link w:val="2011"/>
    <w:qFormat/>
    <w:uiPriority w:val="0"/>
    <w:pPr>
      <w:spacing w:beforeLines="50" w:afterLines="50" w:line="440" w:lineRule="exact"/>
      <w:ind w:left="420" w:leftChars="200" w:firstLine="480"/>
    </w:pPr>
    <w:rPr>
      <w:rFonts w:ascii="宋体" w:hAnsi="宋体"/>
      <w:color w:val="000000"/>
      <w:sz w:val="21"/>
      <w:lang w:val="zh-CN"/>
    </w:rPr>
  </w:style>
  <w:style w:type="paragraph" w:customStyle="1" w:styleId="2013">
    <w:name w:val="标题2"/>
    <w:basedOn w:val="1"/>
    <w:next w:val="1"/>
    <w:qFormat/>
    <w:uiPriority w:val="0"/>
    <w:pPr>
      <w:spacing w:line="440" w:lineRule="exact"/>
      <w:ind w:firstLine="480"/>
      <w:jc w:val="center"/>
    </w:pPr>
    <w:rPr>
      <w:rFonts w:eastAsia="黑体" w:cs="Times New Roman"/>
      <w:sz w:val="32"/>
      <w:szCs w:val="20"/>
    </w:rPr>
  </w:style>
  <w:style w:type="character" w:customStyle="1" w:styleId="2014">
    <w:name w:val="环境影响报告书 Char"/>
    <w:link w:val="2015"/>
    <w:qFormat/>
    <w:locked/>
    <w:uiPriority w:val="0"/>
    <w:rPr>
      <w:b/>
      <w:color w:val="000000"/>
      <w:sz w:val="72"/>
      <w:szCs w:val="72"/>
    </w:rPr>
  </w:style>
  <w:style w:type="paragraph" w:customStyle="1" w:styleId="2015">
    <w:name w:val="环境影响报告书"/>
    <w:link w:val="2014"/>
    <w:qFormat/>
    <w:uiPriority w:val="0"/>
    <w:pPr>
      <w:spacing w:line="900" w:lineRule="exact"/>
      <w:jc w:val="center"/>
    </w:pPr>
    <w:rPr>
      <w:rFonts w:asciiTheme="minorHAnsi" w:hAnsiTheme="minorHAnsi" w:eastAsiaTheme="minorEastAsia" w:cstheme="minorBidi"/>
      <w:b/>
      <w:color w:val="000000"/>
      <w:kern w:val="2"/>
      <w:sz w:val="72"/>
      <w:szCs w:val="72"/>
      <w:lang w:val="en-US" w:eastAsia="zh-CN" w:bidi="ar-SA"/>
    </w:rPr>
  </w:style>
  <w:style w:type="character" w:customStyle="1" w:styleId="2016">
    <w:name w:val="正文01 Char Char Char Char"/>
    <w:link w:val="2017"/>
    <w:qFormat/>
    <w:locked/>
    <w:uiPriority w:val="0"/>
    <w:rPr>
      <w:color w:val="000000"/>
      <w:sz w:val="24"/>
    </w:rPr>
  </w:style>
  <w:style w:type="paragraph" w:customStyle="1" w:styleId="2017">
    <w:name w:val="正文01 Char Char"/>
    <w:basedOn w:val="1"/>
    <w:link w:val="2016"/>
    <w:qFormat/>
    <w:uiPriority w:val="0"/>
    <w:pPr>
      <w:adjustRightInd w:val="0"/>
      <w:snapToGrid w:val="0"/>
      <w:spacing w:before="60" w:line="460" w:lineRule="exact"/>
    </w:pPr>
    <w:rPr>
      <w:rFonts w:asciiTheme="minorHAnsi" w:hAnsiTheme="minorHAnsi" w:eastAsiaTheme="minorEastAsia"/>
      <w:color w:val="000000"/>
    </w:rPr>
  </w:style>
  <w:style w:type="paragraph" w:customStyle="1" w:styleId="2018">
    <w:name w:val="样式 Times New Roman 加粗 两端对齐 首行缩进:  0.85 厘米 行距: 固定值 22 磅"/>
    <w:basedOn w:val="1"/>
    <w:qFormat/>
    <w:uiPriority w:val="0"/>
    <w:pPr>
      <w:widowControl/>
      <w:spacing w:line="440" w:lineRule="exact"/>
    </w:pPr>
    <w:rPr>
      <w:rFonts w:cs="宋体"/>
      <w:b/>
      <w:bCs/>
      <w:kern w:val="0"/>
      <w:szCs w:val="20"/>
    </w:rPr>
  </w:style>
  <w:style w:type="character" w:customStyle="1" w:styleId="2019">
    <w:name w:val="表头及表尾 Char"/>
    <w:link w:val="2020"/>
    <w:qFormat/>
    <w:locked/>
    <w:uiPriority w:val="0"/>
    <w:rPr>
      <w:b/>
      <w:snapToGrid w:val="0"/>
    </w:rPr>
  </w:style>
  <w:style w:type="paragraph" w:customStyle="1" w:styleId="2020">
    <w:name w:val="表头及表尾"/>
    <w:link w:val="2019"/>
    <w:qFormat/>
    <w:uiPriority w:val="0"/>
    <w:pPr>
      <w:tabs>
        <w:tab w:val="center" w:pos="4200"/>
        <w:tab w:val="right" w:pos="8400"/>
      </w:tabs>
      <w:adjustRightInd w:val="0"/>
      <w:snapToGrid w:val="0"/>
      <w:spacing w:line="360" w:lineRule="auto"/>
      <w:jc w:val="center"/>
    </w:pPr>
    <w:rPr>
      <w:rFonts w:asciiTheme="minorHAnsi" w:hAnsiTheme="minorHAnsi" w:eastAsiaTheme="minorEastAsia" w:cstheme="minorBidi"/>
      <w:b/>
      <w:snapToGrid w:val="0"/>
      <w:kern w:val="2"/>
      <w:sz w:val="21"/>
      <w:szCs w:val="21"/>
      <w:lang w:val="en-US" w:eastAsia="zh-CN" w:bidi="ar-SA"/>
    </w:rPr>
  </w:style>
  <w:style w:type="character" w:customStyle="1" w:styleId="2021">
    <w:name w:val="样式 正文（首行缩进两字） + 行距: 固定值 20 磅 Char Char"/>
    <w:link w:val="2022"/>
    <w:qFormat/>
    <w:locked/>
    <w:uiPriority w:val="0"/>
    <w:rPr>
      <w:rFonts w:ascii="华文仿宋" w:hAnsi="华文仿宋" w:eastAsia="华文仿宋"/>
      <w:sz w:val="24"/>
    </w:rPr>
  </w:style>
  <w:style w:type="paragraph" w:customStyle="1" w:styleId="2022">
    <w:name w:val="样式 正文（首行缩进两字） + 行距: 固定值 20 磅"/>
    <w:basedOn w:val="21"/>
    <w:link w:val="2021"/>
    <w:qFormat/>
    <w:uiPriority w:val="0"/>
    <w:pPr>
      <w:spacing w:afterLines="20" w:line="400" w:lineRule="exact"/>
      <w:ind w:firstLine="480"/>
    </w:pPr>
    <w:rPr>
      <w:rFonts w:ascii="华文仿宋" w:hAnsi="华文仿宋" w:eastAsia="华文仿宋" w:cstheme="minorBidi"/>
      <w:sz w:val="24"/>
      <w:szCs w:val="22"/>
    </w:rPr>
  </w:style>
  <w:style w:type="character" w:customStyle="1" w:styleId="2023">
    <w:name w:val="表格注 Char"/>
    <w:link w:val="2024"/>
    <w:qFormat/>
    <w:locked/>
    <w:uiPriority w:val="0"/>
    <w:rPr>
      <w:b/>
      <w:color w:val="000000"/>
      <w:szCs w:val="24"/>
    </w:rPr>
  </w:style>
  <w:style w:type="paragraph" w:customStyle="1" w:styleId="2024">
    <w:name w:val="表格注"/>
    <w:link w:val="2023"/>
    <w:qFormat/>
    <w:uiPriority w:val="0"/>
    <w:pPr>
      <w:spacing w:line="360" w:lineRule="exact"/>
    </w:pPr>
    <w:rPr>
      <w:rFonts w:asciiTheme="minorHAnsi" w:hAnsiTheme="minorHAnsi" w:eastAsiaTheme="minorEastAsia" w:cstheme="minorBidi"/>
      <w:b/>
      <w:color w:val="000000"/>
      <w:kern w:val="2"/>
      <w:sz w:val="21"/>
      <w:szCs w:val="24"/>
      <w:lang w:val="en-US" w:eastAsia="zh-CN" w:bidi="ar-SA"/>
    </w:rPr>
  </w:style>
  <w:style w:type="character" w:customStyle="1" w:styleId="2025">
    <w:name w:val="样式 表格图文 + Times New Roman Char"/>
    <w:link w:val="2026"/>
    <w:qFormat/>
    <w:locked/>
    <w:uiPriority w:val="0"/>
    <w:rPr>
      <w:color w:val="000000"/>
      <w:szCs w:val="21"/>
    </w:rPr>
  </w:style>
  <w:style w:type="paragraph" w:customStyle="1" w:styleId="2026">
    <w:name w:val="样式 表格图文 + Times New Roman"/>
    <w:basedOn w:val="679"/>
    <w:link w:val="2025"/>
    <w:qFormat/>
    <w:uiPriority w:val="0"/>
    <w:pPr>
      <w:widowControl/>
      <w:adjustRightInd/>
      <w:snapToGrid/>
      <w:spacing w:line="360" w:lineRule="exact"/>
      <w:ind w:firstLine="200" w:firstLineChars="200"/>
    </w:pPr>
    <w:rPr>
      <w:rFonts w:asciiTheme="minorHAnsi" w:hAnsiTheme="minorHAnsi" w:eastAsiaTheme="minorEastAsia"/>
      <w:color w:val="000000"/>
    </w:rPr>
  </w:style>
  <w:style w:type="paragraph" w:customStyle="1" w:styleId="2027">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rFonts w:cs="Times New Roman"/>
      <w:i/>
      <w:spacing w:val="20"/>
      <w:szCs w:val="20"/>
    </w:rPr>
  </w:style>
  <w:style w:type="character" w:customStyle="1" w:styleId="2028">
    <w:name w:val="样式 正文首行缩进 + (西文) Cambria Math 倾斜 Char Char"/>
    <w:link w:val="2029"/>
    <w:qFormat/>
    <w:locked/>
    <w:uiPriority w:val="0"/>
    <w:rPr>
      <w:rFonts w:ascii="Cambria Math" w:hAnsi="Cambria Math"/>
      <w:b/>
      <w:i/>
      <w:iCs/>
      <w:sz w:val="24"/>
    </w:rPr>
  </w:style>
  <w:style w:type="paragraph" w:customStyle="1" w:styleId="2029">
    <w:name w:val="样式 正文首行缩进 + (西文) Cambria Math 倾斜"/>
    <w:basedOn w:val="1"/>
    <w:link w:val="2028"/>
    <w:qFormat/>
    <w:uiPriority w:val="0"/>
    <w:pPr>
      <w:spacing w:before="50" w:after="50"/>
    </w:pPr>
    <w:rPr>
      <w:rFonts w:ascii="Cambria Math" w:hAnsi="Cambria Math" w:eastAsiaTheme="minorEastAsia"/>
      <w:b/>
      <w:i/>
      <w:iCs/>
    </w:rPr>
  </w:style>
  <w:style w:type="character" w:customStyle="1" w:styleId="2030">
    <w:name w:val="样式 首行缩进:  2.25 字符1 Char"/>
    <w:link w:val="2031"/>
    <w:qFormat/>
    <w:locked/>
    <w:uiPriority w:val="0"/>
    <w:rPr>
      <w:sz w:val="24"/>
    </w:rPr>
  </w:style>
  <w:style w:type="paragraph" w:customStyle="1" w:styleId="2031">
    <w:name w:val="样式 首行缩进:  2.25 字符1"/>
    <w:basedOn w:val="1"/>
    <w:link w:val="2030"/>
    <w:qFormat/>
    <w:uiPriority w:val="0"/>
    <w:pPr>
      <w:ind w:firstLine="540" w:firstLineChars="225"/>
      <w:jc w:val="left"/>
    </w:pPr>
    <w:rPr>
      <w:rFonts w:asciiTheme="minorHAnsi" w:hAnsiTheme="minorHAnsi" w:eastAsiaTheme="minorEastAsia"/>
    </w:rPr>
  </w:style>
  <w:style w:type="paragraph" w:customStyle="1" w:styleId="2032">
    <w:name w:val="Char Char Char Char2 Char Char Char Char"/>
    <w:basedOn w:val="1"/>
    <w:qFormat/>
    <w:uiPriority w:val="0"/>
    <w:pPr>
      <w:autoSpaceDE w:val="0"/>
      <w:autoSpaceDN w:val="0"/>
      <w:adjustRightInd w:val="0"/>
      <w:snapToGrid w:val="0"/>
      <w:spacing w:before="50" w:after="50"/>
      <w:ind w:firstLine="560"/>
    </w:pPr>
    <w:rPr>
      <w:rFonts w:cs="Times New Roman"/>
      <w:szCs w:val="20"/>
    </w:rPr>
  </w:style>
  <w:style w:type="character" w:customStyle="1" w:styleId="2033">
    <w:name w:val="样式 报告书表格 + Char Char"/>
    <w:link w:val="2034"/>
    <w:qFormat/>
    <w:locked/>
    <w:uiPriority w:val="0"/>
    <w:rPr>
      <w:color w:val="000000"/>
      <w:sz w:val="24"/>
      <w:szCs w:val="24"/>
    </w:rPr>
  </w:style>
  <w:style w:type="paragraph" w:customStyle="1" w:styleId="2034">
    <w:name w:val="样式 报告书表格 +"/>
    <w:basedOn w:val="1"/>
    <w:link w:val="2033"/>
    <w:qFormat/>
    <w:uiPriority w:val="0"/>
    <w:pPr>
      <w:overflowPunct w:val="0"/>
      <w:ind w:firstLine="480"/>
      <w:jc w:val="left"/>
    </w:pPr>
    <w:rPr>
      <w:rFonts w:asciiTheme="minorHAnsi" w:hAnsiTheme="minorHAnsi" w:eastAsiaTheme="minorEastAsia"/>
      <w:color w:val="000000"/>
      <w:szCs w:val="24"/>
    </w:rPr>
  </w:style>
  <w:style w:type="character" w:customStyle="1" w:styleId="2035">
    <w:name w:val="样式 仪征正文 + 黑色 Char Char"/>
    <w:link w:val="2036"/>
    <w:qFormat/>
    <w:locked/>
    <w:uiPriority w:val="0"/>
    <w:rPr>
      <w:rFonts w:ascii="Batang" w:hAnsi="Batang" w:eastAsia="华文仿宋"/>
      <w:color w:val="000000"/>
      <w:sz w:val="24"/>
    </w:rPr>
  </w:style>
  <w:style w:type="paragraph" w:customStyle="1" w:styleId="2036">
    <w:name w:val="样式 仪征正文 + 黑色"/>
    <w:basedOn w:val="1"/>
    <w:link w:val="2035"/>
    <w:qFormat/>
    <w:uiPriority w:val="0"/>
    <w:pPr>
      <w:spacing w:before="120" w:after="120" w:line="360" w:lineRule="exact"/>
      <w:ind w:firstLine="480"/>
    </w:pPr>
    <w:rPr>
      <w:rFonts w:ascii="Batang" w:hAnsi="Batang" w:eastAsia="华文仿宋"/>
      <w:color w:val="000000"/>
    </w:rPr>
  </w:style>
  <w:style w:type="character" w:customStyle="1" w:styleId="2037">
    <w:name w:val="1应急预案 正文 Char Char"/>
    <w:link w:val="2038"/>
    <w:qFormat/>
    <w:locked/>
    <w:uiPriority w:val="0"/>
    <w:rPr>
      <w:rFonts w:ascii="Verdana" w:hAnsi="Verdana" w:eastAsia="仿宋_GB2312"/>
      <w:sz w:val="28"/>
      <w:szCs w:val="28"/>
    </w:rPr>
  </w:style>
  <w:style w:type="paragraph" w:customStyle="1" w:styleId="2038">
    <w:name w:val="1应急预案 正文"/>
    <w:basedOn w:val="1"/>
    <w:link w:val="2037"/>
    <w:qFormat/>
    <w:uiPriority w:val="0"/>
    <w:pPr>
      <w:spacing w:beforeLines="50" w:afterLines="50"/>
      <w:ind w:firstLine="560"/>
    </w:pPr>
    <w:rPr>
      <w:rFonts w:ascii="Verdana" w:hAnsi="Verdana" w:eastAsia="仿宋_GB2312"/>
      <w:sz w:val="28"/>
      <w:szCs w:val="28"/>
    </w:rPr>
  </w:style>
  <w:style w:type="character" w:customStyle="1" w:styleId="2039">
    <w:name w:val="样式 题注图表注 + (西文) 宋体 小四 Char Char"/>
    <w:link w:val="2040"/>
    <w:qFormat/>
    <w:locked/>
    <w:uiPriority w:val="0"/>
    <w:rPr>
      <w:rFonts w:ascii="宋体" w:hAnsi="宋体" w:eastAsia="黑体"/>
      <w:sz w:val="24"/>
    </w:rPr>
  </w:style>
  <w:style w:type="paragraph" w:customStyle="1" w:styleId="2040">
    <w:name w:val="样式 题注图表注 + (西文) 宋体 小四"/>
    <w:basedOn w:val="22"/>
    <w:link w:val="2039"/>
    <w:qFormat/>
    <w:uiPriority w:val="0"/>
    <w:pPr>
      <w:spacing w:line="440" w:lineRule="exact"/>
      <w:ind w:firstLine="478" w:firstLineChars="200"/>
    </w:pPr>
    <w:rPr>
      <w:rFonts w:hAnsi="宋体" w:eastAsia="黑体" w:cstheme="minorBidi"/>
      <w:sz w:val="24"/>
    </w:rPr>
  </w:style>
  <w:style w:type="paragraph" w:customStyle="1" w:styleId="2041">
    <w:name w:val="报告书表格5"/>
    <w:basedOn w:val="1008"/>
    <w:qFormat/>
    <w:uiPriority w:val="0"/>
    <w:pPr>
      <w:ind w:left="-96" w:leftChars="-40" w:right="-110" w:rightChars="-46" w:firstLine="200" w:firstLineChars="200"/>
    </w:pPr>
    <w:rPr>
      <w:sz w:val="24"/>
    </w:rPr>
  </w:style>
  <w:style w:type="paragraph" w:customStyle="1" w:styleId="2042">
    <w:name w:val="自定义正文 Char Char"/>
    <w:qFormat/>
    <w:uiPriority w:val="0"/>
    <w:pPr>
      <w:widowControl w:val="0"/>
      <w:topLinePunct/>
      <w:adjustRightInd w:val="0"/>
      <w:snapToGrid w:val="0"/>
      <w:spacing w:line="360" w:lineRule="auto"/>
      <w:ind w:firstLine="510"/>
      <w:jc w:val="both"/>
    </w:pPr>
    <w:rPr>
      <w:rFonts w:ascii="Times New Roman" w:hAnsi="Times New Roman" w:eastAsia="Times New Roman" w:cs="Times New Roman"/>
      <w:kern w:val="2"/>
      <w:position w:val="-28"/>
      <w:sz w:val="28"/>
      <w:szCs w:val="28"/>
      <w:lang w:val="en-US" w:eastAsia="zh-CN" w:bidi="ar-SA"/>
    </w:rPr>
  </w:style>
  <w:style w:type="paragraph" w:customStyle="1" w:styleId="2043">
    <w:name w:val="Char Char Char Char Char Char Char Char Char Char Char Char Char Char Char Char Char Char Char11"/>
    <w:basedOn w:val="1"/>
    <w:qFormat/>
    <w:uiPriority w:val="0"/>
    <w:rPr>
      <w:rFonts w:ascii="FLGPEK+TimesNewRoman,Italic" w:hAnsi="FLGPEK+TimesNewRoman,Italic" w:cs="FLGPEK+TimesNewRoman,Italic"/>
      <w:kern w:val="0"/>
      <w:szCs w:val="24"/>
    </w:rPr>
  </w:style>
  <w:style w:type="character" w:customStyle="1" w:styleId="2044">
    <w:name w:val="！正文ctrl-4 Char"/>
    <w:link w:val="2045"/>
    <w:qFormat/>
    <w:locked/>
    <w:uiPriority w:val="0"/>
    <w:rPr>
      <w:sz w:val="24"/>
      <w:szCs w:val="24"/>
    </w:rPr>
  </w:style>
  <w:style w:type="paragraph" w:customStyle="1" w:styleId="2045">
    <w:name w:val="！正文ctrl-4"/>
    <w:basedOn w:val="1"/>
    <w:link w:val="2044"/>
    <w:qFormat/>
    <w:uiPriority w:val="0"/>
    <w:pPr>
      <w:spacing w:beforeLines="50" w:line="480" w:lineRule="auto"/>
      <w:ind w:firstLine="480"/>
    </w:pPr>
    <w:rPr>
      <w:rFonts w:asciiTheme="minorHAnsi" w:hAnsiTheme="minorHAnsi" w:eastAsiaTheme="minorEastAsia"/>
      <w:szCs w:val="24"/>
    </w:rPr>
  </w:style>
  <w:style w:type="character" w:customStyle="1" w:styleId="2046">
    <w:name w:val="正明正文 Char Char"/>
    <w:link w:val="2047"/>
    <w:qFormat/>
    <w:locked/>
    <w:uiPriority w:val="0"/>
    <w:rPr>
      <w:rFonts w:ascii="宋体" w:hAnsi="宋体" w:eastAsia="宋体"/>
      <w:color w:val="000000"/>
      <w:sz w:val="24"/>
      <w:szCs w:val="24"/>
    </w:rPr>
  </w:style>
  <w:style w:type="paragraph" w:customStyle="1" w:styleId="2047">
    <w:name w:val="正明正文"/>
    <w:basedOn w:val="1"/>
    <w:link w:val="2046"/>
    <w:qFormat/>
    <w:uiPriority w:val="0"/>
    <w:pPr>
      <w:tabs>
        <w:tab w:val="left" w:pos="360"/>
        <w:tab w:val="left" w:pos="1440"/>
        <w:tab w:val="left" w:pos="2340"/>
        <w:tab w:val="left" w:pos="7200"/>
      </w:tabs>
      <w:spacing w:line="500" w:lineRule="exact"/>
    </w:pPr>
    <w:rPr>
      <w:rFonts w:ascii="宋体" w:hAnsi="宋体"/>
      <w:color w:val="000000"/>
      <w:szCs w:val="24"/>
    </w:rPr>
  </w:style>
  <w:style w:type="character" w:customStyle="1" w:styleId="2048">
    <w:name w:val="正文首行缩进 2 + Times New Roman Char Char"/>
    <w:link w:val="2049"/>
    <w:qFormat/>
    <w:locked/>
    <w:uiPriority w:val="0"/>
    <w:rPr>
      <w:sz w:val="24"/>
      <w:szCs w:val="24"/>
    </w:rPr>
  </w:style>
  <w:style w:type="paragraph" w:customStyle="1" w:styleId="2049">
    <w:name w:val="正文首行缩进 2 + Times New Roman"/>
    <w:basedOn w:val="1"/>
    <w:link w:val="2048"/>
    <w:qFormat/>
    <w:uiPriority w:val="0"/>
    <w:pPr>
      <w:tabs>
        <w:tab w:val="left" w:pos="0"/>
        <w:tab w:val="left" w:pos="870"/>
        <w:tab w:val="left" w:pos="3150"/>
      </w:tabs>
      <w:autoSpaceDE w:val="0"/>
      <w:autoSpaceDN w:val="0"/>
    </w:pPr>
    <w:rPr>
      <w:rFonts w:asciiTheme="minorHAnsi" w:hAnsiTheme="minorHAnsi" w:eastAsiaTheme="minorEastAsia"/>
      <w:szCs w:val="24"/>
    </w:rPr>
  </w:style>
  <w:style w:type="character" w:customStyle="1" w:styleId="2050">
    <w:name w:val="图头 Char Char"/>
    <w:link w:val="2051"/>
    <w:qFormat/>
    <w:locked/>
    <w:uiPriority w:val="0"/>
    <w:rPr>
      <w:b/>
      <w:sz w:val="24"/>
      <w:szCs w:val="24"/>
    </w:rPr>
  </w:style>
  <w:style w:type="paragraph" w:customStyle="1" w:styleId="2051">
    <w:name w:val="图头"/>
    <w:basedOn w:val="557"/>
    <w:next w:val="536"/>
    <w:link w:val="2050"/>
    <w:qFormat/>
    <w:uiPriority w:val="0"/>
    <w:pPr>
      <w:widowControl/>
      <w:tabs>
        <w:tab w:val="clear" w:pos="6840"/>
      </w:tabs>
      <w:topLinePunct w:val="0"/>
      <w:snapToGrid/>
      <w:spacing w:before="78" w:after="78"/>
      <w:ind w:firstLine="200" w:firstLineChars="200"/>
      <w:jc w:val="left"/>
    </w:pPr>
    <w:rPr>
      <w:rFonts w:asciiTheme="minorHAnsi" w:hAnsiTheme="minorHAnsi" w:eastAsiaTheme="minorEastAsia"/>
      <w:b/>
      <w:kern w:val="2"/>
      <w:szCs w:val="24"/>
    </w:rPr>
  </w:style>
  <w:style w:type="paragraph" w:customStyle="1" w:styleId="2052">
    <w:name w:val="样式 样式 样式 标题 3标题3H3h33rd level第二层条头小标题小节标题标题 3 Char Char一海港标... + +"/>
    <w:basedOn w:val="1927"/>
    <w:qFormat/>
    <w:uiPriority w:val="0"/>
    <w:pPr>
      <w:tabs>
        <w:tab w:val="clear" w:pos="720"/>
      </w:tabs>
      <w:spacing w:after="120"/>
    </w:pPr>
  </w:style>
  <w:style w:type="character" w:customStyle="1" w:styleId="2053">
    <w:name w:val="样式 标题 1 + (中文) 宋体 小四 Char"/>
    <w:link w:val="2054"/>
    <w:qFormat/>
    <w:locked/>
    <w:uiPriority w:val="0"/>
    <w:rPr>
      <w:b/>
      <w:sz w:val="44"/>
      <w:szCs w:val="24"/>
    </w:rPr>
  </w:style>
  <w:style w:type="paragraph" w:customStyle="1" w:styleId="2054">
    <w:name w:val="样式 标题 1 + (中文) 宋体 小四"/>
    <w:basedOn w:val="3"/>
    <w:link w:val="2053"/>
    <w:qFormat/>
    <w:uiPriority w:val="0"/>
    <w:pPr>
      <w:pageBreakBefore/>
      <w:widowControl/>
    </w:pPr>
    <w:rPr>
      <w:rFonts w:asciiTheme="minorHAnsi" w:hAnsiTheme="minorHAnsi" w:eastAsiaTheme="minorEastAsia" w:cstheme="minorBidi"/>
      <w:bCs w:val="0"/>
      <w:kern w:val="2"/>
      <w:sz w:val="44"/>
      <w:szCs w:val="24"/>
    </w:rPr>
  </w:style>
  <w:style w:type="character" w:customStyle="1" w:styleId="2055">
    <w:name w:val="表头编号 Char"/>
    <w:link w:val="2056"/>
    <w:qFormat/>
    <w:locked/>
    <w:uiPriority w:val="0"/>
    <w:rPr>
      <w:rFonts w:ascii="宋体" w:hAnsi="宋体" w:eastAsia="宋体"/>
      <w:szCs w:val="21"/>
    </w:rPr>
  </w:style>
  <w:style w:type="paragraph" w:customStyle="1" w:styleId="2056">
    <w:name w:val="表头编号"/>
    <w:basedOn w:val="1"/>
    <w:link w:val="2055"/>
    <w:qFormat/>
    <w:uiPriority w:val="0"/>
    <w:pPr>
      <w:tabs>
        <w:tab w:val="left" w:pos="6480"/>
      </w:tabs>
      <w:spacing w:line="540" w:lineRule="exact"/>
      <w:ind w:firstLine="567"/>
      <w:jc w:val="right"/>
    </w:pPr>
    <w:rPr>
      <w:rFonts w:ascii="宋体" w:hAnsi="宋体"/>
      <w:sz w:val="21"/>
    </w:rPr>
  </w:style>
  <w:style w:type="paragraph" w:customStyle="1" w:styleId="2057">
    <w:name w:val="样式 表格文字统一样式 + Arial 非加粗 自动设置 行距: 单倍行距"/>
    <w:basedOn w:val="1657"/>
    <w:qFormat/>
    <w:uiPriority w:val="0"/>
    <w:pPr>
      <w:ind w:firstLine="405" w:firstLineChars="193"/>
      <w:jc w:val="both"/>
    </w:pPr>
    <w:rPr>
      <w:rFonts w:ascii="Batang" w:hAnsi="Batang"/>
    </w:rPr>
  </w:style>
  <w:style w:type="character" w:customStyle="1" w:styleId="2058">
    <w:name w:val="引用文章 Char Char"/>
    <w:link w:val="2059"/>
    <w:qFormat/>
    <w:locked/>
    <w:uiPriority w:val="0"/>
    <w:rPr>
      <w:rFonts w:ascii="楷体_GB2312" w:eastAsia="楷体_GB2312"/>
      <w:sz w:val="24"/>
    </w:rPr>
  </w:style>
  <w:style w:type="paragraph" w:customStyle="1" w:styleId="2059">
    <w:name w:val="引用文章"/>
    <w:basedOn w:val="1"/>
    <w:link w:val="2058"/>
    <w:qFormat/>
    <w:uiPriority w:val="0"/>
    <w:pPr>
      <w:ind w:firstLine="420"/>
    </w:pPr>
    <w:rPr>
      <w:rFonts w:ascii="楷体_GB2312" w:eastAsia="楷体_GB2312" w:hAnsiTheme="minorHAnsi"/>
    </w:rPr>
  </w:style>
  <w:style w:type="paragraph" w:customStyle="1" w:styleId="2060">
    <w:name w:val="样式 正文（首行缩进两字） + 宋体 小四 加粗 首行缩进:  0.85 厘米 行距: 固定值 24 磅"/>
    <w:basedOn w:val="21"/>
    <w:qFormat/>
    <w:uiPriority w:val="0"/>
    <w:pPr>
      <w:adjustRightInd w:val="0"/>
      <w:spacing w:line="480" w:lineRule="exact"/>
      <w:ind w:firstLine="482"/>
    </w:pPr>
    <w:rPr>
      <w:rFonts w:ascii="宋体" w:hAnsi="宋体" w:eastAsiaTheme="minorEastAsia" w:cstheme="minorBidi"/>
      <w:sz w:val="24"/>
      <w:szCs w:val="22"/>
    </w:rPr>
  </w:style>
  <w:style w:type="character" w:customStyle="1" w:styleId="2061">
    <w:name w:val="普通(网站) Char Char"/>
    <w:link w:val="2062"/>
    <w:qFormat/>
    <w:locked/>
    <w:uiPriority w:val="0"/>
    <w:rPr>
      <w:rFonts w:ascii="FLGPEK+TimesNewRoman,Italic" w:hAnsi="FLGPEK+TimesNewRoman,Italic" w:eastAsia="FLGPEK+TimesNewRoman,Italic"/>
      <w:sz w:val="24"/>
    </w:rPr>
  </w:style>
  <w:style w:type="paragraph" w:customStyle="1" w:styleId="2062">
    <w:name w:val="普通(网站)2"/>
    <w:basedOn w:val="1"/>
    <w:link w:val="2061"/>
    <w:qFormat/>
    <w:uiPriority w:val="0"/>
    <w:pPr>
      <w:widowControl/>
      <w:spacing w:before="100" w:beforeAutospacing="1" w:after="100" w:afterAutospacing="1" w:line="440" w:lineRule="exact"/>
      <w:jc w:val="left"/>
    </w:pPr>
    <w:rPr>
      <w:rFonts w:ascii="FLGPEK+TimesNewRoman,Italic" w:hAnsi="FLGPEK+TimesNewRoman,Italic" w:eastAsia="FLGPEK+TimesNewRoman,Italic"/>
    </w:rPr>
  </w:style>
  <w:style w:type="character" w:customStyle="1" w:styleId="2063">
    <w:name w:val="标题2-自建可研 Char Char"/>
    <w:link w:val="2064"/>
    <w:qFormat/>
    <w:locked/>
    <w:uiPriority w:val="0"/>
    <w:rPr>
      <w:rFonts w:ascii="Arial" w:hAnsi="Arial" w:cs="Arial"/>
      <w:b/>
      <w:bCs/>
      <w:sz w:val="28"/>
    </w:rPr>
  </w:style>
  <w:style w:type="paragraph" w:customStyle="1" w:styleId="2064">
    <w:name w:val="标题2-自建可研"/>
    <w:basedOn w:val="643"/>
    <w:link w:val="2063"/>
    <w:qFormat/>
    <w:uiPriority w:val="0"/>
    <w:pPr>
      <w:jc w:val="center"/>
    </w:pPr>
    <w:rPr>
      <w:bCs/>
    </w:rPr>
  </w:style>
  <w:style w:type="character" w:customStyle="1" w:styleId="2065">
    <w:name w:val="四号 正文 Char Char"/>
    <w:link w:val="2066"/>
    <w:qFormat/>
    <w:locked/>
    <w:uiPriority w:val="0"/>
    <w:rPr>
      <w:rFonts w:ascii="黑体" w:hAnsi="宋体" w:eastAsia="黑体"/>
      <w:b/>
      <w:spacing w:val="6"/>
      <w:sz w:val="24"/>
      <w:szCs w:val="24"/>
    </w:rPr>
  </w:style>
  <w:style w:type="paragraph" w:customStyle="1" w:styleId="2066">
    <w:name w:val="四号 正文"/>
    <w:basedOn w:val="1"/>
    <w:link w:val="2065"/>
    <w:qFormat/>
    <w:uiPriority w:val="0"/>
    <w:pPr>
      <w:spacing w:line="440" w:lineRule="exact"/>
      <w:ind w:firstLine="506"/>
    </w:pPr>
    <w:rPr>
      <w:rFonts w:ascii="黑体" w:hAnsi="宋体" w:eastAsia="黑体"/>
      <w:b/>
      <w:spacing w:val="6"/>
      <w:szCs w:val="24"/>
    </w:rPr>
  </w:style>
  <w:style w:type="paragraph" w:customStyle="1" w:styleId="2067">
    <w:name w:val="样式 标题 3条标题1.1.1BSH-3标题 3 Char Char Char Char Char Char Char C..."/>
    <w:basedOn w:val="5"/>
    <w:qFormat/>
    <w:uiPriority w:val="0"/>
    <w:pPr>
      <w:spacing w:beforeLines="50"/>
    </w:pPr>
    <w:rPr>
      <w:rFonts w:ascii="黑体" w:hAnsi="宋体" w:cs="宋体"/>
      <w:b w:val="0"/>
      <w:bCs w:val="0"/>
      <w:color w:val="000000"/>
      <w:kern w:val="0"/>
      <w:szCs w:val="28"/>
    </w:rPr>
  </w:style>
  <w:style w:type="character" w:customStyle="1" w:styleId="2068">
    <w:name w:val="lff Char Char"/>
    <w:link w:val="2069"/>
    <w:qFormat/>
    <w:locked/>
    <w:uiPriority w:val="0"/>
    <w:rPr>
      <w:rFonts w:ascii="宋体" w:hAnsi="宋体" w:eastAsia="宋体"/>
      <w:b/>
      <w:color w:val="0000FF"/>
      <w:szCs w:val="21"/>
    </w:rPr>
  </w:style>
  <w:style w:type="paragraph" w:customStyle="1" w:styleId="2069">
    <w:name w:val="lff"/>
    <w:basedOn w:val="86"/>
    <w:link w:val="2068"/>
    <w:qFormat/>
    <w:uiPriority w:val="0"/>
    <w:pPr>
      <w:snapToGrid w:val="0"/>
      <w:spacing w:after="0" w:line="360" w:lineRule="auto"/>
      <w:ind w:firstLine="422" w:firstLineChars="200"/>
    </w:pPr>
    <w:rPr>
      <w:rFonts w:ascii="宋体" w:hAnsi="宋体" w:cstheme="minorBidi"/>
      <w:b/>
      <w:color w:val="0000FF"/>
      <w:szCs w:val="21"/>
    </w:rPr>
  </w:style>
  <w:style w:type="character" w:customStyle="1" w:styleId="2070">
    <w:name w:val="目标题 1) Char"/>
    <w:basedOn w:val="133"/>
    <w:link w:val="2071"/>
    <w:qFormat/>
    <w:locked/>
    <w:uiPriority w:val="0"/>
    <w:rPr>
      <w:rFonts w:ascii="Arial" w:hAnsi="Arial" w:eastAsia="黑体" w:cs="Arial"/>
      <w:sz w:val="24"/>
    </w:rPr>
  </w:style>
  <w:style w:type="paragraph" w:customStyle="1" w:styleId="2071">
    <w:name w:val="文本"/>
    <w:basedOn w:val="35"/>
    <w:link w:val="2070"/>
    <w:qFormat/>
    <w:uiPriority w:val="0"/>
    <w:pPr>
      <w:spacing w:after="0"/>
      <w:ind w:left="882" w:leftChars="420"/>
    </w:pPr>
    <w:rPr>
      <w:rFonts w:ascii="Arial" w:hAnsi="Arial" w:eastAsia="黑体" w:cs="Arial"/>
    </w:rPr>
  </w:style>
  <w:style w:type="character" w:customStyle="1" w:styleId="2072">
    <w:name w:val="样式 标题 21标题2H2h2第一层条1.1标题 2节标题 1.11.1标题2节标题 1.1 Char1.1... Char Char"/>
    <w:link w:val="2073"/>
    <w:qFormat/>
    <w:locked/>
    <w:uiPriority w:val="0"/>
    <w:rPr>
      <w:rFonts w:ascii="Arial" w:hAnsi="Arial" w:cs="Arial"/>
      <w:b/>
      <w:bCs/>
      <w:sz w:val="30"/>
      <w:szCs w:val="32"/>
    </w:rPr>
  </w:style>
  <w:style w:type="paragraph" w:customStyle="1" w:styleId="2073">
    <w:name w:val="样式 标题 21标题2H2h2第一层条1.1标题 2节标题 1.11.1标题2节标题 1.1 Char1.1..."/>
    <w:basedOn w:val="4"/>
    <w:link w:val="2072"/>
    <w:qFormat/>
    <w:uiPriority w:val="0"/>
    <w:pPr>
      <w:spacing w:line="412" w:lineRule="auto"/>
      <w:ind w:firstLine="420"/>
    </w:pPr>
    <w:rPr>
      <w:rFonts w:ascii="Arial" w:hAnsi="Arial" w:cs="Arial" w:eastAsiaTheme="minorEastAsia"/>
      <w:sz w:val="30"/>
    </w:rPr>
  </w:style>
  <w:style w:type="character" w:customStyle="1" w:styleId="2074">
    <w:name w:val="表头居中 Char Char"/>
    <w:link w:val="2075"/>
    <w:qFormat/>
    <w:locked/>
    <w:uiPriority w:val="0"/>
    <w:rPr>
      <w:kern w:val="28"/>
    </w:rPr>
  </w:style>
  <w:style w:type="paragraph" w:customStyle="1" w:styleId="2075">
    <w:name w:val="表头居中"/>
    <w:basedOn w:val="1"/>
    <w:link w:val="2074"/>
    <w:qFormat/>
    <w:uiPriority w:val="0"/>
    <w:pPr>
      <w:spacing w:line="500" w:lineRule="exact"/>
      <w:ind w:firstLine="720"/>
      <w:jc w:val="center"/>
    </w:pPr>
    <w:rPr>
      <w:rFonts w:asciiTheme="minorHAnsi" w:hAnsiTheme="minorHAnsi" w:eastAsiaTheme="minorEastAsia"/>
      <w:kern w:val="28"/>
      <w:sz w:val="21"/>
    </w:rPr>
  </w:style>
  <w:style w:type="paragraph" w:customStyle="1" w:styleId="2076">
    <w:name w:val="zhj"/>
    <w:next w:val="1"/>
    <w:qFormat/>
    <w:uiPriority w:val="0"/>
    <w:pPr>
      <w:autoSpaceDE w:val="0"/>
      <w:autoSpaceDN w:val="0"/>
      <w:adjustRightInd w:val="0"/>
      <w:snapToGrid w:val="0"/>
      <w:spacing w:line="360" w:lineRule="auto"/>
      <w:ind w:left="350" w:leftChars="350" w:firstLine="200" w:firstLineChars="200"/>
      <w:jc w:val="both"/>
    </w:pPr>
    <w:rPr>
      <w:rFonts w:ascii="宋体" w:hAnsi="宋体" w:eastAsia="宋体" w:cs="Times New Roman"/>
      <w:spacing w:val="6"/>
      <w:kern w:val="2"/>
      <w:sz w:val="24"/>
      <w:lang w:val="en-US" w:eastAsia="zh-CN" w:bidi="ar-SA"/>
    </w:rPr>
  </w:style>
  <w:style w:type="character" w:customStyle="1" w:styleId="2077">
    <w:name w:val="样式 标题 2 + Times New Roman Char Char"/>
    <w:link w:val="2078"/>
    <w:qFormat/>
    <w:locked/>
    <w:uiPriority w:val="0"/>
    <w:rPr>
      <w:rFonts w:ascii="黑体" w:hAnsi="黑体" w:eastAsia="黑体"/>
      <w:b/>
      <w:bCs/>
      <w:sz w:val="28"/>
      <w:szCs w:val="32"/>
    </w:rPr>
  </w:style>
  <w:style w:type="paragraph" w:customStyle="1" w:styleId="2078">
    <w:name w:val="样式 标题 2 + Times New Roman"/>
    <w:basedOn w:val="4"/>
    <w:link w:val="2077"/>
    <w:qFormat/>
    <w:uiPriority w:val="0"/>
    <w:pPr>
      <w:adjustRightInd w:val="0"/>
      <w:snapToGrid w:val="0"/>
      <w:spacing w:before="140" w:after="140" w:line="440" w:lineRule="exact"/>
    </w:pPr>
    <w:rPr>
      <w:rFonts w:ascii="黑体" w:hAnsi="黑体" w:cstheme="minorBidi"/>
      <w:sz w:val="28"/>
    </w:rPr>
  </w:style>
  <w:style w:type="paragraph" w:customStyle="1" w:styleId="2079">
    <w:name w:val="Char Char5 Char Char Char Char Char Char Char Char Char2 Char1"/>
    <w:basedOn w:val="5"/>
    <w:qFormat/>
    <w:uiPriority w:val="0"/>
    <w:pPr>
      <w:tabs>
        <w:tab w:val="left" w:pos="360"/>
        <w:tab w:val="left" w:pos="900"/>
      </w:tabs>
      <w:snapToGrid w:val="0"/>
      <w:spacing w:before="120" w:after="120" w:line="440" w:lineRule="exact"/>
      <w:ind w:left="542" w:leftChars="-12" w:firstLine="200" w:firstLineChars="200"/>
      <w:jc w:val="left"/>
    </w:pPr>
    <w:rPr>
      <w:rFonts w:ascii="FLGPEK+TimesNewRoman,Italic" w:hAnsi="FLGPEK+TimesNewRoman,Italic" w:eastAsia="宋体" w:cs="Garamond"/>
      <w:b w:val="0"/>
      <w:color w:val="000000"/>
      <w:sz w:val="30"/>
      <w:szCs w:val="24"/>
    </w:rPr>
  </w:style>
  <w:style w:type="character" w:customStyle="1" w:styleId="2080">
    <w:name w:val="z-窗体底端 Char Char"/>
    <w:link w:val="2081"/>
    <w:qFormat/>
    <w:locked/>
    <w:uiPriority w:val="0"/>
    <w:rPr>
      <w:rFonts w:ascii="Arial" w:hAnsi="Arial" w:cs="Arial"/>
      <w:vanish/>
      <w:sz w:val="16"/>
    </w:rPr>
  </w:style>
  <w:style w:type="paragraph" w:customStyle="1" w:styleId="2081">
    <w:name w:val="z-窗体底端2"/>
    <w:basedOn w:val="1"/>
    <w:next w:val="1"/>
    <w:link w:val="2080"/>
    <w:qFormat/>
    <w:uiPriority w:val="0"/>
    <w:pPr>
      <w:widowControl/>
      <w:pBdr>
        <w:top w:val="single" w:color="auto" w:sz="6" w:space="1"/>
      </w:pBdr>
      <w:spacing w:line="440" w:lineRule="exact"/>
      <w:ind w:firstLine="480"/>
      <w:jc w:val="center"/>
    </w:pPr>
    <w:rPr>
      <w:rFonts w:ascii="Arial" w:hAnsi="Arial" w:cs="Arial" w:eastAsiaTheme="minorEastAsia"/>
      <w:vanish/>
      <w:sz w:val="16"/>
    </w:rPr>
  </w:style>
  <w:style w:type="paragraph" w:customStyle="1" w:styleId="2082">
    <w:name w:val="样式 标题 2标题2二级 标题 2H2h2第一层条标题 2 Char节标题节11 Char标题 2 Cha..."/>
    <w:basedOn w:val="4"/>
    <w:qFormat/>
    <w:uiPriority w:val="0"/>
    <w:pPr>
      <w:keepNext w:val="0"/>
      <w:keepLines w:val="0"/>
      <w:tabs>
        <w:tab w:val="left" w:pos="900"/>
      </w:tabs>
      <w:adjustRightInd w:val="0"/>
      <w:snapToGrid w:val="0"/>
      <w:spacing w:line="440" w:lineRule="exact"/>
      <w:outlineLvl w:val="9"/>
    </w:pPr>
    <w:rPr>
      <w:rFonts w:ascii="FLGPEK+TimesNewRoman,Italic" w:hAnsi="FLGPEK+TimesNewRoman,Italic" w:eastAsia="Calibri" w:cs="Garamond"/>
      <w:b w:val="0"/>
      <w:smallCaps/>
      <w:color w:val="000000"/>
      <w:sz w:val="24"/>
      <w:szCs w:val="21"/>
    </w:rPr>
  </w:style>
  <w:style w:type="character" w:customStyle="1" w:styleId="2083">
    <w:name w:val="标题-3 Char Char"/>
    <w:link w:val="2084"/>
    <w:qFormat/>
    <w:locked/>
    <w:uiPriority w:val="0"/>
    <w:rPr>
      <w:rFonts w:ascii="ˎ̥" w:hAnsi="ˎ̥" w:eastAsia="ˎ̥"/>
      <w:b/>
      <w:bCs/>
      <w:sz w:val="24"/>
      <w:szCs w:val="24"/>
    </w:rPr>
  </w:style>
  <w:style w:type="paragraph" w:customStyle="1" w:styleId="2084">
    <w:name w:val="标题-3"/>
    <w:basedOn w:val="5"/>
    <w:link w:val="2083"/>
    <w:qFormat/>
    <w:uiPriority w:val="0"/>
    <w:pPr>
      <w:snapToGrid w:val="0"/>
      <w:spacing w:before="60" w:after="60" w:line="440" w:lineRule="exact"/>
    </w:pPr>
    <w:rPr>
      <w:rFonts w:ascii="ˎ̥" w:hAnsi="ˎ̥" w:eastAsia="ˎ̥" w:cstheme="minorBidi"/>
      <w:sz w:val="24"/>
      <w:szCs w:val="24"/>
    </w:rPr>
  </w:style>
  <w:style w:type="character" w:customStyle="1" w:styleId="2085">
    <w:name w:val="070706正文样式 Char Char"/>
    <w:link w:val="2086"/>
    <w:qFormat/>
    <w:locked/>
    <w:uiPriority w:val="0"/>
    <w:rPr>
      <w:rFonts w:ascii="宋体" w:hAnsi="宋体" w:eastAsia="宋体"/>
      <w:sz w:val="24"/>
    </w:rPr>
  </w:style>
  <w:style w:type="paragraph" w:customStyle="1" w:styleId="2086">
    <w:name w:val="070706正文样式"/>
    <w:basedOn w:val="35"/>
    <w:link w:val="2085"/>
    <w:qFormat/>
    <w:uiPriority w:val="0"/>
    <w:pPr>
      <w:adjustRightInd w:val="0"/>
      <w:snapToGrid w:val="0"/>
      <w:spacing w:after="0" w:line="336" w:lineRule="auto"/>
      <w:ind w:left="0" w:leftChars="0" w:firstLine="480"/>
    </w:pPr>
    <w:rPr>
      <w:rFonts w:ascii="宋体" w:hAnsi="宋体"/>
    </w:rPr>
  </w:style>
  <w:style w:type="character" w:customStyle="1" w:styleId="2087">
    <w:name w:val="报告格式—正文 Char Char"/>
    <w:link w:val="2088"/>
    <w:qFormat/>
    <w:locked/>
    <w:uiPriority w:val="0"/>
    <w:rPr>
      <w:spacing w:val="6"/>
      <w:sz w:val="28"/>
      <w:szCs w:val="36"/>
    </w:rPr>
  </w:style>
  <w:style w:type="paragraph" w:customStyle="1" w:styleId="2088">
    <w:name w:val="报告格式—正文"/>
    <w:basedOn w:val="1"/>
    <w:link w:val="2087"/>
    <w:qFormat/>
    <w:uiPriority w:val="0"/>
    <w:pPr>
      <w:spacing w:line="580" w:lineRule="exact"/>
      <w:ind w:firstLine="584"/>
    </w:pPr>
    <w:rPr>
      <w:rFonts w:asciiTheme="minorHAnsi" w:hAnsiTheme="minorHAnsi" w:eastAsiaTheme="minorEastAsia"/>
      <w:spacing w:val="6"/>
      <w:sz w:val="28"/>
      <w:szCs w:val="36"/>
    </w:rPr>
  </w:style>
  <w:style w:type="character" w:customStyle="1" w:styleId="2089">
    <w:name w:val="样式4 Char Char Char Char"/>
    <w:link w:val="2090"/>
    <w:qFormat/>
    <w:locked/>
    <w:uiPriority w:val="0"/>
    <w:rPr>
      <w:rFonts w:ascii="Arial" w:hAnsi="Arial" w:cs="Arial"/>
      <w:sz w:val="24"/>
      <w:szCs w:val="24"/>
    </w:rPr>
  </w:style>
  <w:style w:type="paragraph" w:customStyle="1" w:styleId="2090">
    <w:name w:val="样式4 Char Char"/>
    <w:basedOn w:val="21"/>
    <w:link w:val="2089"/>
    <w:qFormat/>
    <w:uiPriority w:val="0"/>
    <w:pPr>
      <w:spacing w:line="460" w:lineRule="exact"/>
    </w:pPr>
    <w:rPr>
      <w:rFonts w:ascii="Arial" w:hAnsi="Arial" w:cs="Arial" w:eastAsiaTheme="minorEastAsia"/>
      <w:sz w:val="24"/>
    </w:rPr>
  </w:style>
  <w:style w:type="paragraph" w:customStyle="1" w:styleId="2091">
    <w:name w:val="样式 正文缩进正文（首行缩进两字）正文（首行缩进两字） Char正文缩进 Char Char Char Char正文缩进...1"/>
    <w:basedOn w:val="21"/>
    <w:qFormat/>
    <w:uiPriority w:val="0"/>
    <w:pPr>
      <w:snapToGrid w:val="0"/>
      <w:spacing w:line="360" w:lineRule="auto"/>
      <w:ind w:firstLine="0"/>
      <w:jc w:val="center"/>
    </w:pPr>
    <w:rPr>
      <w:rFonts w:ascii="宋体" w:hAnsi="宋体" w:cs="宋体" w:eastAsiaTheme="minorEastAsia"/>
      <w:b/>
      <w:bCs/>
      <w:spacing w:val="8"/>
      <w:sz w:val="24"/>
    </w:rPr>
  </w:style>
  <w:style w:type="character" w:customStyle="1" w:styleId="2092">
    <w:name w:val="表格中的文字 Char"/>
    <w:link w:val="2093"/>
    <w:qFormat/>
    <w:locked/>
    <w:uiPriority w:val="0"/>
    <w:rPr>
      <w:rFonts w:ascii="宋体" w:hAnsi="宋体" w:eastAsia="宋体"/>
    </w:rPr>
  </w:style>
  <w:style w:type="paragraph" w:customStyle="1" w:styleId="2093">
    <w:name w:val="表格中的文字"/>
    <w:basedOn w:val="1"/>
    <w:link w:val="2092"/>
    <w:qFormat/>
    <w:uiPriority w:val="0"/>
    <w:pPr>
      <w:spacing w:line="440" w:lineRule="exact"/>
      <w:jc w:val="center"/>
    </w:pPr>
    <w:rPr>
      <w:rFonts w:ascii="宋体" w:hAnsi="宋体"/>
      <w:sz w:val="21"/>
    </w:rPr>
  </w:style>
  <w:style w:type="character" w:customStyle="1" w:styleId="2094">
    <w:name w:val="图 z Char Char"/>
    <w:link w:val="2095"/>
    <w:qFormat/>
    <w:locked/>
    <w:uiPriority w:val="0"/>
    <w:rPr>
      <w:sz w:val="24"/>
    </w:rPr>
  </w:style>
  <w:style w:type="paragraph" w:customStyle="1" w:styleId="2095">
    <w:name w:val="图 z"/>
    <w:basedOn w:val="1"/>
    <w:link w:val="2094"/>
    <w:qFormat/>
    <w:uiPriority w:val="0"/>
    <w:pPr>
      <w:spacing w:line="440" w:lineRule="exact"/>
      <w:ind w:firstLine="480"/>
      <w:jc w:val="center"/>
    </w:pPr>
    <w:rPr>
      <w:rFonts w:asciiTheme="minorHAnsi" w:hAnsiTheme="minorHAnsi" w:eastAsiaTheme="minorEastAsia"/>
    </w:rPr>
  </w:style>
  <w:style w:type="character" w:customStyle="1" w:styleId="2096">
    <w:name w:val="HTML 预设格式 Char Char"/>
    <w:link w:val="2097"/>
    <w:qFormat/>
    <w:locked/>
    <w:uiPriority w:val="0"/>
    <w:rPr>
      <w:rFonts w:ascii="仿宋_GB2312" w:hAnsi="仿宋_GB2312" w:eastAsia="仿宋_GB2312"/>
    </w:rPr>
  </w:style>
  <w:style w:type="paragraph" w:customStyle="1" w:styleId="2097">
    <w:name w:val="HTML 预设格式1"/>
    <w:basedOn w:val="1"/>
    <w:link w:val="20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pPr>
    <w:rPr>
      <w:rFonts w:ascii="仿宋_GB2312" w:hAnsi="仿宋_GB2312" w:eastAsia="仿宋_GB2312"/>
      <w:sz w:val="21"/>
    </w:rPr>
  </w:style>
  <w:style w:type="character" w:customStyle="1" w:styleId="2098">
    <w:name w:val="正文DG Char Char"/>
    <w:link w:val="2099"/>
    <w:qFormat/>
    <w:locked/>
    <w:uiPriority w:val="0"/>
    <w:rPr>
      <w:rFonts w:ascii="新宋体" w:hAnsi="新宋体" w:eastAsia="新宋体"/>
      <w:sz w:val="24"/>
      <w:szCs w:val="24"/>
    </w:rPr>
  </w:style>
  <w:style w:type="paragraph" w:customStyle="1" w:styleId="2099">
    <w:name w:val="正文DG"/>
    <w:basedOn w:val="1"/>
    <w:link w:val="2098"/>
    <w:qFormat/>
    <w:uiPriority w:val="0"/>
    <w:pPr>
      <w:spacing w:line="520" w:lineRule="exact"/>
      <w:ind w:firstLine="480"/>
    </w:pPr>
    <w:rPr>
      <w:rFonts w:ascii="新宋体" w:hAnsi="新宋体" w:eastAsia="新宋体"/>
      <w:szCs w:val="24"/>
    </w:rPr>
  </w:style>
  <w:style w:type="character" w:customStyle="1" w:styleId="2100">
    <w:name w:val="样式 标题 3 + 宋体 四号 Char Char Char"/>
    <w:link w:val="2101"/>
    <w:qFormat/>
    <w:locked/>
    <w:uiPriority w:val="0"/>
    <w:rPr>
      <w:rFonts w:ascii="宋体" w:hAnsi="宋体" w:eastAsia="宋体"/>
      <w:b/>
      <w:sz w:val="28"/>
    </w:rPr>
  </w:style>
  <w:style w:type="paragraph" w:customStyle="1" w:styleId="2101">
    <w:name w:val="样式 标题 3 + 宋体 四号 Char"/>
    <w:basedOn w:val="5"/>
    <w:link w:val="2100"/>
    <w:qFormat/>
    <w:uiPriority w:val="0"/>
    <w:pPr>
      <w:widowControl/>
      <w:spacing w:beforeLines="80" w:afterLines="40"/>
      <w:ind w:left="200" w:leftChars="200"/>
      <w:jc w:val="left"/>
    </w:pPr>
    <w:rPr>
      <w:rFonts w:ascii="宋体" w:hAnsi="宋体" w:eastAsia="宋体" w:cstheme="minorBidi"/>
      <w:bCs w:val="0"/>
      <w:szCs w:val="22"/>
    </w:rPr>
  </w:style>
  <w:style w:type="paragraph" w:customStyle="1" w:styleId="2102">
    <w:name w:val="图表目录11"/>
    <w:next w:val="1"/>
    <w:qFormat/>
    <w:uiPriority w:val="0"/>
    <w:pPr>
      <w:tabs>
        <w:tab w:val="right" w:leader="dot" w:pos="8296"/>
      </w:tabs>
      <w:adjustRightInd w:val="0"/>
      <w:snapToGrid w:val="0"/>
      <w:ind w:left="48" w:leftChars="20"/>
    </w:pPr>
    <w:rPr>
      <w:rFonts w:ascii="Times New Roman" w:hAnsi="Times New Roman" w:eastAsia="华文楷体" w:cs="Times New Roman"/>
      <w:kern w:val="2"/>
      <w:sz w:val="24"/>
      <w:szCs w:val="24"/>
      <w:lang w:val="en-US" w:eastAsia="zh-CN" w:bidi="ar-SA"/>
    </w:rPr>
  </w:style>
  <w:style w:type="character" w:customStyle="1" w:styleId="2103">
    <w:name w:val="标题3-自建 Char Char Char"/>
    <w:link w:val="2104"/>
    <w:qFormat/>
    <w:locked/>
    <w:uiPriority w:val="0"/>
    <w:rPr>
      <w:b/>
      <w:sz w:val="28"/>
    </w:rPr>
  </w:style>
  <w:style w:type="paragraph" w:customStyle="1" w:styleId="2104">
    <w:name w:val="标题3-自建"/>
    <w:basedOn w:val="5"/>
    <w:link w:val="2103"/>
    <w:qFormat/>
    <w:uiPriority w:val="0"/>
    <w:pPr>
      <w:spacing w:line="600" w:lineRule="exact"/>
      <w:jc w:val="left"/>
    </w:pPr>
    <w:rPr>
      <w:rFonts w:asciiTheme="minorHAnsi" w:hAnsiTheme="minorHAnsi" w:eastAsiaTheme="minorEastAsia" w:cstheme="minorBidi"/>
      <w:bCs w:val="0"/>
      <w:szCs w:val="22"/>
    </w:rPr>
  </w:style>
  <w:style w:type="paragraph" w:customStyle="1" w:styleId="2105">
    <w:name w:val="CM107"/>
    <w:basedOn w:val="157"/>
    <w:next w:val="157"/>
    <w:qFormat/>
    <w:uiPriority w:val="0"/>
    <w:pPr>
      <w:spacing w:after="127"/>
    </w:pPr>
    <w:rPr>
      <w:rFonts w:ascii="华文中宋" w:hAnsi="Chicago" w:eastAsia="华文中宋" w:cs="Chicago"/>
      <w:color w:val="auto"/>
    </w:rPr>
  </w:style>
  <w:style w:type="character" w:customStyle="1" w:styleId="2106">
    <w:name w:val="自定义正文 Char Char Char Char Char"/>
    <w:link w:val="2107"/>
    <w:qFormat/>
    <w:locked/>
    <w:uiPriority w:val="0"/>
    <w:rPr>
      <w:position w:val="-28"/>
      <w:sz w:val="28"/>
      <w:szCs w:val="28"/>
    </w:rPr>
  </w:style>
  <w:style w:type="paragraph" w:customStyle="1" w:styleId="2107">
    <w:name w:val="自定义正文 Char Char Char Char"/>
    <w:link w:val="2106"/>
    <w:qFormat/>
    <w:uiPriority w:val="0"/>
    <w:pPr>
      <w:widowControl w:val="0"/>
      <w:topLinePunct/>
      <w:adjustRightInd w:val="0"/>
      <w:snapToGrid w:val="0"/>
      <w:spacing w:line="360" w:lineRule="auto"/>
      <w:ind w:firstLine="510"/>
      <w:jc w:val="both"/>
    </w:pPr>
    <w:rPr>
      <w:rFonts w:asciiTheme="minorHAnsi" w:hAnsiTheme="minorHAnsi" w:eastAsiaTheme="minorEastAsia" w:cstheme="minorBidi"/>
      <w:kern w:val="2"/>
      <w:position w:val="-28"/>
      <w:sz w:val="28"/>
      <w:szCs w:val="28"/>
      <w:lang w:val="en-US" w:eastAsia="zh-CN" w:bidi="ar-SA"/>
    </w:rPr>
  </w:style>
  <w:style w:type="character" w:customStyle="1" w:styleId="2108">
    <w:name w:val="表头(G) Char Char"/>
    <w:link w:val="2109"/>
    <w:qFormat/>
    <w:locked/>
    <w:uiPriority w:val="0"/>
    <w:rPr>
      <w:rFonts w:ascii="黑体" w:hAnsi="黑体" w:eastAsia="黑体"/>
      <w:b/>
      <w:color w:val="000000"/>
      <w:kern w:val="24"/>
      <w:sz w:val="24"/>
      <w:szCs w:val="24"/>
    </w:rPr>
  </w:style>
  <w:style w:type="paragraph" w:customStyle="1" w:styleId="2109">
    <w:name w:val="表头(G)"/>
    <w:basedOn w:val="1"/>
    <w:link w:val="2108"/>
    <w:qFormat/>
    <w:uiPriority w:val="0"/>
    <w:pPr>
      <w:tabs>
        <w:tab w:val="left" w:pos="1021"/>
      </w:tabs>
      <w:spacing w:line="288" w:lineRule="auto"/>
      <w:jc w:val="center"/>
    </w:pPr>
    <w:rPr>
      <w:rFonts w:ascii="黑体" w:hAnsi="黑体" w:eastAsia="黑体"/>
      <w:b/>
      <w:color w:val="000000"/>
      <w:kern w:val="24"/>
      <w:szCs w:val="24"/>
    </w:rPr>
  </w:style>
  <w:style w:type="paragraph" w:customStyle="1" w:styleId="2110">
    <w:name w:val="正文一"/>
    <w:basedOn w:val="1732"/>
    <w:qFormat/>
    <w:uiPriority w:val="0"/>
  </w:style>
  <w:style w:type="character" w:customStyle="1" w:styleId="2111">
    <w:name w:val="表 陈 Char"/>
    <w:link w:val="2112"/>
    <w:qFormat/>
    <w:locked/>
    <w:uiPriority w:val="0"/>
    <w:rPr>
      <w:rFonts w:ascii="宋体" w:hAnsi="宋体" w:eastAsia="宋体"/>
    </w:rPr>
  </w:style>
  <w:style w:type="paragraph" w:customStyle="1" w:styleId="2112">
    <w:name w:val="表 陈"/>
    <w:basedOn w:val="1"/>
    <w:link w:val="2111"/>
    <w:qFormat/>
    <w:uiPriority w:val="0"/>
    <w:pPr>
      <w:spacing w:line="360" w:lineRule="exact"/>
      <w:ind w:firstLine="720"/>
      <w:jc w:val="center"/>
    </w:pPr>
    <w:rPr>
      <w:rFonts w:ascii="宋体" w:hAnsi="宋体"/>
      <w:sz w:val="21"/>
    </w:rPr>
  </w:style>
  <w:style w:type="character" w:customStyle="1" w:styleId="2113">
    <w:name w:val="mark正文 Char Char"/>
    <w:link w:val="2114"/>
    <w:qFormat/>
    <w:locked/>
    <w:uiPriority w:val="0"/>
    <w:rPr>
      <w:rFonts w:ascii="Verdana" w:hAnsi="Verdana"/>
      <w:sz w:val="28"/>
      <w:szCs w:val="28"/>
    </w:rPr>
  </w:style>
  <w:style w:type="paragraph" w:customStyle="1" w:styleId="2114">
    <w:name w:val="mark正文"/>
    <w:basedOn w:val="1"/>
    <w:next w:val="87"/>
    <w:link w:val="2113"/>
    <w:qFormat/>
    <w:uiPriority w:val="0"/>
    <w:pPr>
      <w:ind w:firstLine="527"/>
    </w:pPr>
    <w:rPr>
      <w:rFonts w:ascii="Verdana" w:hAnsi="Verdana" w:eastAsiaTheme="minorEastAsia"/>
      <w:sz w:val="28"/>
      <w:szCs w:val="28"/>
    </w:rPr>
  </w:style>
  <w:style w:type="character" w:customStyle="1" w:styleId="2115">
    <w:name w:val="编号 Char"/>
    <w:link w:val="2116"/>
    <w:qFormat/>
    <w:locked/>
    <w:uiPriority w:val="0"/>
    <w:rPr>
      <w:color w:val="000000"/>
      <w:sz w:val="24"/>
      <w:szCs w:val="24"/>
    </w:rPr>
  </w:style>
  <w:style w:type="paragraph" w:customStyle="1" w:styleId="2116">
    <w:name w:val="编号"/>
    <w:link w:val="2115"/>
    <w:qFormat/>
    <w:uiPriority w:val="0"/>
    <w:pPr>
      <w:tabs>
        <w:tab w:val="left" w:pos="720"/>
      </w:tabs>
      <w:spacing w:line="440" w:lineRule="exact"/>
      <w:ind w:left="1134" w:hanging="1134"/>
      <w:jc w:val="both"/>
    </w:pPr>
    <w:rPr>
      <w:rFonts w:asciiTheme="minorHAnsi" w:hAnsiTheme="minorHAnsi" w:eastAsiaTheme="minorEastAsia" w:cstheme="minorBidi"/>
      <w:color w:val="000000"/>
      <w:kern w:val="2"/>
      <w:sz w:val="24"/>
      <w:szCs w:val="24"/>
      <w:lang w:val="en-US" w:eastAsia="zh-CN" w:bidi="ar-SA"/>
    </w:rPr>
  </w:style>
  <w:style w:type="character" w:customStyle="1" w:styleId="2117">
    <w:name w:val="样式 正文1 + 加粗1 Char Char"/>
    <w:link w:val="2118"/>
    <w:qFormat/>
    <w:locked/>
    <w:uiPriority w:val="0"/>
    <w:rPr>
      <w:sz w:val="24"/>
    </w:rPr>
  </w:style>
  <w:style w:type="paragraph" w:customStyle="1" w:styleId="2118">
    <w:name w:val="样式 正文1 + 加粗1"/>
    <w:basedOn w:val="536"/>
    <w:link w:val="2117"/>
    <w:qFormat/>
    <w:uiPriority w:val="0"/>
    <w:pPr>
      <w:snapToGrid/>
      <w:spacing w:beforeLines="20" w:line="360" w:lineRule="auto"/>
      <w:ind w:firstLine="480"/>
    </w:pPr>
    <w:rPr>
      <w:rFonts w:asciiTheme="minorHAnsi" w:hAnsiTheme="minorHAnsi" w:eastAsiaTheme="minorEastAsia"/>
      <w:spacing w:val="0"/>
    </w:rPr>
  </w:style>
  <w:style w:type="paragraph" w:customStyle="1" w:styleId="2119">
    <w:name w:val="表格文本 小五 居中"/>
    <w:basedOn w:val="1"/>
    <w:qFormat/>
    <w:uiPriority w:val="0"/>
    <w:pPr>
      <w:adjustRightInd w:val="0"/>
      <w:snapToGrid w:val="0"/>
      <w:ind w:firstLine="480"/>
      <w:jc w:val="center"/>
    </w:pPr>
    <w:rPr>
      <w:rFonts w:cs="宋体"/>
      <w:color w:val="FF0000"/>
      <w:sz w:val="18"/>
      <w:szCs w:val="18"/>
    </w:rPr>
  </w:style>
  <w:style w:type="character" w:customStyle="1" w:styleId="2120">
    <w:name w:val="2应急预案 图标内容 Char Char"/>
    <w:link w:val="2121"/>
    <w:qFormat/>
    <w:locked/>
    <w:uiPriority w:val="0"/>
    <w:rPr>
      <w:rFonts w:ascii="Verdana" w:hAnsi="Verdana"/>
      <w:b/>
      <w:sz w:val="24"/>
    </w:rPr>
  </w:style>
  <w:style w:type="paragraph" w:customStyle="1" w:styleId="2121">
    <w:name w:val="2应急预案 图标内容"/>
    <w:basedOn w:val="1992"/>
    <w:link w:val="2120"/>
    <w:qFormat/>
    <w:uiPriority w:val="0"/>
  </w:style>
  <w:style w:type="paragraph" w:customStyle="1" w:styleId="2122">
    <w:name w:val="Char Char Char Char Char Char Char Char Char Char Char1 Char Char Char Char Char Char Char"/>
    <w:basedOn w:val="1"/>
    <w:qFormat/>
    <w:uiPriority w:val="0"/>
    <w:pPr>
      <w:spacing w:line="440" w:lineRule="exact"/>
      <w:ind w:firstLine="480"/>
    </w:pPr>
    <w:rPr>
      <w:rFonts w:cs="Times New Roman"/>
      <w:szCs w:val="24"/>
    </w:rPr>
  </w:style>
  <w:style w:type="character" w:customStyle="1" w:styleId="2123">
    <w:name w:val="正文 + (西文) Arial Narrow Char"/>
    <w:link w:val="2124"/>
    <w:qFormat/>
    <w:locked/>
    <w:uiPriority w:val="0"/>
    <w:rPr>
      <w:rFonts w:ascii="Arial Narrow" w:hAnsi="Arial Narrow" w:eastAsia="汉鼎简书宋"/>
      <w:sz w:val="24"/>
      <w:szCs w:val="24"/>
    </w:rPr>
  </w:style>
  <w:style w:type="paragraph" w:customStyle="1" w:styleId="2124">
    <w:name w:val="正文 + (西文) Arial Narrow"/>
    <w:basedOn w:val="1"/>
    <w:link w:val="2123"/>
    <w:qFormat/>
    <w:uiPriority w:val="0"/>
    <w:pPr>
      <w:spacing w:line="500" w:lineRule="exact"/>
      <w:ind w:firstLine="480"/>
    </w:pPr>
    <w:rPr>
      <w:rFonts w:ascii="Arial Narrow" w:hAnsi="Arial Narrow" w:eastAsia="汉鼎简书宋"/>
      <w:szCs w:val="24"/>
    </w:rPr>
  </w:style>
  <w:style w:type="character" w:customStyle="1" w:styleId="2125">
    <w:name w:val="样式 正文文本 + Char Char"/>
    <w:link w:val="2126"/>
    <w:qFormat/>
    <w:locked/>
    <w:uiPriority w:val="0"/>
    <w:rPr>
      <w:rFonts w:ascii="华文仿宋" w:hAnsi="华文仿宋" w:eastAsia="华文仿宋"/>
      <w:spacing w:val="-6"/>
      <w:sz w:val="18"/>
    </w:rPr>
  </w:style>
  <w:style w:type="paragraph" w:customStyle="1" w:styleId="2126">
    <w:name w:val="样式 正文文本 +"/>
    <w:basedOn w:val="34"/>
    <w:link w:val="2125"/>
    <w:qFormat/>
    <w:uiPriority w:val="0"/>
    <w:pPr>
      <w:adjustRightInd w:val="0"/>
      <w:snapToGrid w:val="0"/>
      <w:spacing w:before="60" w:after="60" w:line="264" w:lineRule="auto"/>
    </w:pPr>
    <w:rPr>
      <w:rFonts w:ascii="华文仿宋" w:hAnsi="华文仿宋" w:eastAsia="华文仿宋"/>
      <w:spacing w:val="-6"/>
      <w:sz w:val="18"/>
    </w:rPr>
  </w:style>
  <w:style w:type="paragraph" w:customStyle="1" w:styleId="2127">
    <w:name w:val="Char2 Char Char Char1 Char Char Char"/>
    <w:basedOn w:val="1"/>
    <w:qFormat/>
    <w:uiPriority w:val="0"/>
    <w:pPr>
      <w:widowControl/>
      <w:spacing w:after="160" w:line="240" w:lineRule="exact"/>
      <w:ind w:firstLine="480"/>
      <w:jc w:val="left"/>
    </w:pPr>
    <w:rPr>
      <w:rFonts w:ascii="Arial" w:hAnsi="Arial" w:cs="Times New Roman"/>
      <w:spacing w:val="3"/>
      <w:kern w:val="0"/>
      <w:sz w:val="20"/>
      <w:szCs w:val="20"/>
      <w:lang w:eastAsia="en-US"/>
    </w:rPr>
  </w:style>
  <w:style w:type="character" w:customStyle="1" w:styleId="2128">
    <w:name w:val="正文文本 3 Char Char"/>
    <w:link w:val="2129"/>
    <w:qFormat/>
    <w:locked/>
    <w:uiPriority w:val="0"/>
    <w:rPr>
      <w:rFonts w:ascii="Tahoma" w:hAnsi="Tahoma" w:cs="Tahoma"/>
      <w:sz w:val="24"/>
    </w:rPr>
  </w:style>
  <w:style w:type="paragraph" w:customStyle="1" w:styleId="2129">
    <w:name w:val="正文文本 31"/>
    <w:basedOn w:val="1"/>
    <w:link w:val="2128"/>
    <w:qFormat/>
    <w:uiPriority w:val="0"/>
    <w:pPr>
      <w:spacing w:line="440" w:lineRule="exact"/>
    </w:pPr>
    <w:rPr>
      <w:rFonts w:ascii="Tahoma" w:hAnsi="Tahoma" w:cs="Tahoma" w:eastAsiaTheme="minorEastAsia"/>
    </w:rPr>
  </w:style>
  <w:style w:type="paragraph" w:customStyle="1" w:styleId="2130">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rFonts w:cs="Times New Roman"/>
      <w:i/>
      <w:spacing w:val="20"/>
      <w:szCs w:val="20"/>
    </w:rPr>
  </w:style>
  <w:style w:type="character" w:customStyle="1" w:styleId="2131">
    <w:name w:val="正文 + 宋体 Char"/>
    <w:link w:val="2132"/>
    <w:qFormat/>
    <w:locked/>
    <w:uiPriority w:val="0"/>
    <w:rPr>
      <w:rFonts w:ascii="宋体" w:hAnsi="宋体" w:eastAsia="宋体"/>
      <w:shadow/>
      <w:sz w:val="28"/>
      <w:szCs w:val="28"/>
    </w:rPr>
  </w:style>
  <w:style w:type="paragraph" w:customStyle="1" w:styleId="2132">
    <w:name w:val="正文 + 宋体"/>
    <w:basedOn w:val="1"/>
    <w:link w:val="2131"/>
    <w:qFormat/>
    <w:uiPriority w:val="0"/>
    <w:pPr>
      <w:spacing w:line="540" w:lineRule="exact"/>
      <w:ind w:firstLine="560"/>
    </w:pPr>
    <w:rPr>
      <w:rFonts w:ascii="宋体" w:hAnsi="宋体"/>
      <w:shadow/>
      <w:sz w:val="28"/>
      <w:szCs w:val="28"/>
    </w:rPr>
  </w:style>
  <w:style w:type="character" w:customStyle="1" w:styleId="2133">
    <w:name w:val="hb22 Char"/>
    <w:link w:val="2134"/>
    <w:qFormat/>
    <w:locked/>
    <w:uiPriority w:val="0"/>
    <w:rPr>
      <w:b/>
      <w:bCs/>
      <w:sz w:val="32"/>
      <w:szCs w:val="32"/>
    </w:rPr>
  </w:style>
  <w:style w:type="paragraph" w:customStyle="1" w:styleId="2134">
    <w:name w:val="hb22"/>
    <w:basedOn w:val="4"/>
    <w:link w:val="2133"/>
    <w:qFormat/>
    <w:uiPriority w:val="0"/>
    <w:pPr>
      <w:keepLines w:val="0"/>
      <w:topLinePunct/>
      <w:spacing w:before="120" w:after="120" w:line="240" w:lineRule="atLeast"/>
      <w:jc w:val="left"/>
    </w:pPr>
    <w:rPr>
      <w:rFonts w:asciiTheme="minorHAnsi" w:hAnsiTheme="minorHAnsi" w:eastAsiaTheme="minorEastAsia" w:cstheme="minorBidi"/>
    </w:rPr>
  </w:style>
  <w:style w:type="paragraph" w:customStyle="1" w:styleId="2135">
    <w:name w:val="Main"/>
    <w:basedOn w:val="1"/>
    <w:qFormat/>
    <w:uiPriority w:val="0"/>
    <w:pPr>
      <w:spacing w:line="480" w:lineRule="atLeast"/>
      <w:ind w:left="400" w:leftChars="400" w:right="400" w:rightChars="400"/>
    </w:pPr>
    <w:rPr>
      <w:rFonts w:ascii="@幼圆" w:hAnsi="@幼圆" w:cs="Times New Roman"/>
      <w:kern w:val="0"/>
      <w:sz w:val="28"/>
      <w:szCs w:val="28"/>
    </w:rPr>
  </w:style>
  <w:style w:type="character" w:customStyle="1" w:styleId="2136">
    <w:name w:val="样式 样式 标题 21标题2H2h2第一层条1.1标题 2节标题 1.11.1标题2节标题 1.1 Char1.1... + 加... Char Char"/>
    <w:link w:val="2137"/>
    <w:qFormat/>
    <w:locked/>
    <w:uiPriority w:val="0"/>
    <w:rPr>
      <w:rFonts w:ascii="Arial" w:hAnsi="Arial" w:cs="Arial"/>
      <w:b/>
      <w:bCs/>
      <w:spacing w:val="8"/>
      <w:sz w:val="28"/>
      <w:szCs w:val="32"/>
    </w:rPr>
  </w:style>
  <w:style w:type="paragraph" w:customStyle="1" w:styleId="2137">
    <w:name w:val="样式 样式 标题 21标题2H2h2第一层条1.1标题 2节标题 1.11.1标题2节标题 1.1 Char1.1... + 加..."/>
    <w:basedOn w:val="2073"/>
    <w:link w:val="2136"/>
    <w:qFormat/>
    <w:uiPriority w:val="0"/>
    <w:rPr>
      <w:spacing w:val="8"/>
      <w:sz w:val="28"/>
    </w:rPr>
  </w:style>
  <w:style w:type="character" w:customStyle="1" w:styleId="2138">
    <w:name w:val="正文28磅 Char Char"/>
    <w:link w:val="2139"/>
    <w:qFormat/>
    <w:locked/>
    <w:uiPriority w:val="0"/>
    <w:rPr>
      <w:rFonts w:ascii="Verdana" w:hAnsi="Verdana"/>
      <w:color w:val="000000"/>
      <w:kern w:val="28"/>
      <w:sz w:val="28"/>
      <w:u w:color="000000"/>
      <w:lang w:val="en-GB"/>
    </w:rPr>
  </w:style>
  <w:style w:type="paragraph" w:customStyle="1" w:styleId="2139">
    <w:name w:val="正文28磅"/>
    <w:basedOn w:val="1"/>
    <w:link w:val="2138"/>
    <w:qFormat/>
    <w:uiPriority w:val="0"/>
    <w:pPr>
      <w:spacing w:line="560" w:lineRule="exact"/>
      <w:ind w:firstLine="560"/>
      <w:jc w:val="left"/>
    </w:pPr>
    <w:rPr>
      <w:rFonts w:ascii="Verdana" w:hAnsi="Verdana" w:eastAsiaTheme="minorEastAsia"/>
      <w:color w:val="000000"/>
      <w:kern w:val="28"/>
      <w:sz w:val="28"/>
      <w:u w:color="000000"/>
      <w:lang w:val="en-GB"/>
    </w:rPr>
  </w:style>
  <w:style w:type="paragraph" w:customStyle="1" w:styleId="2140">
    <w:name w:val="Char2 Char Char Char Char Char Char2"/>
    <w:basedOn w:val="1"/>
    <w:qFormat/>
    <w:uiPriority w:val="0"/>
    <w:pPr>
      <w:spacing w:line="440" w:lineRule="exact"/>
    </w:pPr>
    <w:rPr>
      <w:rFonts w:ascii="Tahoma" w:hAnsi="Tahoma" w:cs="Garamond"/>
      <w:kern w:val="0"/>
      <w:szCs w:val="24"/>
    </w:rPr>
  </w:style>
  <w:style w:type="character" w:customStyle="1" w:styleId="2141">
    <w:name w:val="样式 标题 3 Char Char"/>
    <w:link w:val="2142"/>
    <w:qFormat/>
    <w:locked/>
    <w:uiPriority w:val="0"/>
    <w:rPr>
      <w:rFonts w:ascii="黑体" w:hAnsi="黑体" w:eastAsia="黑体"/>
      <w:b/>
      <w:color w:val="000000"/>
      <w:kern w:val="44"/>
      <w:sz w:val="24"/>
    </w:rPr>
  </w:style>
  <w:style w:type="paragraph" w:customStyle="1" w:styleId="2142">
    <w:name w:val="样式 标题 3"/>
    <w:basedOn w:val="5"/>
    <w:next w:val="5"/>
    <w:link w:val="2141"/>
    <w:qFormat/>
    <w:uiPriority w:val="0"/>
    <w:pPr>
      <w:spacing w:before="360" w:after="360" w:line="540" w:lineRule="exact"/>
    </w:pPr>
    <w:rPr>
      <w:rFonts w:ascii="黑体" w:hAnsi="黑体" w:cstheme="minorBidi"/>
      <w:bCs w:val="0"/>
      <w:color w:val="000000"/>
      <w:kern w:val="44"/>
      <w:sz w:val="24"/>
      <w:szCs w:val="22"/>
    </w:rPr>
  </w:style>
  <w:style w:type="paragraph" w:customStyle="1" w:styleId="2143">
    <w:name w:val="样式 标题 2标题2.1标题 1.1 + 黑体 四号 非加粗 蓝色 段前: 15.6 磅 段后: 7.8 磅 行..."/>
    <w:basedOn w:val="4"/>
    <w:qFormat/>
    <w:uiPriority w:val="0"/>
    <w:pPr>
      <w:keepNext w:val="0"/>
      <w:keepLines w:val="0"/>
      <w:tabs>
        <w:tab w:val="left" w:pos="576"/>
      </w:tabs>
      <w:adjustRightInd w:val="0"/>
      <w:spacing w:before="312" w:after="240" w:line="360" w:lineRule="exact"/>
      <w:ind w:left="578" w:hanging="578"/>
    </w:pPr>
    <w:rPr>
      <w:rFonts w:ascii="宋体" w:hAnsi="Tahoma" w:eastAsia="宋体" w:cs="Garamond"/>
      <w:smallCaps/>
      <w:color w:val="0000FF"/>
      <w:sz w:val="28"/>
      <w:szCs w:val="21"/>
    </w:rPr>
  </w:style>
  <w:style w:type="character" w:customStyle="1" w:styleId="2144">
    <w:name w:val="样式 标题 2标题2二级 标题 2H2h2第一层条标题 2 Char节标题节11 Char标题 2 Cha...3 Char Char"/>
    <w:link w:val="2145"/>
    <w:qFormat/>
    <w:locked/>
    <w:uiPriority w:val="0"/>
    <w:rPr>
      <w:rFonts w:ascii="Batang" w:hAnsi="Batang" w:eastAsia="Batang"/>
      <w:b/>
    </w:rPr>
  </w:style>
  <w:style w:type="paragraph" w:customStyle="1" w:styleId="2145">
    <w:name w:val="样式 标题 2标题2二级 标题 2H2h2第一层条标题 2 Char节标题节11 Char标题 2 Cha...3"/>
    <w:basedOn w:val="4"/>
    <w:link w:val="2144"/>
    <w:qFormat/>
    <w:uiPriority w:val="0"/>
    <w:pPr>
      <w:keepNext w:val="0"/>
      <w:keepLines w:val="0"/>
      <w:adjustRightInd w:val="0"/>
      <w:spacing w:before="240" w:after="240" w:line="360" w:lineRule="exact"/>
      <w:ind w:left="578" w:hanging="578"/>
    </w:pPr>
    <w:rPr>
      <w:rFonts w:ascii="Batang" w:hAnsi="Batang" w:eastAsia="Batang" w:cstheme="minorBidi"/>
      <w:bCs w:val="0"/>
      <w:sz w:val="21"/>
      <w:szCs w:val="22"/>
    </w:rPr>
  </w:style>
  <w:style w:type="character" w:customStyle="1" w:styleId="2146">
    <w:name w:val="z-窗体顶端 Char Char"/>
    <w:link w:val="2147"/>
    <w:qFormat/>
    <w:locked/>
    <w:uiPriority w:val="0"/>
    <w:rPr>
      <w:rFonts w:ascii="Arial" w:hAnsi="Arial" w:cs="Arial"/>
      <w:vanish/>
      <w:sz w:val="16"/>
    </w:rPr>
  </w:style>
  <w:style w:type="paragraph" w:customStyle="1" w:styleId="2147">
    <w:name w:val="z-窗体顶端2"/>
    <w:basedOn w:val="1"/>
    <w:next w:val="1"/>
    <w:link w:val="2146"/>
    <w:qFormat/>
    <w:uiPriority w:val="0"/>
    <w:pPr>
      <w:widowControl/>
      <w:pBdr>
        <w:bottom w:val="single" w:color="auto" w:sz="6" w:space="1"/>
      </w:pBdr>
      <w:spacing w:line="440" w:lineRule="exact"/>
      <w:ind w:firstLine="480"/>
      <w:jc w:val="center"/>
    </w:pPr>
    <w:rPr>
      <w:rFonts w:ascii="Arial" w:hAnsi="Arial" w:cs="Arial" w:eastAsiaTheme="minorEastAsia"/>
      <w:vanish/>
      <w:sz w:val="16"/>
    </w:rPr>
  </w:style>
  <w:style w:type="paragraph" w:customStyle="1" w:styleId="2148">
    <w:name w:val="navitext"/>
    <w:basedOn w:val="1"/>
    <w:qFormat/>
    <w:uiPriority w:val="0"/>
    <w:pPr>
      <w:widowControl/>
      <w:spacing w:before="100" w:beforeAutospacing="1" w:after="100" w:afterAutospacing="1" w:line="440" w:lineRule="exact"/>
      <w:jc w:val="left"/>
    </w:pPr>
    <w:rPr>
      <w:rFonts w:ascii="宋体" w:hAnsi="宋体" w:cs="宋体"/>
      <w:color w:val="000000"/>
      <w:kern w:val="0"/>
      <w:sz w:val="18"/>
      <w:szCs w:val="18"/>
    </w:rPr>
  </w:style>
  <w:style w:type="character" w:customStyle="1" w:styleId="2149">
    <w:name w:val="样式 样式 仪征正文 + 黑色 + 红色 Char Char"/>
    <w:link w:val="2150"/>
    <w:locked/>
    <w:uiPriority w:val="0"/>
    <w:rPr>
      <w:rFonts w:ascii="Batang" w:hAnsi="Batang" w:eastAsia="华文仿宋"/>
      <w:color w:val="000000"/>
      <w:sz w:val="24"/>
    </w:rPr>
  </w:style>
  <w:style w:type="paragraph" w:customStyle="1" w:styleId="2150">
    <w:name w:val="样式 样式 仪征正文 + 黑色 + 红色"/>
    <w:basedOn w:val="2036"/>
    <w:link w:val="2149"/>
    <w:qFormat/>
    <w:uiPriority w:val="0"/>
  </w:style>
  <w:style w:type="paragraph" w:customStyle="1" w:styleId="2151">
    <w:name w:val="陈标题4"/>
    <w:basedOn w:val="1"/>
    <w:next w:val="1"/>
    <w:qFormat/>
    <w:uiPriority w:val="0"/>
    <w:pPr>
      <w:keepNext/>
      <w:keepLines/>
      <w:ind w:firstLine="0" w:firstLineChars="0"/>
      <w:outlineLvl w:val="3"/>
    </w:pPr>
    <w:rPr>
      <w:rFonts w:cs="Times New Roman"/>
      <w:b/>
      <w:kern w:val="0"/>
      <w:sz w:val="28"/>
      <w:szCs w:val="28"/>
    </w:rPr>
  </w:style>
  <w:style w:type="character" w:customStyle="1" w:styleId="2152">
    <w:name w:val="表格内容样式 Char Char"/>
    <w:link w:val="2153"/>
    <w:locked/>
    <w:uiPriority w:val="0"/>
    <w:rPr>
      <w:rFonts w:ascii="宋体" w:hAnsi="宋体" w:eastAsia="宋体"/>
      <w:szCs w:val="24"/>
    </w:rPr>
  </w:style>
  <w:style w:type="paragraph" w:customStyle="1" w:styleId="2153">
    <w:name w:val="表格内容样式"/>
    <w:basedOn w:val="1"/>
    <w:link w:val="2152"/>
    <w:qFormat/>
    <w:uiPriority w:val="0"/>
    <w:pPr>
      <w:tabs>
        <w:tab w:val="left" w:pos="540"/>
      </w:tabs>
      <w:spacing w:line="240" w:lineRule="auto"/>
      <w:ind w:firstLine="0" w:firstLineChars="0"/>
      <w:jc w:val="center"/>
    </w:pPr>
    <w:rPr>
      <w:rFonts w:ascii="宋体" w:hAnsi="宋体"/>
      <w:sz w:val="21"/>
      <w:szCs w:val="24"/>
    </w:rPr>
  </w:style>
  <w:style w:type="paragraph" w:customStyle="1" w:styleId="2154">
    <w:name w:val="目录 11"/>
    <w:basedOn w:val="1"/>
    <w:next w:val="1"/>
    <w:qFormat/>
    <w:uiPriority w:val="0"/>
    <w:pPr>
      <w:tabs>
        <w:tab w:val="right" w:leader="dot" w:pos="8777"/>
      </w:tabs>
      <w:spacing w:before="120" w:after="120" w:line="440" w:lineRule="exact"/>
      <w:ind w:firstLine="480"/>
    </w:pPr>
    <w:rPr>
      <w:rFonts w:cs="Times New Roman"/>
      <w:caps/>
      <w:color w:val="000000"/>
      <w:szCs w:val="20"/>
    </w:rPr>
  </w:style>
  <w:style w:type="character" w:customStyle="1" w:styleId="2155">
    <w:name w:val="明显引用 Char"/>
    <w:link w:val="2156"/>
    <w:locked/>
    <w:uiPriority w:val="0"/>
    <w:rPr>
      <w:rFonts w:ascii="华文中宋" w:hAnsi="华文中宋" w:eastAsia="FLGPEK+TimesNewRoman,Italic"/>
      <w:b/>
      <w:bCs/>
      <w:i/>
      <w:iCs/>
      <w:color w:val="4F81BD"/>
    </w:rPr>
  </w:style>
  <w:style w:type="paragraph" w:customStyle="1" w:styleId="2156">
    <w:name w:val="明显引用1"/>
    <w:basedOn w:val="1"/>
    <w:next w:val="1"/>
    <w:link w:val="2155"/>
    <w:qFormat/>
    <w:uiPriority w:val="0"/>
    <w:pPr>
      <w:pBdr>
        <w:bottom w:val="single" w:color="4F81BD" w:sz="4" w:space="4"/>
      </w:pBdr>
      <w:spacing w:before="200" w:after="280" w:line="440" w:lineRule="exact"/>
      <w:ind w:left="936" w:right="936"/>
    </w:pPr>
    <w:rPr>
      <w:rFonts w:ascii="华文中宋" w:hAnsi="华文中宋" w:eastAsia="FLGPEK+TimesNewRoman,Italic"/>
      <w:b/>
      <w:bCs/>
      <w:i/>
      <w:iCs/>
      <w:color w:val="4F81BD"/>
      <w:sz w:val="21"/>
    </w:rPr>
  </w:style>
  <w:style w:type="character" w:customStyle="1" w:styleId="2157">
    <w:name w:val="样式25 Char"/>
    <w:link w:val="2158"/>
    <w:locked/>
    <w:uiPriority w:val="0"/>
    <w:rPr>
      <w:rFonts w:ascii="宋体" w:hAnsi="宋体" w:eastAsia="宋体"/>
      <w:kern w:val="10"/>
      <w:sz w:val="28"/>
      <w:szCs w:val="28"/>
    </w:rPr>
  </w:style>
  <w:style w:type="paragraph" w:customStyle="1" w:styleId="2158">
    <w:name w:val="样式25"/>
    <w:basedOn w:val="1"/>
    <w:link w:val="2157"/>
    <w:qFormat/>
    <w:uiPriority w:val="0"/>
    <w:pPr>
      <w:jc w:val="left"/>
      <w:outlineLvl w:val="2"/>
    </w:pPr>
    <w:rPr>
      <w:rFonts w:ascii="宋体" w:hAnsi="宋体"/>
      <w:kern w:val="10"/>
      <w:sz w:val="28"/>
      <w:szCs w:val="28"/>
    </w:rPr>
  </w:style>
  <w:style w:type="character" w:customStyle="1" w:styleId="2159">
    <w:name w:val="自己的正文 Char Char"/>
    <w:link w:val="2160"/>
    <w:locked/>
    <w:uiPriority w:val="0"/>
    <w:rPr>
      <w:rFonts w:ascii="Times New Roman" w:hAnsi="Times New Roman" w:eastAsia="宋体" w:cs="Times New Roman"/>
      <w:kern w:val="0"/>
      <w:sz w:val="20"/>
      <w:szCs w:val="20"/>
    </w:rPr>
  </w:style>
  <w:style w:type="paragraph" w:customStyle="1" w:styleId="2160">
    <w:name w:val="自己的正文"/>
    <w:link w:val="2159"/>
    <w:qFormat/>
    <w:uiPriority w:val="0"/>
    <w:rPr>
      <w:rFonts w:ascii="Times New Roman" w:hAnsi="Times New Roman" w:eastAsia="宋体" w:cs="Times New Roman"/>
      <w:lang w:val="en-US" w:eastAsia="zh-CN" w:bidi="ar-SA"/>
    </w:rPr>
  </w:style>
  <w:style w:type="paragraph" w:customStyle="1" w:styleId="2161">
    <w:name w:val="表格 32"/>
    <w:basedOn w:val="1"/>
    <w:qFormat/>
    <w:uiPriority w:val="0"/>
    <w:pPr>
      <w:autoSpaceDE w:val="0"/>
      <w:autoSpaceDN w:val="0"/>
      <w:adjustRightInd w:val="0"/>
      <w:ind w:firstLine="480"/>
      <w:jc w:val="center"/>
    </w:pPr>
    <w:rPr>
      <w:rFonts w:eastAsia="楷体_GB2312" w:cs="Times New Roman"/>
      <w:kern w:val="0"/>
      <w:szCs w:val="20"/>
    </w:rPr>
  </w:style>
  <w:style w:type="character" w:customStyle="1" w:styleId="2162">
    <w:name w:val="样式 wgx正文 Char"/>
    <w:link w:val="2163"/>
    <w:locked/>
    <w:uiPriority w:val="0"/>
    <w:rPr>
      <w:color w:val="000000"/>
      <w:sz w:val="28"/>
      <w:szCs w:val="21"/>
    </w:rPr>
  </w:style>
  <w:style w:type="paragraph" w:customStyle="1" w:styleId="2163">
    <w:name w:val="样式 wgx正文"/>
    <w:basedOn w:val="1"/>
    <w:next w:val="34"/>
    <w:link w:val="2162"/>
    <w:qFormat/>
    <w:uiPriority w:val="0"/>
    <w:pPr>
      <w:widowControl/>
      <w:overflowPunct w:val="0"/>
      <w:autoSpaceDE w:val="0"/>
      <w:autoSpaceDN w:val="0"/>
      <w:spacing w:beforeLines="50" w:afterLines="50"/>
    </w:pPr>
    <w:rPr>
      <w:rFonts w:asciiTheme="minorHAnsi" w:hAnsiTheme="minorHAnsi" w:eastAsiaTheme="minorEastAsia"/>
      <w:color w:val="000000"/>
      <w:sz w:val="28"/>
    </w:rPr>
  </w:style>
  <w:style w:type="character" w:customStyle="1" w:styleId="2164">
    <w:name w:val="表格内字体 Char Char"/>
    <w:link w:val="2165"/>
    <w:locked/>
    <w:uiPriority w:val="0"/>
    <w:rPr>
      <w:color w:val="FF0000"/>
      <w:spacing w:val="-14"/>
      <w:szCs w:val="24"/>
    </w:rPr>
  </w:style>
  <w:style w:type="paragraph" w:customStyle="1" w:styleId="2165">
    <w:name w:val="表格内字体"/>
    <w:basedOn w:val="521"/>
    <w:next w:val="521"/>
    <w:link w:val="2164"/>
    <w:qFormat/>
    <w:uiPriority w:val="0"/>
    <w:pPr>
      <w:spacing w:line="0" w:lineRule="atLeast"/>
      <w:ind w:firstLine="0" w:firstLineChars="0"/>
      <w:jc w:val="center"/>
    </w:pPr>
    <w:rPr>
      <w:rFonts w:asciiTheme="minorHAnsi" w:hAnsiTheme="minorHAnsi" w:eastAsiaTheme="minorEastAsia" w:cstheme="minorBidi"/>
      <w:color w:val="FF0000"/>
      <w:spacing w:val="-14"/>
      <w:sz w:val="21"/>
    </w:rPr>
  </w:style>
  <w:style w:type="character" w:customStyle="1" w:styleId="2166">
    <w:name w:val="海港-2级标题 Char Char"/>
    <w:link w:val="2167"/>
    <w:locked/>
    <w:uiPriority w:val="0"/>
    <w:rPr>
      <w:b/>
      <w:spacing w:val="5"/>
      <w:kern w:val="44"/>
      <w:sz w:val="30"/>
    </w:rPr>
  </w:style>
  <w:style w:type="paragraph" w:customStyle="1" w:styleId="2167">
    <w:name w:val="海港-2级标题"/>
    <w:basedOn w:val="1"/>
    <w:link w:val="2166"/>
    <w:qFormat/>
    <w:uiPriority w:val="0"/>
    <w:pPr>
      <w:keepNext/>
      <w:keepLines/>
      <w:spacing w:beforeLines="100"/>
      <w:ind w:firstLine="720"/>
      <w:outlineLvl w:val="1"/>
    </w:pPr>
    <w:rPr>
      <w:rFonts w:asciiTheme="minorHAnsi" w:hAnsiTheme="minorHAnsi" w:eastAsiaTheme="minorEastAsia"/>
      <w:b/>
      <w:spacing w:val="5"/>
      <w:kern w:val="44"/>
      <w:sz w:val="30"/>
    </w:rPr>
  </w:style>
  <w:style w:type="paragraph" w:customStyle="1" w:styleId="2168">
    <w:name w:val="表格字体"/>
    <w:qFormat/>
    <w:uiPriority w:val="0"/>
    <w:pPr>
      <w:spacing w:line="320" w:lineRule="exact"/>
      <w:jc w:val="center"/>
    </w:pPr>
    <w:rPr>
      <w:rFonts w:ascii="Times New Roman" w:hAnsi="Times New Roman" w:eastAsia="华文中宋" w:cs="Times New Roman"/>
      <w:kern w:val="2"/>
      <w:sz w:val="21"/>
      <w:szCs w:val="21"/>
      <w:lang w:val="en-US" w:eastAsia="zh-CN" w:bidi="ar-SA"/>
    </w:rPr>
  </w:style>
  <w:style w:type="character" w:customStyle="1" w:styleId="2169">
    <w:name w:val="标题4-自建 Char Char"/>
    <w:link w:val="2170"/>
    <w:locked/>
    <w:uiPriority w:val="0"/>
    <w:rPr>
      <w:rFonts w:ascii="Arial" w:hAnsi="Arial" w:cs="Arial"/>
      <w:b/>
      <w:sz w:val="28"/>
    </w:rPr>
  </w:style>
  <w:style w:type="paragraph" w:customStyle="1" w:styleId="2170">
    <w:name w:val="标题4-自建"/>
    <w:basedOn w:val="6"/>
    <w:link w:val="2169"/>
    <w:qFormat/>
    <w:uiPriority w:val="0"/>
    <w:pPr>
      <w:tabs>
        <w:tab w:val="left" w:pos="249"/>
        <w:tab w:val="left" w:pos="996"/>
        <w:tab w:val="left" w:pos="1245"/>
      </w:tabs>
      <w:spacing w:line="600" w:lineRule="exact"/>
      <w:jc w:val="left"/>
    </w:pPr>
    <w:rPr>
      <w:rFonts w:ascii="Arial" w:hAnsi="Arial" w:cs="Arial" w:eastAsiaTheme="minorEastAsia"/>
      <w:bCs w:val="0"/>
      <w:sz w:val="28"/>
      <w:szCs w:val="22"/>
    </w:rPr>
  </w:style>
  <w:style w:type="character" w:customStyle="1" w:styleId="2171">
    <w:name w:val="正文(4) Char"/>
    <w:link w:val="2172"/>
    <w:locked/>
    <w:uiPriority w:val="0"/>
    <w:rPr>
      <w:sz w:val="28"/>
      <w:szCs w:val="28"/>
    </w:rPr>
  </w:style>
  <w:style w:type="paragraph" w:customStyle="1" w:styleId="2172">
    <w:name w:val="正文(4)"/>
    <w:basedOn w:val="1"/>
    <w:link w:val="2171"/>
    <w:qFormat/>
    <w:uiPriority w:val="0"/>
    <w:pPr>
      <w:topLinePunct/>
      <w:ind w:firstLine="0" w:firstLineChars="0"/>
    </w:pPr>
    <w:rPr>
      <w:rFonts w:asciiTheme="minorHAnsi" w:hAnsiTheme="minorHAnsi" w:eastAsiaTheme="minorEastAsia"/>
      <w:sz w:val="28"/>
      <w:szCs w:val="28"/>
    </w:rPr>
  </w:style>
  <w:style w:type="paragraph" w:customStyle="1" w:styleId="2173">
    <w:name w:val="小节1"/>
    <w:next w:val="1"/>
    <w:qFormat/>
    <w:uiPriority w:val="0"/>
    <w:pPr>
      <w:adjustRightInd w:val="0"/>
      <w:snapToGrid w:val="0"/>
      <w:spacing w:line="360" w:lineRule="auto"/>
    </w:pPr>
    <w:rPr>
      <w:rFonts w:ascii="Times New Roman" w:hAnsi="Times New Roman" w:eastAsia="黑体" w:cs="Times New Roman"/>
      <w:b/>
      <w:kern w:val="2"/>
      <w:position w:val="-28"/>
      <w:sz w:val="28"/>
      <w:szCs w:val="24"/>
      <w:lang w:val="en-US" w:eastAsia="zh-CN" w:bidi="ar-SA"/>
    </w:rPr>
  </w:style>
  <w:style w:type="character" w:customStyle="1" w:styleId="2174">
    <w:name w:val="样式 标题 1 + 非加宽量 / 紧缩量 Char"/>
    <w:link w:val="2175"/>
    <w:locked/>
    <w:uiPriority w:val="0"/>
    <w:rPr>
      <w:rFonts w:ascii="黑体" w:hAnsi="黑体" w:eastAsia="黑体"/>
      <w:b/>
      <w:bCs/>
      <w:kern w:val="44"/>
      <w:sz w:val="28"/>
      <w:szCs w:val="28"/>
    </w:rPr>
  </w:style>
  <w:style w:type="paragraph" w:customStyle="1" w:styleId="2175">
    <w:name w:val="样式 标题 1 + 非加宽量 / 紧缩量"/>
    <w:basedOn w:val="3"/>
    <w:link w:val="2174"/>
    <w:qFormat/>
    <w:uiPriority w:val="0"/>
    <w:pPr>
      <w:pageBreakBefore/>
      <w:widowControl/>
    </w:pPr>
    <w:rPr>
      <w:rFonts w:ascii="黑体" w:hAnsi="黑体" w:cstheme="minorBidi"/>
      <w:sz w:val="28"/>
      <w:szCs w:val="28"/>
    </w:rPr>
  </w:style>
  <w:style w:type="character" w:customStyle="1" w:styleId="2176">
    <w:name w:val="样式 标题4 + 五号 Char Char"/>
    <w:link w:val="2177"/>
    <w:locked/>
    <w:uiPriority w:val="0"/>
    <w:rPr>
      <w:b/>
      <w:bCs/>
      <w:szCs w:val="32"/>
    </w:rPr>
  </w:style>
  <w:style w:type="paragraph" w:customStyle="1" w:styleId="2177">
    <w:name w:val="样式 标题4 + 五号"/>
    <w:basedOn w:val="64"/>
    <w:link w:val="2176"/>
    <w:qFormat/>
    <w:uiPriority w:val="0"/>
    <w:pPr>
      <w:keepNext/>
      <w:keepLines/>
      <w:spacing w:before="20" w:after="20" w:line="412" w:lineRule="auto"/>
      <w:jc w:val="both"/>
      <w:outlineLvl w:val="2"/>
    </w:pPr>
    <w:rPr>
      <w:rFonts w:asciiTheme="minorHAnsi" w:hAnsiTheme="minorHAnsi" w:eastAsiaTheme="minorEastAsia" w:cstheme="minorBidi"/>
      <w:kern w:val="2"/>
      <w:sz w:val="21"/>
    </w:rPr>
  </w:style>
  <w:style w:type="paragraph" w:customStyle="1" w:styleId="2178">
    <w:name w:val="编号圆圈数字"/>
    <w:basedOn w:val="1"/>
    <w:qFormat/>
    <w:uiPriority w:val="0"/>
    <w:pPr>
      <w:tabs>
        <w:tab w:val="left" w:pos="597"/>
      </w:tabs>
      <w:ind w:left="140" w:firstLine="480"/>
    </w:pPr>
    <w:rPr>
      <w:rFonts w:cs="Times New Roman"/>
      <w:szCs w:val="24"/>
    </w:rPr>
  </w:style>
  <w:style w:type="character" w:customStyle="1" w:styleId="2179">
    <w:name w:val="正文（首行缩进两字） Char Char1 Char"/>
    <w:link w:val="2180"/>
    <w:locked/>
    <w:uiPriority w:val="0"/>
    <w:rPr>
      <w:rFonts w:ascii="Arial" w:hAnsi="Arial" w:cs="Arial"/>
      <w:color w:val="000000"/>
      <w:sz w:val="24"/>
      <w:szCs w:val="24"/>
    </w:rPr>
  </w:style>
  <w:style w:type="paragraph" w:customStyle="1" w:styleId="2180">
    <w:name w:val="正文（首行缩进两字） Char Char Char2"/>
    <w:basedOn w:val="1"/>
    <w:next w:val="21"/>
    <w:link w:val="2179"/>
    <w:qFormat/>
    <w:uiPriority w:val="0"/>
    <w:pPr>
      <w:spacing w:line="440" w:lineRule="exact"/>
      <w:ind w:firstLine="480"/>
    </w:pPr>
    <w:rPr>
      <w:rFonts w:ascii="Arial" w:hAnsi="Arial" w:cs="Arial" w:eastAsiaTheme="minorEastAsia"/>
      <w:color w:val="000000"/>
      <w:szCs w:val="24"/>
    </w:rPr>
  </w:style>
  <w:style w:type="paragraph" w:customStyle="1" w:styleId="2181">
    <w:name w:val="样式 标题 2节标题 1.11.1标题2Majorb2标题 2 Char Char Char标题 2 Char Ch..."/>
    <w:basedOn w:val="4"/>
    <w:qFormat/>
    <w:uiPriority w:val="0"/>
    <w:pPr>
      <w:spacing w:before="240" w:after="120"/>
    </w:pPr>
    <w:rPr>
      <w:rFonts w:ascii="Arial" w:hAnsi="Arial" w:cs="宋体"/>
      <w:color w:val="FF0000"/>
      <w:szCs w:val="30"/>
    </w:rPr>
  </w:style>
  <w:style w:type="character" w:customStyle="1" w:styleId="2182">
    <w:name w:val="dan7-1 Char"/>
    <w:link w:val="2183"/>
    <w:locked/>
    <w:uiPriority w:val="0"/>
    <w:rPr>
      <w:sz w:val="24"/>
    </w:rPr>
  </w:style>
  <w:style w:type="paragraph" w:customStyle="1" w:styleId="2183">
    <w:name w:val="dan7-1"/>
    <w:basedOn w:val="1"/>
    <w:link w:val="2182"/>
    <w:qFormat/>
    <w:uiPriority w:val="0"/>
    <w:pPr>
      <w:spacing w:before="40" w:after="40"/>
    </w:pPr>
    <w:rPr>
      <w:rFonts w:asciiTheme="minorHAnsi" w:hAnsiTheme="minorHAnsi" w:eastAsiaTheme="minorEastAsia"/>
    </w:rPr>
  </w:style>
  <w:style w:type="character" w:customStyle="1" w:styleId="2184">
    <w:name w:val="表五号 Char Char"/>
    <w:link w:val="2185"/>
    <w:locked/>
    <w:uiPriority w:val="0"/>
    <w:rPr>
      <w:rFonts w:ascii="Batang" w:hAnsi="Chicago" w:eastAsia="ˎ̥"/>
      <w:spacing w:val="-20"/>
      <w:szCs w:val="21"/>
    </w:rPr>
  </w:style>
  <w:style w:type="paragraph" w:customStyle="1" w:styleId="2185">
    <w:name w:val="表五号"/>
    <w:basedOn w:val="679"/>
    <w:link w:val="2184"/>
    <w:qFormat/>
    <w:uiPriority w:val="0"/>
    <w:pPr>
      <w:ind w:left="-7" w:leftChars="-3" w:right="-95" w:rightChars="-40" w:firstLine="720" w:firstLineChars="200"/>
    </w:pPr>
    <w:rPr>
      <w:rFonts w:ascii="Batang" w:hAnsi="Chicago" w:eastAsia="ˎ̥"/>
      <w:spacing w:val="-20"/>
    </w:rPr>
  </w:style>
  <w:style w:type="paragraph" w:customStyle="1" w:styleId="2186">
    <w:name w:val="样式 周表目录 + 段前: 0 磅 段后: 0 周表目录"/>
    <w:basedOn w:val="1"/>
    <w:qFormat/>
    <w:uiPriority w:val="0"/>
    <w:pPr>
      <w:keepNext/>
      <w:spacing w:line="300" w:lineRule="auto"/>
      <w:ind w:firstLine="480"/>
      <w:jc w:val="center"/>
    </w:pPr>
    <w:rPr>
      <w:rFonts w:ascii="宋体" w:hAnsi="宋体" w:cs="宋体"/>
      <w:b/>
      <w:bCs/>
      <w:spacing w:val="6"/>
      <w:szCs w:val="20"/>
    </w:rPr>
  </w:style>
  <w:style w:type="character" w:customStyle="1" w:styleId="2187">
    <w:name w:val="（一）楷体 Char"/>
    <w:link w:val="2188"/>
    <w:locked/>
    <w:uiPriority w:val="0"/>
    <w:rPr>
      <w:rFonts w:ascii="楷体_GB2312" w:hAnsi="宋体" w:eastAsia="楷体_GB2312"/>
      <w:b/>
      <w:kern w:val="28"/>
      <w:sz w:val="28"/>
    </w:rPr>
  </w:style>
  <w:style w:type="paragraph" w:customStyle="1" w:styleId="2188">
    <w:name w:val="（一）楷体"/>
    <w:basedOn w:val="1"/>
    <w:link w:val="2187"/>
    <w:qFormat/>
    <w:uiPriority w:val="0"/>
    <w:pPr>
      <w:spacing w:line="240" w:lineRule="auto"/>
      <w:outlineLvl w:val="2"/>
    </w:pPr>
    <w:rPr>
      <w:rFonts w:ascii="楷体_GB2312" w:hAnsi="宋体" w:eastAsia="楷体_GB2312"/>
      <w:b/>
      <w:kern w:val="28"/>
      <w:sz w:val="28"/>
    </w:rPr>
  </w:style>
  <w:style w:type="character" w:customStyle="1" w:styleId="2189">
    <w:name w:val="签名 Char Char"/>
    <w:link w:val="2190"/>
    <w:locked/>
    <w:uiPriority w:val="0"/>
    <w:rPr>
      <w:rFonts w:ascii="FLGPEK+TimesNewRoman,Italic" w:hAnsi="Tahoma" w:eastAsia="FLGPEK+TimesNewRoman,Italic"/>
      <w:spacing w:val="5"/>
      <w:sz w:val="25"/>
      <w:szCs w:val="25"/>
    </w:rPr>
  </w:style>
  <w:style w:type="paragraph" w:customStyle="1" w:styleId="2190">
    <w:name w:val="签名1"/>
    <w:basedOn w:val="1"/>
    <w:link w:val="2189"/>
    <w:qFormat/>
    <w:uiPriority w:val="0"/>
    <w:pPr>
      <w:spacing w:line="440" w:lineRule="exact"/>
      <w:ind w:left="100" w:leftChars="2100"/>
    </w:pPr>
    <w:rPr>
      <w:rFonts w:ascii="FLGPEK+TimesNewRoman,Italic" w:hAnsi="Tahoma" w:eastAsia="FLGPEK+TimesNewRoman,Italic"/>
      <w:spacing w:val="5"/>
      <w:sz w:val="25"/>
      <w:szCs w:val="25"/>
    </w:rPr>
  </w:style>
  <w:style w:type="paragraph" w:customStyle="1" w:styleId="2191">
    <w:name w:val="样式 标题 3条标题1.1.1BSH-3 + (西文) Times New Roman (中文) 宋体 段前: 7.3 ..."/>
    <w:basedOn w:val="5"/>
    <w:qFormat/>
    <w:uiPriority w:val="0"/>
    <w:pPr>
      <w:spacing w:before="120" w:after="120" w:line="590" w:lineRule="exact"/>
      <w:ind w:left="947" w:hanging="947"/>
    </w:pPr>
    <w:rPr>
      <w:rFonts w:ascii="宋体" w:hAnsi="宋体" w:eastAsia="宋体" w:cs="宋体"/>
      <w:bCs w:val="0"/>
      <w:color w:val="000000"/>
      <w:sz w:val="30"/>
      <w:szCs w:val="20"/>
    </w:rPr>
  </w:style>
  <w:style w:type="character" w:customStyle="1" w:styleId="2192">
    <w:name w:val="ljszhengwen Char Char"/>
    <w:link w:val="2193"/>
    <w:locked/>
    <w:uiPriority w:val="0"/>
    <w:rPr>
      <w:rFonts w:ascii="宋体" w:hAnsi="宋体" w:eastAsia="宋体"/>
      <w:bCs/>
      <w:sz w:val="24"/>
      <w:szCs w:val="24"/>
    </w:rPr>
  </w:style>
  <w:style w:type="paragraph" w:customStyle="1" w:styleId="2193">
    <w:name w:val="ljszhengwen"/>
    <w:link w:val="2192"/>
    <w:qFormat/>
    <w:uiPriority w:val="0"/>
    <w:pPr>
      <w:adjustRightInd w:val="0"/>
      <w:snapToGrid w:val="0"/>
      <w:spacing w:line="360" w:lineRule="auto"/>
      <w:ind w:left="350" w:leftChars="350" w:firstLine="200" w:firstLineChars="200"/>
    </w:pPr>
    <w:rPr>
      <w:rFonts w:ascii="宋体" w:hAnsi="宋体" w:eastAsia="宋体" w:cstheme="minorBidi"/>
      <w:bCs/>
      <w:kern w:val="2"/>
      <w:sz w:val="24"/>
      <w:szCs w:val="24"/>
      <w:lang w:val="en-US" w:eastAsia="zh-CN" w:bidi="ar-SA"/>
    </w:rPr>
  </w:style>
  <w:style w:type="paragraph" w:customStyle="1" w:styleId="2194">
    <w:name w:val="陈标题3"/>
    <w:basedOn w:val="1"/>
    <w:next w:val="1"/>
    <w:qFormat/>
    <w:uiPriority w:val="0"/>
    <w:pPr>
      <w:keepNext/>
      <w:keepLines/>
      <w:ind w:firstLine="0" w:firstLineChars="0"/>
      <w:outlineLvl w:val="2"/>
    </w:pPr>
    <w:rPr>
      <w:rFonts w:cs="Times New Roman"/>
      <w:b/>
      <w:kern w:val="0"/>
      <w:sz w:val="30"/>
      <w:szCs w:val="30"/>
    </w:rPr>
  </w:style>
  <w:style w:type="character" w:customStyle="1" w:styleId="2195">
    <w:name w:val="正文文本1.35 Char"/>
    <w:link w:val="2196"/>
    <w:locked/>
    <w:uiPriority w:val="0"/>
    <w:rPr>
      <w:sz w:val="24"/>
    </w:rPr>
  </w:style>
  <w:style w:type="paragraph" w:customStyle="1" w:styleId="2196">
    <w:name w:val="正文文本1.35"/>
    <w:basedOn w:val="34"/>
    <w:link w:val="2195"/>
    <w:qFormat/>
    <w:uiPriority w:val="0"/>
    <w:pPr>
      <w:adjustRightInd w:val="0"/>
      <w:snapToGrid w:val="0"/>
      <w:spacing w:after="0" w:line="440" w:lineRule="exact"/>
      <w:ind w:firstLine="480"/>
    </w:pPr>
    <w:rPr>
      <w:rFonts w:asciiTheme="minorHAnsi" w:hAnsiTheme="minorHAnsi" w:eastAsiaTheme="minorEastAsia"/>
    </w:rPr>
  </w:style>
  <w:style w:type="character" w:customStyle="1" w:styleId="2197">
    <w:name w:val="km Char Char Char"/>
    <w:link w:val="2198"/>
    <w:locked/>
    <w:uiPriority w:val="0"/>
    <w:rPr>
      <w:rFonts w:ascii="FLGPEK+TimesNewRoman,Italic" w:hAnsi="FLGPEK+TimesNewRoman,Italic" w:eastAsia="Calibri"/>
      <w:sz w:val="28"/>
      <w:szCs w:val="28"/>
    </w:rPr>
  </w:style>
  <w:style w:type="paragraph" w:customStyle="1" w:styleId="2198">
    <w:name w:val="km Char"/>
    <w:basedOn w:val="1"/>
    <w:link w:val="2197"/>
    <w:qFormat/>
    <w:uiPriority w:val="0"/>
    <w:pPr>
      <w:spacing w:line="440" w:lineRule="exact"/>
      <w:ind w:firstLine="567"/>
    </w:pPr>
    <w:rPr>
      <w:rFonts w:ascii="FLGPEK+TimesNewRoman,Italic" w:hAnsi="FLGPEK+TimesNewRoman,Italic" w:eastAsia="Calibri"/>
      <w:sz w:val="28"/>
      <w:szCs w:val="28"/>
    </w:rPr>
  </w:style>
  <w:style w:type="paragraph" w:customStyle="1" w:styleId="2199">
    <w:name w:val="样式 标题 2h22Header 2nd PageA.B.C.h2 main h标题2 + 仿宋_GB2312 行距..."/>
    <w:basedOn w:val="4"/>
    <w:qFormat/>
    <w:uiPriority w:val="0"/>
    <w:pPr>
      <w:widowControl/>
      <w:spacing w:before="120" w:after="120"/>
      <w:ind w:firstLine="455" w:firstLineChars="162"/>
      <w:jc w:val="left"/>
    </w:pPr>
    <w:rPr>
      <w:rFonts w:ascii="Cambria" w:hAnsi="Arial Narrow" w:eastAsia="Cambria" w:cs="FLGPEK+TimesNewRoman,Italic"/>
      <w:b w:val="0"/>
      <w:bCs w:val="0"/>
      <w:smallCaps/>
      <w:sz w:val="28"/>
      <w:szCs w:val="21"/>
    </w:rPr>
  </w:style>
  <w:style w:type="character" w:customStyle="1" w:styleId="2200">
    <w:name w:val="注释标题 Char Char"/>
    <w:link w:val="2201"/>
    <w:locked/>
    <w:uiPriority w:val="0"/>
    <w:rPr>
      <w:rFonts w:ascii="FLGPEK+TimesNewRoman,Italic" w:hAnsi="Tahoma" w:eastAsia="FLGPEK+TimesNewRoman,Italic"/>
    </w:rPr>
  </w:style>
  <w:style w:type="paragraph" w:customStyle="1" w:styleId="2201">
    <w:name w:val="注释标题1"/>
    <w:basedOn w:val="1"/>
    <w:next w:val="1"/>
    <w:link w:val="2200"/>
    <w:qFormat/>
    <w:uiPriority w:val="0"/>
    <w:pPr>
      <w:spacing w:line="440" w:lineRule="exact"/>
      <w:jc w:val="center"/>
    </w:pPr>
    <w:rPr>
      <w:rFonts w:ascii="FLGPEK+TimesNewRoman,Italic" w:hAnsi="Tahoma" w:eastAsia="FLGPEK+TimesNewRoman,Italic"/>
      <w:sz w:val="21"/>
    </w:rPr>
  </w:style>
  <w:style w:type="character" w:customStyle="1" w:styleId="2202">
    <w:name w:val="序号列 Char"/>
    <w:link w:val="2203"/>
    <w:locked/>
    <w:uiPriority w:val="0"/>
    <w:rPr>
      <w:color w:val="000000"/>
      <w:sz w:val="24"/>
      <w:szCs w:val="24"/>
    </w:rPr>
  </w:style>
  <w:style w:type="paragraph" w:customStyle="1" w:styleId="2203">
    <w:name w:val="序号列"/>
    <w:next w:val="1"/>
    <w:link w:val="2202"/>
    <w:qFormat/>
    <w:uiPriority w:val="0"/>
    <w:pPr>
      <w:widowControl w:val="0"/>
      <w:tabs>
        <w:tab w:val="left" w:pos="360"/>
        <w:tab w:val="left" w:pos="425"/>
      </w:tabs>
      <w:spacing w:line="440" w:lineRule="exact"/>
      <w:ind w:left="1247" w:hanging="765"/>
      <w:jc w:val="both"/>
    </w:pPr>
    <w:rPr>
      <w:rFonts w:asciiTheme="minorHAnsi" w:hAnsiTheme="minorHAnsi" w:eastAsiaTheme="minorEastAsia" w:cstheme="minorBidi"/>
      <w:color w:val="000000"/>
      <w:kern w:val="2"/>
      <w:sz w:val="24"/>
      <w:szCs w:val="24"/>
      <w:lang w:val="en-US" w:eastAsia="zh-CN" w:bidi="ar-SA"/>
    </w:rPr>
  </w:style>
  <w:style w:type="character" w:customStyle="1" w:styleId="2204">
    <w:name w:val="正文    首行缩进:  2 字符1 + 首行缩进:  2 字符1 Char Char"/>
    <w:link w:val="2205"/>
    <w:locked/>
    <w:uiPriority w:val="0"/>
    <w:rPr>
      <w:rFonts w:ascii="FLGPEK+TimesNewRoman,Italic" w:hAnsi="FLGPEK+TimesNewRoman,Italic" w:eastAsia="Calibri"/>
      <w:kern w:val="24"/>
      <w:sz w:val="24"/>
      <w:szCs w:val="24"/>
    </w:rPr>
  </w:style>
  <w:style w:type="paragraph" w:customStyle="1" w:styleId="2205">
    <w:name w:val="正文    首行缩进:  2 字符1 + 首行缩进:  2 字符1"/>
    <w:basedOn w:val="1"/>
    <w:link w:val="2204"/>
    <w:qFormat/>
    <w:uiPriority w:val="0"/>
    <w:pPr>
      <w:widowControl/>
      <w:adjustRightInd w:val="0"/>
      <w:snapToGrid w:val="0"/>
      <w:ind w:firstLine="480"/>
    </w:pPr>
    <w:rPr>
      <w:rFonts w:ascii="FLGPEK+TimesNewRoman,Italic" w:hAnsi="FLGPEK+TimesNewRoman,Italic" w:eastAsia="Calibri"/>
      <w:kern w:val="24"/>
      <w:szCs w:val="24"/>
    </w:rPr>
  </w:style>
  <w:style w:type="character" w:customStyle="1" w:styleId="2206">
    <w:name w:val="样式 表文 + (西文) Arial (中文) 宋体 (复杂文种) Arial (西文)粗体 Char Char"/>
    <w:link w:val="2207"/>
    <w:locked/>
    <w:uiPriority w:val="0"/>
    <w:rPr>
      <w:rFonts w:ascii="Batang" w:hAnsi="Batang" w:eastAsia="Batang"/>
      <w:b/>
    </w:rPr>
  </w:style>
  <w:style w:type="paragraph" w:customStyle="1" w:styleId="2207">
    <w:name w:val="样式 表文 + (西文) Arial (中文) 宋体 (复杂文种) Arial (西文)粗体"/>
    <w:basedOn w:val="1167"/>
    <w:link w:val="2206"/>
    <w:qFormat/>
    <w:uiPriority w:val="0"/>
    <w:pPr>
      <w:widowControl/>
      <w:spacing w:line="360" w:lineRule="exact"/>
      <w:ind w:firstLine="200" w:firstLineChars="200"/>
    </w:pPr>
    <w:rPr>
      <w:rFonts w:ascii="Batang" w:hAnsi="Batang" w:eastAsia="Batang"/>
      <w:b/>
      <w:sz w:val="21"/>
      <w:szCs w:val="22"/>
    </w:rPr>
  </w:style>
  <w:style w:type="paragraph" w:customStyle="1" w:styleId="2208">
    <w:name w:val="Char Char5 Char Char Char Char Char Char Char Char Char21"/>
    <w:basedOn w:val="5"/>
    <w:qFormat/>
    <w:uiPriority w:val="0"/>
    <w:pPr>
      <w:tabs>
        <w:tab w:val="left" w:pos="360"/>
        <w:tab w:val="left" w:pos="900"/>
      </w:tabs>
      <w:snapToGrid w:val="0"/>
      <w:spacing w:before="120" w:after="120" w:line="440" w:lineRule="exact"/>
      <w:ind w:left="542" w:leftChars="-12" w:firstLine="200" w:firstLineChars="200"/>
      <w:jc w:val="left"/>
    </w:pPr>
    <w:rPr>
      <w:rFonts w:eastAsia="宋体" w:cs="Chicago"/>
      <w:b w:val="0"/>
      <w:bCs w:val="0"/>
      <w:sz w:val="24"/>
      <w:szCs w:val="24"/>
    </w:rPr>
  </w:style>
  <w:style w:type="character" w:customStyle="1" w:styleId="2209">
    <w:name w:val="文本正文 Char Char"/>
    <w:link w:val="2210"/>
    <w:locked/>
    <w:uiPriority w:val="0"/>
    <w:rPr>
      <w:sz w:val="24"/>
      <w:szCs w:val="24"/>
    </w:rPr>
  </w:style>
  <w:style w:type="paragraph" w:customStyle="1" w:styleId="2210">
    <w:name w:val="文本正文"/>
    <w:basedOn w:val="1"/>
    <w:link w:val="2209"/>
    <w:qFormat/>
    <w:uiPriority w:val="0"/>
    <w:pPr>
      <w:tabs>
        <w:tab w:val="left" w:pos="1080"/>
      </w:tabs>
    </w:pPr>
    <w:rPr>
      <w:rFonts w:asciiTheme="minorHAnsi" w:hAnsiTheme="minorHAnsi" w:eastAsiaTheme="minorEastAsia"/>
      <w:szCs w:val="24"/>
    </w:rPr>
  </w:style>
  <w:style w:type="paragraph" w:customStyle="1" w:styleId="2211">
    <w:name w:val="仪征1.1.1"/>
    <w:basedOn w:val="5"/>
    <w:qFormat/>
    <w:uiPriority w:val="0"/>
    <w:pPr>
      <w:tabs>
        <w:tab w:val="left" w:pos="720"/>
      </w:tabs>
      <w:adjustRightInd w:val="0"/>
      <w:spacing w:before="120" w:after="120" w:line="360" w:lineRule="exact"/>
      <w:ind w:left="720" w:hanging="720" w:firstLineChars="200"/>
      <w:jc w:val="left"/>
    </w:pPr>
    <w:rPr>
      <w:rFonts w:ascii="FLGPEK+TimesNewRoman,Italic" w:hAnsi="FLGPEK+TimesNewRoman,Italic" w:eastAsia="宋体" w:cs="Garamond"/>
      <w:color w:val="000000"/>
      <w:kern w:val="0"/>
      <w:sz w:val="30"/>
    </w:rPr>
  </w:style>
  <w:style w:type="paragraph" w:customStyle="1" w:styleId="2212">
    <w:name w:val="plaintext"/>
    <w:basedOn w:val="1"/>
    <w:qFormat/>
    <w:uiPriority w:val="0"/>
    <w:pPr>
      <w:widowControl/>
      <w:spacing w:before="100" w:beforeAutospacing="1" w:after="100" w:afterAutospacing="1" w:line="240" w:lineRule="auto"/>
      <w:ind w:firstLine="0" w:firstLineChars="0"/>
      <w:jc w:val="left"/>
    </w:pPr>
    <w:rPr>
      <w:rFonts w:ascii="宋体" w:hAnsi="宋体" w:cs="Times New Roman"/>
      <w:kern w:val="0"/>
      <w:szCs w:val="20"/>
    </w:rPr>
  </w:style>
  <w:style w:type="paragraph" w:customStyle="1" w:styleId="2213">
    <w:name w:val="Char Char5 Char Char Char Char Char Char Char Char Char Char Char Char Char Char Char1 Char"/>
    <w:basedOn w:val="5"/>
    <w:qFormat/>
    <w:uiPriority w:val="0"/>
    <w:pPr>
      <w:widowControl/>
      <w:tabs>
        <w:tab w:val="left" w:pos="360"/>
        <w:tab w:val="left" w:pos="900"/>
      </w:tabs>
      <w:snapToGrid w:val="0"/>
      <w:spacing w:before="120" w:after="120"/>
      <w:ind w:left="542" w:leftChars="-12" w:firstLine="200" w:firstLineChars="200"/>
      <w:jc w:val="left"/>
    </w:pPr>
    <w:rPr>
      <w:rFonts w:ascii="Arial" w:hAnsi="Arial" w:eastAsia="宋体"/>
      <w:szCs w:val="24"/>
    </w:rPr>
  </w:style>
  <w:style w:type="paragraph" w:customStyle="1" w:styleId="2214">
    <w:name w:val="样式 标题 2 + 宋体 行距: 最小值 20 磅"/>
    <w:basedOn w:val="4"/>
    <w:qFormat/>
    <w:uiPriority w:val="0"/>
    <w:pPr>
      <w:tabs>
        <w:tab w:val="left" w:pos="840"/>
        <w:tab w:val="left" w:pos="1400"/>
        <w:tab w:val="left" w:pos="3765"/>
      </w:tabs>
      <w:spacing w:before="120" w:after="120" w:line="400" w:lineRule="atLeast"/>
      <w:ind w:left="1400" w:hanging="420"/>
      <w:jc w:val="left"/>
    </w:pPr>
    <w:rPr>
      <w:rFonts w:ascii="宋体" w:hAnsi="宋体" w:eastAsia="宋体"/>
      <w:bCs w:val="0"/>
      <w:color w:val="000000"/>
      <w:sz w:val="28"/>
      <w:szCs w:val="20"/>
    </w:rPr>
  </w:style>
  <w:style w:type="paragraph" w:customStyle="1" w:styleId="2215">
    <w:name w:val="style26"/>
    <w:basedOn w:val="1"/>
    <w:qFormat/>
    <w:uiPriority w:val="0"/>
    <w:pPr>
      <w:widowControl/>
      <w:spacing w:before="100" w:beforeAutospacing="1" w:after="100" w:afterAutospacing="1" w:line="440" w:lineRule="exact"/>
      <w:jc w:val="left"/>
    </w:pPr>
    <w:rPr>
      <w:rFonts w:ascii="FLGPEK+TimesNewRoman,Italic" w:hAnsi="FLGPEK+TimesNewRoman,Italic" w:cs="FLGPEK+TimesNewRoman,Italic"/>
      <w:kern w:val="0"/>
    </w:rPr>
  </w:style>
  <w:style w:type="paragraph" w:customStyle="1" w:styleId="2216">
    <w:name w:val="2应急预案 图标标题"/>
    <w:basedOn w:val="1"/>
    <w:qFormat/>
    <w:uiPriority w:val="0"/>
    <w:pPr>
      <w:spacing w:beforeLines="100" w:afterLines="50"/>
      <w:ind w:firstLine="480"/>
      <w:jc w:val="center"/>
    </w:pPr>
    <w:rPr>
      <w:rFonts w:cs="Times New Roman"/>
      <w:b/>
      <w:sz w:val="28"/>
      <w:szCs w:val="28"/>
    </w:rPr>
  </w:style>
  <w:style w:type="paragraph" w:customStyle="1" w:styleId="2217">
    <w:name w:val="reader-word-layer reader-word-s1-10"/>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218">
    <w:name w:val="样式 首行缩进:  1.01 厘米 行距: 固定值 22 磅"/>
    <w:basedOn w:val="1"/>
    <w:qFormat/>
    <w:uiPriority w:val="0"/>
    <w:pPr>
      <w:spacing w:line="440" w:lineRule="exact"/>
      <w:ind w:firstLine="570"/>
    </w:pPr>
    <w:rPr>
      <w:rFonts w:cs="Times New Roman"/>
      <w:szCs w:val="20"/>
    </w:rPr>
  </w:style>
  <w:style w:type="paragraph" w:customStyle="1" w:styleId="2219">
    <w:name w:val="目录3"/>
    <w:basedOn w:val="1"/>
    <w:next w:val="1"/>
    <w:qFormat/>
    <w:uiPriority w:val="0"/>
    <w:pPr>
      <w:widowControl/>
      <w:tabs>
        <w:tab w:val="left" w:leader="dot" w:pos="8503"/>
      </w:tabs>
      <w:spacing w:line="317" w:lineRule="atLeast"/>
      <w:ind w:left="419" w:firstLine="419" w:firstLineChars="0"/>
    </w:pPr>
    <w:rPr>
      <w:rFonts w:cs="Times New Roman"/>
      <w:color w:val="000000"/>
      <w:kern w:val="0"/>
      <w:sz w:val="21"/>
      <w:szCs w:val="20"/>
      <w:u w:color="000000"/>
    </w:rPr>
  </w:style>
  <w:style w:type="paragraph" w:customStyle="1" w:styleId="2220">
    <w:name w:val="样式 样式 样式 样式 样式 样式 样式 正文缩进 + 首行缩进:  2 字符1 + 首行缩进:  2 字符1 + 四号 + 首..."/>
    <w:basedOn w:val="1"/>
    <w:qFormat/>
    <w:uiPriority w:val="0"/>
    <w:pPr>
      <w:spacing w:line="520" w:lineRule="exact"/>
      <w:ind w:firstLine="592"/>
    </w:pPr>
    <w:rPr>
      <w:rFonts w:ascii="仿宋_GB2312" w:eastAsia="仿宋_GB2312" w:cs="Times New Roman"/>
      <w:kern w:val="0"/>
      <w:sz w:val="28"/>
      <w:szCs w:val="20"/>
    </w:rPr>
  </w:style>
  <w:style w:type="paragraph" w:customStyle="1" w:styleId="2221">
    <w:name w:val="公式1"/>
    <w:basedOn w:val="1"/>
    <w:qFormat/>
    <w:uiPriority w:val="0"/>
    <w:pPr>
      <w:widowControl/>
      <w:adjustRightInd w:val="0"/>
      <w:snapToGrid w:val="0"/>
      <w:spacing w:beforeLines="50" w:afterLines="50"/>
      <w:ind w:firstLine="400" w:firstLineChars="400"/>
    </w:pPr>
    <w:rPr>
      <w:rFonts w:ascii="宋体" w:cs="Times New Roman"/>
      <w:bCs/>
      <w:spacing w:val="5"/>
      <w:kern w:val="0"/>
      <w:sz w:val="28"/>
      <w:szCs w:val="20"/>
    </w:rPr>
  </w:style>
  <w:style w:type="paragraph" w:customStyle="1" w:styleId="2222">
    <w:name w:val="样式 样式 标题 3标题3H3h33rd level第二层条头小标题小节标题标题 3 Char Char一海港标... +1"/>
    <w:basedOn w:val="854"/>
    <w:qFormat/>
    <w:uiPriority w:val="0"/>
    <w:pPr>
      <w:spacing w:beforeLines="50" w:afterLines="50" w:line="360" w:lineRule="auto"/>
      <w:ind w:left="0" w:firstLine="0"/>
    </w:pPr>
    <w:rPr>
      <w:rFonts w:ascii="宋体" w:hAnsi="Tahoma" w:eastAsia="宋体"/>
      <w:b/>
      <w:kern w:val="2"/>
    </w:rPr>
  </w:style>
  <w:style w:type="paragraph" w:customStyle="1" w:styleId="2223">
    <w:name w:val="方框"/>
    <w:basedOn w:val="1"/>
    <w:qFormat/>
    <w:uiPriority w:val="0"/>
    <w:pPr>
      <w:widowControl/>
      <w:spacing w:line="240" w:lineRule="atLeast"/>
    </w:pPr>
    <w:rPr>
      <w:rFonts w:ascii="宋体" w:cs="Times New Roman"/>
      <w:kern w:val="0"/>
      <w:szCs w:val="20"/>
    </w:rPr>
  </w:style>
  <w:style w:type="paragraph" w:customStyle="1" w:styleId="2224">
    <w:name w:val="1表格"/>
    <w:basedOn w:val="1"/>
    <w:qFormat/>
    <w:uiPriority w:val="0"/>
    <w:pPr>
      <w:snapToGrid w:val="0"/>
      <w:spacing w:line="360" w:lineRule="exact"/>
      <w:ind w:firstLine="0" w:firstLineChars="0"/>
      <w:jc w:val="center"/>
      <w:outlineLvl w:val="4"/>
    </w:pPr>
    <w:rPr>
      <w:rFonts w:cs="Times New Roman"/>
      <w:spacing w:val="4"/>
      <w:sz w:val="21"/>
      <w:szCs w:val="24"/>
    </w:rPr>
  </w:style>
  <w:style w:type="paragraph" w:customStyle="1" w:styleId="2225">
    <w:name w:val="海港标题2"/>
    <w:basedOn w:val="4"/>
    <w:qFormat/>
    <w:uiPriority w:val="0"/>
    <w:pPr>
      <w:keepNext w:val="0"/>
      <w:keepLines w:val="0"/>
      <w:tabs>
        <w:tab w:val="left" w:pos="576"/>
      </w:tabs>
      <w:adjustRightInd w:val="0"/>
      <w:spacing w:before="240" w:after="240" w:line="360" w:lineRule="exact"/>
      <w:ind w:left="576" w:hanging="576"/>
    </w:pPr>
    <w:rPr>
      <w:rFonts w:ascii="Tahoma" w:hAnsi="Tahoma" w:eastAsia="华文仿宋" w:cs="Garamond"/>
      <w:smallCaps/>
      <w:kern w:val="0"/>
      <w:sz w:val="24"/>
      <w:szCs w:val="21"/>
    </w:rPr>
  </w:style>
  <w:style w:type="paragraph" w:customStyle="1" w:styleId="2226">
    <w:name w:val="论文"/>
    <w:basedOn w:val="1"/>
    <w:qFormat/>
    <w:uiPriority w:val="0"/>
    <w:pPr>
      <w:spacing w:line="240" w:lineRule="auto"/>
      <w:ind w:firstLine="0" w:firstLineChars="0"/>
    </w:pPr>
    <w:rPr>
      <w:rFonts w:ascii="黑体" w:eastAsia="黑体" w:cs="Times New Roman"/>
      <w:sz w:val="28"/>
      <w:szCs w:val="20"/>
    </w:rPr>
  </w:style>
  <w:style w:type="paragraph" w:customStyle="1" w:styleId="2227">
    <w:name w:val="正文格式111"/>
    <w:basedOn w:val="1"/>
    <w:qFormat/>
    <w:uiPriority w:val="0"/>
    <w:pPr>
      <w:snapToGrid w:val="0"/>
      <w:spacing w:line="300" w:lineRule="auto"/>
      <w:ind w:firstLine="480"/>
    </w:pPr>
    <w:rPr>
      <w:rFonts w:ascii="宋体" w:hAnsi="宋体" w:cs="Times New Roman"/>
      <w:szCs w:val="20"/>
    </w:rPr>
  </w:style>
  <w:style w:type="paragraph" w:customStyle="1" w:styleId="2228">
    <w:name w:val="样式 样式 首行缩进:  1.69 厘米 + (中文) 宋体"/>
    <w:basedOn w:val="1"/>
    <w:qFormat/>
    <w:uiPriority w:val="0"/>
    <w:pPr>
      <w:tabs>
        <w:tab w:val="left" w:pos="-180"/>
      </w:tabs>
      <w:adjustRightInd w:val="0"/>
      <w:spacing w:before="60" w:line="440" w:lineRule="exact"/>
    </w:pPr>
    <w:rPr>
      <w:rFonts w:ascii="FLGPEK+TimesNewRoman,Italic" w:hAnsi="Tahoma" w:eastAsia="华文仿宋" w:cs="Garamond"/>
      <w:kern w:val="0"/>
      <w:szCs w:val="24"/>
    </w:rPr>
  </w:style>
  <w:style w:type="paragraph" w:customStyle="1" w:styleId="2229">
    <w:name w:val="表头图名"/>
    <w:basedOn w:val="37"/>
    <w:qFormat/>
    <w:uiPriority w:val="0"/>
    <w:pPr>
      <w:ind w:left="900" w:hanging="480"/>
    </w:pPr>
    <w:rPr>
      <w:rFonts w:ascii="黑体" w:hAnsi="Times New Roman" w:eastAsia="黑体"/>
      <w:sz w:val="24"/>
      <w:szCs w:val="24"/>
    </w:rPr>
  </w:style>
  <w:style w:type="paragraph" w:customStyle="1" w:styleId="2230">
    <w:name w:val="WW-列表 2"/>
    <w:basedOn w:val="1"/>
    <w:qFormat/>
    <w:uiPriority w:val="0"/>
    <w:pPr>
      <w:suppressAutoHyphens/>
      <w:spacing w:line="440" w:lineRule="exact"/>
      <w:ind w:left="840" w:hanging="420"/>
    </w:pPr>
    <w:rPr>
      <w:rFonts w:ascii="宋体" w:hAnsi="宋体" w:cs="Times New Roman"/>
      <w:szCs w:val="20"/>
      <w:lang w:eastAsia="ar-SA"/>
    </w:rPr>
  </w:style>
  <w:style w:type="paragraph" w:customStyle="1" w:styleId="2231">
    <w:name w:val="样式 标题 1 + 左侧:  0 厘米 首行缩进:  0 厘米"/>
    <w:basedOn w:val="3"/>
    <w:qFormat/>
    <w:uiPriority w:val="0"/>
    <w:pPr>
      <w:tabs>
        <w:tab w:val="left" w:pos="0"/>
        <w:tab w:val="left" w:pos="432"/>
        <w:tab w:val="left" w:pos="1200"/>
      </w:tabs>
      <w:autoSpaceDE w:val="0"/>
      <w:autoSpaceDN w:val="0"/>
      <w:adjustRightInd w:val="0"/>
      <w:spacing w:line="440" w:lineRule="exact"/>
      <w:ind w:left="432" w:hanging="432" w:firstLineChars="200"/>
    </w:pPr>
    <w:rPr>
      <w:rFonts w:ascii="Tahoma" w:hAnsi="Tahoma" w:eastAsia="宋体" w:cs="Garamond"/>
      <w:bCs w:val="0"/>
      <w:color w:val="000000"/>
      <w:sz w:val="28"/>
      <w:szCs w:val="24"/>
    </w:rPr>
  </w:style>
  <w:style w:type="paragraph" w:customStyle="1" w:styleId="2232">
    <w:name w:val="列表编号 51"/>
    <w:basedOn w:val="1"/>
    <w:qFormat/>
    <w:uiPriority w:val="0"/>
    <w:pPr>
      <w:tabs>
        <w:tab w:val="left" w:pos="2040"/>
      </w:tabs>
      <w:spacing w:line="480" w:lineRule="exact"/>
      <w:ind w:left="2040" w:leftChars="800" w:hanging="360" w:hangingChars="200"/>
    </w:pPr>
    <w:rPr>
      <w:rFonts w:ascii="Tahoma" w:hAnsi="Tahoma" w:cs="Garamond"/>
      <w:kern w:val="0"/>
      <w:szCs w:val="24"/>
    </w:rPr>
  </w:style>
  <w:style w:type="paragraph" w:customStyle="1" w:styleId="2233">
    <w:name w:val="目录1.1"/>
    <w:basedOn w:val="1"/>
    <w:qFormat/>
    <w:uiPriority w:val="0"/>
    <w:pPr>
      <w:spacing w:line="440" w:lineRule="exact"/>
    </w:pPr>
    <w:rPr>
      <w:rFonts w:ascii="Tahoma" w:hAnsi="Tahoma" w:cs="Garamond"/>
      <w:kern w:val="0"/>
      <w:szCs w:val="24"/>
    </w:rPr>
  </w:style>
  <w:style w:type="paragraph" w:customStyle="1" w:styleId="2234">
    <w:name w:val="副标题3"/>
    <w:basedOn w:val="1"/>
    <w:qFormat/>
    <w:uiPriority w:val="0"/>
    <w:pPr>
      <w:keepLines/>
      <w:tabs>
        <w:tab w:val="left" w:pos="672"/>
        <w:tab w:val="left" w:pos="720"/>
        <w:tab w:val="left" w:pos="2160"/>
      </w:tabs>
      <w:adjustRightInd w:val="0"/>
      <w:snapToGrid w:val="0"/>
      <w:spacing w:line="400" w:lineRule="atLeast"/>
      <w:ind w:left="672" w:hanging="348"/>
      <w:outlineLvl w:val="3"/>
    </w:pPr>
    <w:rPr>
      <w:rFonts w:ascii="FLGPEK+TimesNewRoman,Italic" w:cs="Times New Roman"/>
      <w:kern w:val="0"/>
      <w:szCs w:val="24"/>
    </w:rPr>
  </w:style>
  <w:style w:type="paragraph" w:customStyle="1" w:styleId="2235">
    <w:name w:val="样式 仿宋_GB2312 四号 行距: 1.5 倍行距 首行缩进:  2 字符"/>
    <w:basedOn w:val="1"/>
    <w:qFormat/>
    <w:uiPriority w:val="0"/>
    <w:pPr>
      <w:ind w:firstLine="560"/>
    </w:pPr>
    <w:rPr>
      <w:rFonts w:ascii="Cambria" w:eastAsia="Cambria" w:cs="FLGPEK+TimesNewRoman,Italic"/>
      <w:kern w:val="0"/>
      <w:sz w:val="28"/>
      <w:szCs w:val="24"/>
    </w:rPr>
  </w:style>
  <w:style w:type="paragraph" w:customStyle="1" w:styleId="2236">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237">
    <w:name w:val="ÕýÎÄ"/>
    <w:qFormat/>
    <w:uiPriority w:val="0"/>
    <w:pPr>
      <w:widowControl w:val="0"/>
      <w:overflowPunct w:val="0"/>
      <w:autoSpaceDE w:val="0"/>
      <w:autoSpaceDN w:val="0"/>
      <w:adjustRightInd w:val="0"/>
      <w:spacing w:line="357" w:lineRule="atLeast"/>
      <w:jc w:val="both"/>
    </w:pPr>
    <w:rPr>
      <w:rFonts w:ascii="Times New Roman" w:hAnsi="Times New Roman" w:eastAsia="宋体" w:cs="Times New Roman"/>
      <w:color w:val="000000"/>
      <w:sz w:val="21"/>
      <w:lang w:val="en-US" w:eastAsia="zh-CN" w:bidi="ar-SA"/>
    </w:rPr>
  </w:style>
  <w:style w:type="paragraph" w:customStyle="1" w:styleId="2238">
    <w:name w:val="4标题(治)"/>
    <w:basedOn w:val="1"/>
    <w:next w:val="1"/>
    <w:qFormat/>
    <w:uiPriority w:val="0"/>
    <w:pPr>
      <w:adjustRightInd w:val="0"/>
      <w:snapToGrid w:val="0"/>
      <w:outlineLvl w:val="3"/>
    </w:pPr>
    <w:rPr>
      <w:rFonts w:eastAsia="黑体" w:cs="Times New Roman"/>
      <w:b/>
      <w:bCs/>
      <w:kern w:val="0"/>
      <w:sz w:val="28"/>
      <w:szCs w:val="20"/>
    </w:rPr>
  </w:style>
  <w:style w:type="paragraph" w:customStyle="1" w:styleId="2239">
    <w:name w:val="小四表格"/>
    <w:basedOn w:val="1"/>
    <w:next w:val="1"/>
    <w:qFormat/>
    <w:uiPriority w:val="0"/>
    <w:pPr>
      <w:snapToGrid w:val="0"/>
      <w:spacing w:line="440" w:lineRule="exact"/>
      <w:jc w:val="center"/>
    </w:pPr>
    <w:rPr>
      <w:rFonts w:ascii="Arial" w:hAnsi="Arial" w:cs="Times New Roman"/>
      <w:szCs w:val="20"/>
    </w:rPr>
  </w:style>
  <w:style w:type="paragraph" w:customStyle="1" w:styleId="2240">
    <w:name w:val="样式001"/>
    <w:basedOn w:val="3"/>
    <w:qFormat/>
    <w:uiPriority w:val="0"/>
    <w:pPr>
      <w:pageBreakBefore/>
      <w:widowControl/>
    </w:pPr>
    <w:rPr>
      <w:b w:val="0"/>
      <w:bCs w:val="0"/>
      <w:spacing w:val="16"/>
      <w:sz w:val="28"/>
      <w:szCs w:val="28"/>
    </w:rPr>
  </w:style>
  <w:style w:type="paragraph" w:customStyle="1" w:styleId="2241">
    <w:name w:val="样式 标题 2标题2H2h2第一层条 + 段前: 7.8 磅"/>
    <w:basedOn w:val="4"/>
    <w:qFormat/>
    <w:uiPriority w:val="0"/>
    <w:pPr>
      <w:keepNext w:val="0"/>
      <w:keepLines w:val="0"/>
      <w:adjustRightInd w:val="0"/>
      <w:spacing w:before="240" w:after="240" w:line="360" w:lineRule="exact"/>
      <w:ind w:left="578" w:hanging="578"/>
    </w:pPr>
    <w:rPr>
      <w:rFonts w:ascii="Tahoma" w:hAnsi="Tahoma" w:eastAsia="华文仿宋" w:cs="Garamond"/>
      <w:smallCaps/>
      <w:kern w:val="0"/>
      <w:sz w:val="24"/>
      <w:szCs w:val="21"/>
    </w:rPr>
  </w:style>
  <w:style w:type="paragraph" w:customStyle="1" w:styleId="2242">
    <w:name w:val="表粗"/>
    <w:basedOn w:val="1"/>
    <w:qFormat/>
    <w:uiPriority w:val="0"/>
    <w:pPr>
      <w:spacing w:line="360" w:lineRule="exact"/>
      <w:jc w:val="center"/>
      <w:outlineLvl w:val="8"/>
    </w:pPr>
    <w:rPr>
      <w:rFonts w:ascii="Batang" w:hAnsi="Batang" w:eastAsia="华文仿宋" w:cs="Garamond"/>
      <w:b/>
      <w:kern w:val="0"/>
      <w:szCs w:val="24"/>
    </w:rPr>
  </w:style>
  <w:style w:type="paragraph" w:customStyle="1" w:styleId="2243">
    <w:name w:val="表格文字gh"/>
    <w:basedOn w:val="1"/>
    <w:qFormat/>
    <w:uiPriority w:val="0"/>
    <w:pPr>
      <w:spacing w:line="280" w:lineRule="exact"/>
      <w:jc w:val="center"/>
    </w:pPr>
    <w:rPr>
      <w:rFonts w:ascii="华文仿宋" w:hAnsi="Tahoma" w:eastAsia="华文仿宋" w:cs="Garamond"/>
      <w:color w:val="000000"/>
      <w:kern w:val="0"/>
      <w:szCs w:val="24"/>
    </w:rPr>
  </w:style>
  <w:style w:type="paragraph" w:customStyle="1" w:styleId="2244">
    <w:name w:val="Identation 2"/>
    <w:qFormat/>
    <w:uiPriority w:val="0"/>
    <w:pPr>
      <w:overflowPunct w:val="0"/>
      <w:autoSpaceDE w:val="0"/>
      <w:autoSpaceDN w:val="0"/>
      <w:adjustRightInd w:val="0"/>
      <w:spacing w:before="120" w:after="60" w:line="288" w:lineRule="auto"/>
      <w:ind w:left="432"/>
      <w:jc w:val="both"/>
    </w:pPr>
    <w:rPr>
      <w:rFonts w:ascii="Chicago" w:hAnsi="Chicago" w:eastAsia="Courier New" w:cs="Chicago"/>
      <w:color w:val="000000"/>
      <w:sz w:val="24"/>
      <w:lang w:val="en-US" w:eastAsia="zh-CN" w:bidi="ar-SA"/>
    </w:rPr>
  </w:style>
  <w:style w:type="paragraph" w:customStyle="1" w:styleId="2245">
    <w:name w:val="框图文字1"/>
    <w:basedOn w:val="1"/>
    <w:qFormat/>
    <w:uiPriority w:val="0"/>
    <w:pPr>
      <w:adjustRightInd w:val="0"/>
      <w:snapToGrid w:val="0"/>
      <w:spacing w:beforeLines="25" w:line="440" w:lineRule="exact"/>
      <w:jc w:val="center"/>
    </w:pPr>
    <w:rPr>
      <w:rFonts w:ascii="Tahoma" w:hAnsi="Tahoma" w:cs="Garamond"/>
      <w:kern w:val="0"/>
      <w:sz w:val="18"/>
      <w:szCs w:val="24"/>
    </w:rPr>
  </w:style>
  <w:style w:type="paragraph" w:customStyle="1" w:styleId="2246">
    <w:name w:val="Char Char1 Char Char Char Char Char Char Char Char Char Char Char Char Char"/>
    <w:basedOn w:val="5"/>
    <w:qFormat/>
    <w:uiPriority w:val="0"/>
    <w:pPr>
      <w:tabs>
        <w:tab w:val="left" w:pos="360"/>
        <w:tab w:val="left" w:pos="900"/>
      </w:tabs>
      <w:snapToGrid w:val="0"/>
      <w:spacing w:before="120" w:after="120"/>
      <w:ind w:left="542" w:leftChars="-12" w:firstLine="200" w:firstLineChars="200"/>
      <w:jc w:val="left"/>
    </w:pPr>
    <w:rPr>
      <w:b w:val="0"/>
      <w:bCs w:val="0"/>
      <w:sz w:val="24"/>
      <w:szCs w:val="24"/>
    </w:rPr>
  </w:style>
  <w:style w:type="paragraph" w:customStyle="1" w:styleId="2247">
    <w:name w:val="样式 正文文本正文文字 + 仿宋_GB2312 四号 红色 首行缩进:  2 字符"/>
    <w:basedOn w:val="34"/>
    <w:qFormat/>
    <w:uiPriority w:val="0"/>
    <w:pPr>
      <w:adjustRightInd w:val="0"/>
      <w:snapToGrid w:val="0"/>
      <w:spacing w:before="60" w:after="60" w:line="264" w:lineRule="auto"/>
      <w:ind w:firstLine="560"/>
    </w:pPr>
    <w:rPr>
      <w:rFonts w:ascii="华文仿宋" w:hAnsi="Tahoma" w:eastAsia="华文仿宋" w:cs="Garamond"/>
      <w:color w:val="FF0000"/>
      <w:kern w:val="0"/>
      <w:szCs w:val="24"/>
    </w:rPr>
  </w:style>
  <w:style w:type="paragraph" w:customStyle="1" w:styleId="2248">
    <w:name w:val="我的表格格子"/>
    <w:basedOn w:val="1"/>
    <w:qFormat/>
    <w:uiPriority w:val="0"/>
    <w:pPr>
      <w:spacing w:line="360" w:lineRule="exact"/>
      <w:ind w:firstLine="0" w:firstLineChars="0"/>
      <w:jc w:val="center"/>
    </w:pPr>
    <w:rPr>
      <w:rFonts w:hAnsi="宋体" w:cs="Times New Roman"/>
      <w:color w:val="000000"/>
      <w:sz w:val="21"/>
      <w:szCs w:val="20"/>
    </w:rPr>
  </w:style>
  <w:style w:type="paragraph" w:customStyle="1" w:styleId="2249">
    <w:name w:val="样式 标题 2 + 两端对齐 段前: 12 磅 段后: 12 磅 行距: 多倍行距 1.3 字行"/>
    <w:basedOn w:val="4"/>
    <w:qFormat/>
    <w:uiPriority w:val="0"/>
    <w:pPr>
      <w:adjustRightInd w:val="0"/>
      <w:spacing w:before="120" w:after="120" w:line="312" w:lineRule="auto"/>
    </w:pPr>
    <w:rPr>
      <w:rFonts w:ascii="Tahoma" w:hAnsi="Tahoma" w:eastAsia="Calibri" w:cs="Garamond"/>
      <w:smallCaps/>
      <w:color w:val="000000"/>
      <w:sz w:val="28"/>
      <w:szCs w:val="21"/>
    </w:rPr>
  </w:style>
  <w:style w:type="paragraph" w:customStyle="1" w:styleId="2250">
    <w:name w:val="样式 表格标题 + 段前: 0.5 行1"/>
    <w:basedOn w:val="1"/>
    <w:qFormat/>
    <w:uiPriority w:val="0"/>
    <w:pPr>
      <w:autoSpaceDE w:val="0"/>
      <w:autoSpaceDN w:val="0"/>
      <w:adjustRightInd w:val="0"/>
      <w:spacing w:beforeLines="50" w:line="400" w:lineRule="exact"/>
      <w:ind w:firstLine="480"/>
      <w:jc w:val="center"/>
    </w:pPr>
    <w:rPr>
      <w:rFonts w:ascii="黑体" w:eastAsia="黑体" w:cs="宋体"/>
      <w:bCs/>
      <w:szCs w:val="20"/>
      <w:lang w:val="zh-CN"/>
    </w:rPr>
  </w:style>
  <w:style w:type="paragraph" w:customStyle="1" w:styleId="2251">
    <w:name w:val="文章附标题"/>
    <w:basedOn w:val="1"/>
    <w:next w:val="3"/>
    <w:qFormat/>
    <w:uiPriority w:val="0"/>
    <w:pPr>
      <w:widowControl/>
      <w:spacing w:before="187" w:after="175" w:line="374" w:lineRule="atLeast"/>
      <w:ind w:firstLine="0" w:firstLineChars="0"/>
      <w:jc w:val="center"/>
    </w:pPr>
    <w:rPr>
      <w:rFonts w:cs="Times New Roman"/>
      <w:color w:val="000000"/>
      <w:kern w:val="0"/>
      <w:sz w:val="36"/>
      <w:szCs w:val="20"/>
      <w:u w:color="000000"/>
    </w:rPr>
  </w:style>
  <w:style w:type="paragraph" w:customStyle="1" w:styleId="2252">
    <w:name w:val="标题一"/>
    <w:basedOn w:val="1"/>
    <w:next w:val="3"/>
    <w:qFormat/>
    <w:uiPriority w:val="0"/>
    <w:pPr>
      <w:tabs>
        <w:tab w:val="left" w:pos="425"/>
        <w:tab w:val="left" w:pos="720"/>
      </w:tabs>
      <w:spacing w:line="440" w:lineRule="exact"/>
      <w:ind w:left="425" w:hanging="425"/>
    </w:pPr>
    <w:rPr>
      <w:rFonts w:cs="Times New Roman"/>
      <w:sz w:val="28"/>
      <w:szCs w:val="20"/>
    </w:rPr>
  </w:style>
  <w:style w:type="paragraph" w:customStyle="1" w:styleId="2253">
    <w:name w:val="引文目录标题1"/>
    <w:basedOn w:val="1"/>
    <w:next w:val="1"/>
    <w:qFormat/>
    <w:uiPriority w:val="0"/>
    <w:pPr>
      <w:spacing w:before="120" w:line="440" w:lineRule="exact"/>
    </w:pPr>
    <w:rPr>
      <w:rFonts w:ascii="Verdana" w:hAnsi="Verdana" w:cs="Batang"/>
      <w:b/>
      <w:kern w:val="0"/>
      <w:szCs w:val="24"/>
    </w:rPr>
  </w:style>
  <w:style w:type="paragraph" w:customStyle="1" w:styleId="2254">
    <w:name w:val="正文段落 Char Char Char Char Char Char"/>
    <w:basedOn w:val="1"/>
    <w:qFormat/>
    <w:uiPriority w:val="0"/>
    <w:pPr>
      <w:spacing w:line="500" w:lineRule="exact"/>
      <w:ind w:firstLine="480"/>
      <w:jc w:val="center"/>
    </w:pPr>
    <w:rPr>
      <w:rFonts w:ascii="Arial Narrow" w:hAnsi="Arial Narrow" w:eastAsia="汉鼎简书宋" w:cs="Times New Roman"/>
      <w:b/>
      <w:kern w:val="0"/>
      <w:szCs w:val="20"/>
    </w:rPr>
  </w:style>
  <w:style w:type="paragraph" w:customStyle="1" w:styleId="2255">
    <w:name w:val="表格下注"/>
    <w:qFormat/>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2256">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rFonts w:cs="Times New Roman"/>
      <w:b/>
      <w:spacing w:val="20"/>
      <w:szCs w:val="20"/>
    </w:rPr>
  </w:style>
  <w:style w:type="paragraph" w:customStyle="1" w:styleId="2257">
    <w:name w:val="redtext"/>
    <w:basedOn w:val="1"/>
    <w:qFormat/>
    <w:uiPriority w:val="0"/>
    <w:pPr>
      <w:widowControl/>
      <w:spacing w:before="100" w:beforeAutospacing="1" w:after="100" w:afterAutospacing="1" w:line="400" w:lineRule="atLeast"/>
      <w:jc w:val="left"/>
    </w:pPr>
    <w:rPr>
      <w:rFonts w:ascii="Batang" w:hAnsi="Batang" w:eastAsia="华文仿宋" w:cs="Garamond"/>
      <w:kern w:val="0"/>
      <w:sz w:val="20"/>
      <w:szCs w:val="24"/>
    </w:rPr>
  </w:style>
  <w:style w:type="paragraph" w:customStyle="1" w:styleId="2258">
    <w:name w:val="1目录"/>
    <w:basedOn w:val="463"/>
    <w:qFormat/>
    <w:uiPriority w:val="0"/>
    <w:pPr>
      <w:keepNext w:val="0"/>
      <w:tabs>
        <w:tab w:val="left" w:leader="middleDot" w:pos="8190"/>
      </w:tabs>
      <w:spacing w:beforeLines="0" w:afterLines="0"/>
      <w:ind w:left="80" w:leftChars="80"/>
      <w:jc w:val="both"/>
    </w:pPr>
    <w:rPr>
      <w:rFonts w:eastAsia="宋体"/>
      <w:b w:val="0"/>
      <w:bCs/>
    </w:rPr>
  </w:style>
  <w:style w:type="paragraph" w:customStyle="1" w:styleId="2259">
    <w:name w:val="样式 目录 2 + 行距: 1.5 倍行距"/>
    <w:basedOn w:val="74"/>
    <w:qFormat/>
    <w:uiPriority w:val="0"/>
    <w:pPr>
      <w:tabs>
        <w:tab w:val="left" w:pos="1260"/>
        <w:tab w:val="right" w:leader="dot" w:pos="8302"/>
        <w:tab w:val="right" w:leader="dot" w:pos="8777"/>
      </w:tabs>
      <w:ind w:firstLine="50" w:firstLineChars="50"/>
    </w:pPr>
    <w:rPr>
      <w:rFonts w:ascii="宋体" w:hAnsi="宋体" w:eastAsia="仿宋_GB2312" w:cs="宋体"/>
      <w:bCs/>
      <w:iCs/>
      <w:kern w:val="0"/>
      <w:sz w:val="28"/>
      <w:szCs w:val="24"/>
    </w:rPr>
  </w:style>
  <w:style w:type="paragraph" w:customStyle="1" w:styleId="2260">
    <w:name w:val="1级标题"/>
    <w:basedOn w:val="1"/>
    <w:qFormat/>
    <w:uiPriority w:val="0"/>
    <w:pPr>
      <w:spacing w:line="249" w:lineRule="auto"/>
      <w:ind w:firstLine="480"/>
    </w:pPr>
    <w:rPr>
      <w:rFonts w:ascii="黑体" w:hAnsi="宋体" w:eastAsia="黑体" w:cs="Times New Roman"/>
      <w:spacing w:val="5"/>
      <w:sz w:val="29"/>
      <w:szCs w:val="29"/>
    </w:rPr>
  </w:style>
  <w:style w:type="paragraph" w:customStyle="1" w:styleId="2261">
    <w:name w:val="Char1 Char Char"/>
    <w:basedOn w:val="1"/>
    <w:qFormat/>
    <w:uiPriority w:val="0"/>
    <w:pPr>
      <w:widowControl/>
      <w:spacing w:after="160" w:line="240" w:lineRule="exact"/>
      <w:ind w:firstLine="480"/>
      <w:jc w:val="left"/>
    </w:pPr>
    <w:rPr>
      <w:rFonts w:ascii="Verdana" w:hAnsi="Verdana" w:cs="Times New Roman"/>
      <w:kern w:val="0"/>
      <w:sz w:val="20"/>
      <w:szCs w:val="20"/>
      <w:lang w:eastAsia="en-US"/>
    </w:rPr>
  </w:style>
  <w:style w:type="paragraph" w:customStyle="1" w:styleId="2262">
    <w:name w:val="Char Char 字元 字元 字元 Char Char Char Char"/>
    <w:basedOn w:val="1"/>
    <w:qFormat/>
    <w:uiPriority w:val="0"/>
    <w:pPr>
      <w:adjustRightInd w:val="0"/>
    </w:pPr>
    <w:rPr>
      <w:rFonts w:cs="Times New Roman"/>
      <w:kern w:val="0"/>
      <w:szCs w:val="20"/>
    </w:rPr>
  </w:style>
  <w:style w:type="paragraph" w:customStyle="1" w:styleId="2263">
    <w:name w:val="Char1 Char Char Char Char Char Char Char Char Char"/>
    <w:basedOn w:val="1"/>
    <w:qFormat/>
    <w:uiPriority w:val="0"/>
    <w:pPr>
      <w:adjustRightInd w:val="0"/>
      <w:ind w:firstLine="0" w:firstLineChars="0"/>
    </w:pPr>
    <w:rPr>
      <w:rFonts w:cs="Times New Roman"/>
      <w:kern w:val="0"/>
      <w:szCs w:val="20"/>
    </w:rPr>
  </w:style>
  <w:style w:type="paragraph" w:customStyle="1" w:styleId="2264">
    <w:name w:val="样式 标题 2 + 黑体 小三"/>
    <w:basedOn w:val="4"/>
    <w:qFormat/>
    <w:uiPriority w:val="0"/>
    <w:pPr>
      <w:snapToGrid w:val="0"/>
    </w:pPr>
    <w:rPr>
      <w:rFonts w:ascii="黑体" w:hAnsi="黑体" w:eastAsia="宋体" w:cs="宋体"/>
      <w:b w:val="0"/>
      <w:spacing w:val="5"/>
      <w:kern w:val="0"/>
      <w:sz w:val="30"/>
    </w:rPr>
  </w:style>
  <w:style w:type="paragraph" w:customStyle="1" w:styleId="2265">
    <w:name w:val="样式 表格"/>
    <w:basedOn w:val="86"/>
    <w:next w:val="86"/>
    <w:qFormat/>
    <w:uiPriority w:val="0"/>
    <w:pPr>
      <w:adjustRightInd w:val="0"/>
      <w:snapToGrid w:val="0"/>
      <w:spacing w:after="0" w:line="240" w:lineRule="atLeast"/>
      <w:ind w:left="-107" w:leftChars="-51" w:right="-107" w:rightChars="-51" w:firstLine="0" w:firstLineChars="0"/>
      <w:jc w:val="left"/>
    </w:pPr>
    <w:rPr>
      <w:rFonts w:eastAsia="Times New Roman"/>
      <w:kern w:val="0"/>
      <w:sz w:val="20"/>
      <w:szCs w:val="20"/>
    </w:rPr>
  </w:style>
  <w:style w:type="paragraph" w:customStyle="1" w:styleId="2266">
    <w:name w:val="样式 样式 首行缩进:  2 字符 + 首行缩进:  2 字符 段前: 0.5 行 段后: 0.5 行"/>
    <w:basedOn w:val="1"/>
    <w:qFormat/>
    <w:uiPriority w:val="0"/>
    <w:pPr>
      <w:spacing w:beforeLines="50" w:afterLines="50" w:line="400" w:lineRule="atLeast"/>
      <w:ind w:firstLine="480"/>
    </w:pPr>
    <w:rPr>
      <w:rFonts w:cs="Times New Roman"/>
      <w:szCs w:val="20"/>
    </w:rPr>
  </w:style>
  <w:style w:type="paragraph" w:customStyle="1" w:styleId="2267">
    <w:name w:val="附录2级"/>
    <w:basedOn w:val="1"/>
    <w:qFormat/>
    <w:uiPriority w:val="0"/>
    <w:pPr>
      <w:shd w:val="clear" w:color="auto" w:fill="FFFFFF"/>
      <w:spacing w:before="100" w:beforeAutospacing="1" w:after="100" w:afterAutospacing="1" w:line="440" w:lineRule="exact"/>
      <w:ind w:firstLine="420" w:firstLineChars="0"/>
      <w:jc w:val="center"/>
    </w:pPr>
    <w:rPr>
      <w:rFonts w:cs="Times New Roman"/>
      <w:b/>
      <w:szCs w:val="20"/>
    </w:rPr>
  </w:style>
  <w:style w:type="paragraph" w:customStyle="1" w:styleId="2268">
    <w:name w:val="样式 标题 1一、 + (中文) 仿宋_GB2312 段前: 6 磅"/>
    <w:basedOn w:val="3"/>
    <w:qFormat/>
    <w:uiPriority w:val="0"/>
    <w:pPr>
      <w:tabs>
        <w:tab w:val="left" w:pos="845"/>
      </w:tabs>
      <w:adjustRightInd w:val="0"/>
      <w:snapToGrid w:val="0"/>
      <w:spacing w:line="440" w:lineRule="exact"/>
      <w:ind w:left="845" w:hanging="420" w:firstLineChars="200"/>
    </w:pPr>
    <w:rPr>
      <w:rFonts w:ascii="Tahoma" w:hAnsi="Tahoma" w:eastAsia="华文仿宋" w:cs="Garamond"/>
      <w:bCs w:val="0"/>
      <w:color w:val="000000"/>
      <w:sz w:val="30"/>
      <w:szCs w:val="24"/>
    </w:rPr>
  </w:style>
  <w:style w:type="paragraph" w:customStyle="1" w:styleId="2269">
    <w:name w:val="正文首缩快"/>
    <w:basedOn w:val="1"/>
    <w:qFormat/>
    <w:uiPriority w:val="0"/>
    <w:pPr>
      <w:spacing w:line="440" w:lineRule="exact"/>
      <w:ind w:firstLine="539"/>
    </w:pPr>
    <w:rPr>
      <w:rFonts w:cs="Times New Roman"/>
      <w:sz w:val="28"/>
      <w:szCs w:val="20"/>
    </w:rPr>
  </w:style>
  <w:style w:type="paragraph" w:customStyle="1" w:styleId="2270">
    <w:name w:val="索引 51"/>
    <w:basedOn w:val="1"/>
    <w:next w:val="1"/>
    <w:qFormat/>
    <w:uiPriority w:val="0"/>
    <w:pPr>
      <w:spacing w:line="440" w:lineRule="exact"/>
      <w:ind w:left="1250" w:hanging="250"/>
      <w:jc w:val="left"/>
    </w:pPr>
    <w:rPr>
      <w:rFonts w:ascii="Batang" w:hAnsi="Batang" w:cs="Batang"/>
      <w:spacing w:val="5"/>
      <w:kern w:val="0"/>
      <w:sz w:val="20"/>
      <w:szCs w:val="24"/>
    </w:rPr>
  </w:style>
  <w:style w:type="paragraph" w:customStyle="1" w:styleId="2271">
    <w:name w:val="正文宋体四号字"/>
    <w:basedOn w:val="1"/>
    <w:qFormat/>
    <w:uiPriority w:val="0"/>
    <w:pPr>
      <w:adjustRightInd w:val="0"/>
      <w:spacing w:line="560" w:lineRule="exact"/>
      <w:ind w:firstLine="567" w:firstLineChars="0"/>
    </w:pPr>
    <w:rPr>
      <w:rFonts w:ascii="Arial" w:hAnsi="Arial" w:cs="Times New Roman"/>
      <w:spacing w:val="2"/>
      <w:kern w:val="0"/>
      <w:sz w:val="28"/>
      <w:szCs w:val="20"/>
    </w:rPr>
  </w:style>
  <w:style w:type="paragraph" w:customStyle="1" w:styleId="2272">
    <w:name w:val="样式 标题 2标题2节（节） + 左 段前: 6 磅 段后: 6 磅 行距: 单倍行距"/>
    <w:basedOn w:val="4"/>
    <w:qFormat/>
    <w:uiPriority w:val="0"/>
    <w:pPr>
      <w:keepNext w:val="0"/>
      <w:keepLines w:val="0"/>
      <w:tabs>
        <w:tab w:val="left" w:pos="567"/>
      </w:tabs>
      <w:adjustRightInd w:val="0"/>
      <w:spacing w:before="120" w:after="120" w:line="360" w:lineRule="exact"/>
      <w:ind w:left="578" w:hanging="578"/>
    </w:pPr>
    <w:rPr>
      <w:rFonts w:ascii="FLGPEK+TimesNewRoman,Italic" w:hAnsi="Tahoma" w:eastAsia="Calibri" w:cs="Garamond"/>
      <w:smallCaps/>
      <w:sz w:val="24"/>
      <w:szCs w:val="21"/>
    </w:rPr>
  </w:style>
  <w:style w:type="paragraph" w:customStyle="1" w:styleId="2273">
    <w:name w:val="样式 标题 33h33rd levelH3l3CTReHead 3 WSAB Head..节，一一条标..."/>
    <w:basedOn w:val="6"/>
    <w:qFormat/>
    <w:uiPriority w:val="0"/>
    <w:pPr>
      <w:spacing w:before="120" w:after="120" w:line="440" w:lineRule="exact"/>
    </w:pPr>
    <w:rPr>
      <w:rFonts w:ascii="黑体" w:hAnsi="宋体" w:cs="Times New Roman"/>
      <w:bCs w:val="0"/>
      <w:kern w:val="44"/>
      <w:szCs w:val="20"/>
    </w:rPr>
  </w:style>
  <w:style w:type="paragraph" w:customStyle="1" w:styleId="2274">
    <w:name w:val="设计文本"/>
    <w:basedOn w:val="1"/>
    <w:qFormat/>
    <w:uiPriority w:val="0"/>
    <w:pPr>
      <w:spacing w:line="300" w:lineRule="exact"/>
      <w:jc w:val="center"/>
    </w:pPr>
    <w:rPr>
      <w:rFonts w:cs="Times New Roman"/>
      <w:color w:val="FF0000"/>
      <w:spacing w:val="8"/>
      <w:szCs w:val="20"/>
    </w:rPr>
  </w:style>
  <w:style w:type="paragraph" w:customStyle="1" w:styleId="2275">
    <w:name w:val="zrf表头"/>
    <w:basedOn w:val="1"/>
    <w:qFormat/>
    <w:uiPriority w:val="0"/>
    <w:pPr>
      <w:snapToGrid w:val="0"/>
      <w:spacing w:line="480" w:lineRule="exact"/>
      <w:ind w:firstLine="480"/>
      <w:jc w:val="center"/>
    </w:pPr>
    <w:rPr>
      <w:rFonts w:cs="宋体"/>
      <w:color w:val="000000"/>
      <w:szCs w:val="24"/>
    </w:rPr>
  </w:style>
  <w:style w:type="paragraph" w:customStyle="1" w:styleId="2276">
    <w:name w:val=".y.."/>
    <w:basedOn w:val="1"/>
    <w:next w:val="1"/>
    <w:qFormat/>
    <w:uiPriority w:val="0"/>
    <w:pPr>
      <w:autoSpaceDE w:val="0"/>
      <w:autoSpaceDN w:val="0"/>
      <w:adjustRightInd w:val="0"/>
      <w:spacing w:line="440" w:lineRule="exact"/>
      <w:jc w:val="left"/>
    </w:pPr>
    <w:rPr>
      <w:rFonts w:ascii="JIJGJC+TimesNewRomanPS" w:eastAsia="JIJGJC+TimesNewRomanPS" w:cs="Times New Roman"/>
      <w:kern w:val="0"/>
      <w:szCs w:val="24"/>
    </w:rPr>
  </w:style>
  <w:style w:type="paragraph" w:customStyle="1" w:styleId="2277">
    <w:name w:val="Char Char Char Char Char Char Char Char Char Char Char1 Char Char Char Char"/>
    <w:basedOn w:val="1"/>
    <w:qFormat/>
    <w:uiPriority w:val="0"/>
    <w:pPr>
      <w:spacing w:line="440" w:lineRule="exact"/>
      <w:ind w:firstLine="720"/>
    </w:pPr>
    <w:rPr>
      <w:rFonts w:cs="Times New Roman"/>
      <w:kern w:val="0"/>
      <w:szCs w:val="24"/>
    </w:rPr>
  </w:style>
  <w:style w:type="paragraph" w:customStyle="1" w:styleId="2278">
    <w:name w:val="Char Char Char1 Char Char Char Char Char Char Char Char Char"/>
    <w:basedOn w:val="1"/>
    <w:qFormat/>
    <w:uiPriority w:val="0"/>
    <w:pPr>
      <w:spacing w:line="440" w:lineRule="exact"/>
      <w:ind w:firstLine="720"/>
    </w:pPr>
    <w:rPr>
      <w:rFonts w:eastAsia="Courier New" w:cs="Times New Roman"/>
      <w:b/>
      <w:kern w:val="0"/>
      <w:sz w:val="28"/>
      <w:szCs w:val="28"/>
    </w:rPr>
  </w:style>
  <w:style w:type="paragraph" w:customStyle="1" w:styleId="2279">
    <w:name w:val="主要行岗位规范"/>
    <w:basedOn w:val="1"/>
    <w:qFormat/>
    <w:uiPriority w:val="0"/>
    <w:pPr>
      <w:widowControl/>
      <w:spacing w:line="280" w:lineRule="atLeast"/>
      <w:jc w:val="center"/>
    </w:pPr>
    <w:rPr>
      <w:rFonts w:cs="Times New Roman"/>
      <w:kern w:val="0"/>
      <w:szCs w:val="20"/>
    </w:rPr>
  </w:style>
  <w:style w:type="paragraph" w:customStyle="1" w:styleId="2280">
    <w:name w:val="我的表头"/>
    <w:basedOn w:val="1"/>
    <w:qFormat/>
    <w:uiPriority w:val="0"/>
    <w:pPr>
      <w:spacing w:line="440" w:lineRule="exact"/>
      <w:jc w:val="left"/>
    </w:pPr>
    <w:rPr>
      <w:rFonts w:cs="Times New Roman"/>
      <w:b/>
      <w:szCs w:val="20"/>
    </w:rPr>
  </w:style>
  <w:style w:type="paragraph" w:customStyle="1" w:styleId="2281">
    <w:name w:val="小标题@"/>
    <w:basedOn w:val="1"/>
    <w:qFormat/>
    <w:uiPriority w:val="0"/>
    <w:pPr>
      <w:tabs>
        <w:tab w:val="left" w:pos="840"/>
      </w:tabs>
      <w:adjustRightInd w:val="0"/>
      <w:spacing w:before="60" w:after="60" w:line="440" w:lineRule="exact"/>
      <w:ind w:left="828" w:hanging="348"/>
    </w:pPr>
    <w:rPr>
      <w:rFonts w:ascii="Tahoma" w:hAnsi="Tahoma" w:cs="Garamond"/>
      <w:kern w:val="0"/>
      <w:szCs w:val="24"/>
    </w:rPr>
  </w:style>
  <w:style w:type="paragraph" w:customStyle="1" w:styleId="2282">
    <w:name w:val="Char12 Char Char Char"/>
    <w:basedOn w:val="1"/>
    <w:qFormat/>
    <w:uiPriority w:val="0"/>
    <w:pPr>
      <w:spacing w:after="160" w:line="240" w:lineRule="exact"/>
      <w:ind w:firstLine="720"/>
      <w:jc w:val="left"/>
    </w:pPr>
    <w:rPr>
      <w:rFonts w:ascii="Batang" w:hAnsi="Batang" w:eastAsia="Chicago" w:cs="Sim Sun"/>
      <w:b/>
      <w:kern w:val="0"/>
      <w:szCs w:val="24"/>
      <w:lang w:eastAsia="en-US"/>
    </w:rPr>
  </w:style>
  <w:style w:type="paragraph" w:customStyle="1" w:styleId="2283">
    <w:name w:val="CM115"/>
    <w:basedOn w:val="157"/>
    <w:next w:val="157"/>
    <w:qFormat/>
    <w:uiPriority w:val="0"/>
    <w:pPr>
      <w:spacing w:after="368"/>
    </w:pPr>
    <w:rPr>
      <w:rFonts w:ascii="华文中宋" w:hAnsi="Chicago" w:eastAsia="华文中宋" w:cs="Chicago"/>
      <w:color w:val="auto"/>
    </w:rPr>
  </w:style>
  <w:style w:type="paragraph" w:customStyle="1" w:styleId="2284">
    <w:name w:val="Char Char Char2 Char Char Char Char Char Char Char Char Char Char Char Char"/>
    <w:basedOn w:val="1"/>
    <w:qFormat/>
    <w:uiPriority w:val="0"/>
    <w:rPr>
      <w:rFonts w:ascii="宋体" w:hAnsi="宋体" w:cs="宋体"/>
      <w:szCs w:val="28"/>
    </w:rPr>
  </w:style>
  <w:style w:type="paragraph" w:customStyle="1" w:styleId="2285">
    <w:name w:val="xl19"/>
    <w:basedOn w:val="1"/>
    <w:qFormat/>
    <w:uiPriority w:val="0"/>
    <w:pPr>
      <w:widowControl/>
      <w:spacing w:before="100" w:beforeAutospacing="1" w:after="100" w:afterAutospacing="1" w:line="240" w:lineRule="auto"/>
      <w:ind w:firstLine="0" w:firstLineChars="0"/>
      <w:jc w:val="left"/>
    </w:pPr>
    <w:rPr>
      <w:rFonts w:ascii="Arial Unicode MS" w:hAnsi="Arial Unicode MS" w:eastAsia="Times New Roman" w:cs="Times New Roman"/>
      <w:color w:val="FF0000"/>
      <w:kern w:val="0"/>
      <w:sz w:val="18"/>
      <w:szCs w:val="20"/>
    </w:rPr>
  </w:style>
  <w:style w:type="paragraph" w:customStyle="1" w:styleId="2286">
    <w:name w:val="陈标题2"/>
    <w:basedOn w:val="1"/>
    <w:next w:val="1"/>
    <w:qFormat/>
    <w:uiPriority w:val="0"/>
    <w:pPr>
      <w:keepNext/>
      <w:keepLines/>
      <w:spacing w:line="288" w:lineRule="auto"/>
      <w:ind w:firstLine="0" w:firstLineChars="0"/>
      <w:jc w:val="left"/>
      <w:outlineLvl w:val="1"/>
    </w:pPr>
    <w:rPr>
      <w:rFonts w:cs="Times New Roman"/>
      <w:b/>
      <w:kern w:val="0"/>
      <w:sz w:val="32"/>
      <w:szCs w:val="32"/>
    </w:rPr>
  </w:style>
  <w:style w:type="paragraph" w:customStyle="1" w:styleId="2287">
    <w:name w:val="样式 标题 2 + Arial 五号 两端对齐 段前: 15.6 磅 段后: 15.6 磅 行距: 多倍行距 1.3 ..."/>
    <w:basedOn w:val="1"/>
    <w:qFormat/>
    <w:uiPriority w:val="0"/>
    <w:pPr>
      <w:tabs>
        <w:tab w:val="left" w:pos="576"/>
      </w:tabs>
      <w:spacing w:line="440" w:lineRule="exact"/>
      <w:ind w:left="576" w:hanging="576"/>
    </w:pPr>
    <w:rPr>
      <w:rFonts w:ascii="FLGPEK+TimesNewRoman,Italic" w:cs="Times New Roman"/>
      <w:kern w:val="0"/>
      <w:szCs w:val="24"/>
    </w:rPr>
  </w:style>
  <w:style w:type="paragraph" w:customStyle="1" w:styleId="2288">
    <w:name w:val="表内5中"/>
    <w:basedOn w:val="45"/>
    <w:qFormat/>
    <w:uiPriority w:val="0"/>
    <w:pPr>
      <w:adjustRightInd w:val="0"/>
      <w:snapToGrid w:val="0"/>
      <w:ind w:firstLine="200" w:firstLineChars="200"/>
      <w:jc w:val="center"/>
    </w:pPr>
    <w:rPr>
      <w:rFonts w:eastAsia="Times New Roman" w:cs="宋体"/>
      <w:kern w:val="0"/>
      <w:sz w:val="24"/>
      <w:szCs w:val="20"/>
    </w:rPr>
  </w:style>
  <w:style w:type="paragraph" w:customStyle="1" w:styleId="2289">
    <w:name w:val="Char13"/>
    <w:basedOn w:val="1"/>
    <w:qFormat/>
    <w:uiPriority w:val="0"/>
    <w:pPr>
      <w:spacing w:beforeLines="50"/>
      <w:ind w:firstLine="560"/>
    </w:pPr>
    <w:rPr>
      <w:rFonts w:eastAsia="Cambria" w:cs="Times New Roman"/>
      <w:kern w:val="0"/>
      <w:sz w:val="28"/>
      <w:szCs w:val="24"/>
    </w:rPr>
  </w:style>
  <w:style w:type="paragraph" w:customStyle="1" w:styleId="2290">
    <w:name w:val="z表格"/>
    <w:basedOn w:val="1"/>
    <w:qFormat/>
    <w:uiPriority w:val="0"/>
    <w:pPr>
      <w:widowControl/>
      <w:spacing w:line="360" w:lineRule="exact"/>
      <w:jc w:val="center"/>
    </w:pPr>
    <w:rPr>
      <w:rFonts w:cs="Times New Roman"/>
    </w:rPr>
  </w:style>
  <w:style w:type="paragraph" w:customStyle="1" w:styleId="2291">
    <w:name w:val="样式 居中 段前: 1.55 磅 段后: 1.55 磅 底端: (单实线 自动设置  0.75 磅 行宽) 行距: ..."/>
    <w:basedOn w:val="1"/>
    <w:next w:val="1"/>
    <w:qFormat/>
    <w:uiPriority w:val="0"/>
    <w:pPr>
      <w:pBdr>
        <w:bottom w:val="single" w:color="auto" w:sz="6" w:space="1"/>
      </w:pBdr>
      <w:spacing w:before="31" w:after="31" w:line="40" w:lineRule="atLeast"/>
      <w:ind w:firstLine="720"/>
      <w:jc w:val="center"/>
    </w:pPr>
    <w:rPr>
      <w:rFonts w:cs="FLGPEK+TimesNewRoman,Italic"/>
      <w:kern w:val="0"/>
    </w:rPr>
  </w:style>
  <w:style w:type="paragraph" w:customStyle="1" w:styleId="2292">
    <w:name w:val="样式 左 行距: 1.5 倍行距"/>
    <w:basedOn w:val="1"/>
    <w:qFormat/>
    <w:uiPriority w:val="0"/>
    <w:pPr>
      <w:snapToGrid w:val="0"/>
      <w:ind w:firstLine="592"/>
      <w:jc w:val="left"/>
    </w:pPr>
    <w:rPr>
      <w:rFonts w:cs="宋体"/>
      <w:spacing w:val="8"/>
      <w:szCs w:val="24"/>
    </w:rPr>
  </w:style>
  <w:style w:type="paragraph" w:customStyle="1" w:styleId="2293">
    <w:name w:val="列项——（一级）"/>
    <w:qFormat/>
    <w:uiPriority w:val="0"/>
    <w:pPr>
      <w:widowControl w:val="0"/>
      <w:tabs>
        <w:tab w:val="left" w:pos="435"/>
        <w:tab w:val="left" w:pos="854"/>
      </w:tabs>
      <w:ind w:left="435" w:leftChars="200" w:hanging="435" w:hangingChars="200"/>
      <w:jc w:val="both"/>
    </w:pPr>
    <w:rPr>
      <w:rFonts w:ascii="宋体" w:hAnsi="Times New Roman" w:eastAsia="宋体" w:cs="Times New Roman"/>
      <w:sz w:val="21"/>
      <w:lang w:val="en-US" w:eastAsia="zh-CN" w:bidi="ar-SA"/>
    </w:rPr>
  </w:style>
  <w:style w:type="paragraph" w:customStyle="1" w:styleId="2294">
    <w:name w:val="表头样式"/>
    <w:basedOn w:val="1"/>
    <w:qFormat/>
    <w:uiPriority w:val="0"/>
    <w:pPr>
      <w:spacing w:beforeLines="30" w:afterLines="20" w:line="240" w:lineRule="auto"/>
      <w:ind w:firstLine="0" w:firstLineChars="0"/>
      <w:jc w:val="center"/>
    </w:pPr>
    <w:rPr>
      <w:rFonts w:eastAsia="黑体" w:cs="Times New Roman"/>
      <w:sz w:val="28"/>
      <w:szCs w:val="20"/>
    </w:rPr>
  </w:style>
  <w:style w:type="paragraph" w:customStyle="1" w:styleId="2295">
    <w:name w:val="海港文字"/>
    <w:basedOn w:val="34"/>
    <w:qFormat/>
    <w:uiPriority w:val="0"/>
    <w:pPr>
      <w:spacing w:after="0"/>
      <w:ind w:firstLine="480"/>
    </w:pPr>
    <w:rPr>
      <w:rFonts w:ascii="FLGPEK+TimesNewRoman,Italic" w:hAnsi="FLGPEK+TimesNewRoman,Italic" w:eastAsia="Garamond" w:cs="Garamond"/>
      <w:kern w:val="0"/>
      <w:szCs w:val="24"/>
    </w:rPr>
  </w:style>
  <w:style w:type="paragraph" w:customStyle="1" w:styleId="2296">
    <w:name w:val="样式 粉红 首行缩进:  2 字符"/>
    <w:basedOn w:val="1"/>
    <w:qFormat/>
    <w:uiPriority w:val="0"/>
    <w:pPr>
      <w:spacing w:line="480" w:lineRule="exact"/>
      <w:ind w:firstLine="480"/>
    </w:pPr>
    <w:rPr>
      <w:rFonts w:cs="宋体"/>
      <w:color w:val="FF0000"/>
      <w:szCs w:val="20"/>
    </w:rPr>
  </w:style>
  <w:style w:type="paragraph" w:customStyle="1" w:styleId="2297">
    <w:name w:val="gb2312278"/>
    <w:basedOn w:val="1"/>
    <w:qFormat/>
    <w:uiPriority w:val="0"/>
    <w:pPr>
      <w:widowControl/>
      <w:spacing w:before="100" w:beforeAutospacing="1" w:after="100" w:afterAutospacing="1" w:line="440" w:lineRule="exact"/>
      <w:ind w:firstLine="720"/>
      <w:jc w:val="left"/>
    </w:pPr>
    <w:rPr>
      <w:rFonts w:ascii="宋体" w:hAnsi="宋体" w:cs="宋体"/>
      <w:kern w:val="0"/>
      <w:szCs w:val="24"/>
    </w:rPr>
  </w:style>
  <w:style w:type="paragraph" w:customStyle="1" w:styleId="2298">
    <w:name w:val="5正文"/>
    <w:basedOn w:val="1"/>
    <w:qFormat/>
    <w:uiPriority w:val="0"/>
    <w:pPr>
      <w:tabs>
        <w:tab w:val="left" w:pos="0"/>
      </w:tabs>
      <w:adjustRightInd w:val="0"/>
      <w:snapToGrid w:val="0"/>
    </w:pPr>
    <w:rPr>
      <w:rFonts w:cs="Times New Roman"/>
      <w:szCs w:val="20"/>
    </w:rPr>
  </w:style>
  <w:style w:type="paragraph" w:customStyle="1" w:styleId="2299">
    <w:name w:val="Char Char9 Char Char Char Char Char Char Char Char Char1 Char Char Char Char Char Char Char"/>
    <w:basedOn w:val="5"/>
    <w:qFormat/>
    <w:uiPriority w:val="0"/>
    <w:pPr>
      <w:tabs>
        <w:tab w:val="left" w:pos="360"/>
        <w:tab w:val="left" w:pos="900"/>
      </w:tabs>
      <w:snapToGrid w:val="0"/>
      <w:spacing w:before="120" w:after="120" w:line="440" w:lineRule="atLeast"/>
      <w:ind w:left="542" w:leftChars="-12" w:firstLine="200" w:firstLineChars="200"/>
      <w:jc w:val="left"/>
    </w:pPr>
    <w:rPr>
      <w:rFonts w:ascii="FLGPEK+TimesNewRoman,Italic" w:hAnsi="FLGPEK+TimesNewRoman,Italic" w:eastAsia="宋体" w:cs="Garamond"/>
      <w:b w:val="0"/>
      <w:color w:val="000000"/>
      <w:sz w:val="30"/>
      <w:szCs w:val="24"/>
    </w:rPr>
  </w:style>
  <w:style w:type="paragraph" w:customStyle="1" w:styleId="2300">
    <w:name w:val="公众调查表"/>
    <w:basedOn w:val="1"/>
    <w:qFormat/>
    <w:uiPriority w:val="0"/>
    <w:pPr>
      <w:adjustRightInd w:val="0"/>
      <w:snapToGrid w:val="0"/>
      <w:ind w:firstLine="620"/>
    </w:pPr>
    <w:rPr>
      <w:rFonts w:cs="Times New Roman"/>
      <w:kern w:val="0"/>
    </w:rPr>
  </w:style>
  <w:style w:type="paragraph" w:customStyle="1" w:styleId="2301">
    <w:name w:val="日期11"/>
    <w:basedOn w:val="1"/>
    <w:next w:val="1"/>
    <w:qFormat/>
    <w:uiPriority w:val="0"/>
    <w:pPr>
      <w:adjustRightInd w:val="0"/>
      <w:snapToGrid w:val="0"/>
      <w:spacing w:line="440" w:lineRule="exact"/>
    </w:pPr>
    <w:rPr>
      <w:rFonts w:ascii="Tahoma" w:hAnsi="Tahoma" w:cs="Garamond"/>
      <w:kern w:val="0"/>
      <w:szCs w:val="24"/>
    </w:rPr>
  </w:style>
  <w:style w:type="paragraph" w:customStyle="1" w:styleId="2302">
    <w:name w:val="样式 (西文) 宋体 四号 行距: 1.5 倍行距 首行缩进:  2 字符"/>
    <w:basedOn w:val="1"/>
    <w:qFormat/>
    <w:uiPriority w:val="0"/>
    <w:pPr>
      <w:keepNext/>
      <w:adjustRightInd w:val="0"/>
      <w:snapToGrid w:val="0"/>
      <w:ind w:firstLine="560"/>
      <w:jc w:val="left"/>
    </w:pPr>
    <w:rPr>
      <w:rFonts w:ascii="宋体" w:hAnsi="宋体" w:cs="Times New Roman"/>
      <w:szCs w:val="20"/>
      <w:lang w:bidi="he-IL"/>
    </w:rPr>
  </w:style>
  <w:style w:type="paragraph" w:customStyle="1" w:styleId="2303">
    <w:name w:val="dxj表后"/>
    <w:basedOn w:val="1457"/>
    <w:qFormat/>
    <w:uiPriority w:val="0"/>
    <w:pPr>
      <w:keepLines/>
      <w:widowControl w:val="0"/>
      <w:snapToGrid/>
      <w:spacing w:line="280" w:lineRule="exact"/>
      <w:ind w:firstLine="0"/>
      <w:jc w:val="both"/>
    </w:pPr>
    <w:rPr>
      <w:sz w:val="18"/>
    </w:rPr>
  </w:style>
  <w:style w:type="paragraph" w:customStyle="1" w:styleId="2304">
    <w:name w:val="样式 标题 1 + Times New Roman 小三"/>
    <w:basedOn w:val="3"/>
    <w:qFormat/>
    <w:uiPriority w:val="0"/>
    <w:pPr>
      <w:spacing w:line="520" w:lineRule="exact"/>
    </w:pPr>
    <w:rPr>
      <w:rFonts w:ascii="Verdana" w:hAnsi="Verdana" w:eastAsia="宋体" w:cs="宋体"/>
      <w:bCs w:val="0"/>
      <w:color w:val="000000"/>
      <w:sz w:val="30"/>
      <w:szCs w:val="20"/>
    </w:rPr>
  </w:style>
  <w:style w:type="paragraph" w:customStyle="1" w:styleId="2305">
    <w:name w:val="正式文字"/>
    <w:basedOn w:val="45"/>
    <w:qFormat/>
    <w:uiPriority w:val="0"/>
    <w:pPr>
      <w:adjustRightInd w:val="0"/>
      <w:snapToGrid w:val="0"/>
      <w:spacing w:line="312" w:lineRule="auto"/>
      <w:ind w:firstLine="567" w:firstLineChars="200"/>
    </w:pPr>
    <w:rPr>
      <w:rFonts w:eastAsia="Times New Roman" w:cs="仿宋_GB2312"/>
      <w:spacing w:val="6"/>
      <w:kern w:val="0"/>
      <w:sz w:val="28"/>
    </w:rPr>
  </w:style>
  <w:style w:type="paragraph" w:customStyle="1" w:styleId="2306">
    <w:name w:val="列表 21"/>
    <w:basedOn w:val="1"/>
    <w:qFormat/>
    <w:uiPriority w:val="0"/>
    <w:pPr>
      <w:spacing w:line="300" w:lineRule="auto"/>
      <w:ind w:left="100" w:leftChars="200" w:hanging="200" w:hangingChars="200"/>
    </w:pPr>
    <w:rPr>
      <w:rFonts w:ascii="Arial" w:hAnsi="Arial" w:eastAsia="华文仿宋" w:cs="Garamond"/>
      <w:kern w:val="0"/>
      <w:szCs w:val="24"/>
    </w:rPr>
  </w:style>
  <w:style w:type="paragraph" w:customStyle="1" w:styleId="2307">
    <w:name w:val="Definition Term"/>
    <w:basedOn w:val="1"/>
    <w:next w:val="1"/>
    <w:qFormat/>
    <w:uiPriority w:val="0"/>
    <w:pPr>
      <w:autoSpaceDE w:val="0"/>
      <w:autoSpaceDN w:val="0"/>
      <w:adjustRightInd w:val="0"/>
      <w:spacing w:line="240" w:lineRule="auto"/>
      <w:ind w:firstLine="0" w:firstLineChars="0"/>
      <w:jc w:val="left"/>
    </w:pPr>
    <w:rPr>
      <w:rFonts w:ascii="宋体" w:cs="Times New Roman"/>
      <w:kern w:val="0"/>
      <w:szCs w:val="20"/>
    </w:rPr>
  </w:style>
  <w:style w:type="paragraph" w:customStyle="1" w:styleId="2308">
    <w:name w:val="jiu1"/>
    <w:basedOn w:val="1"/>
    <w:qFormat/>
    <w:uiPriority w:val="0"/>
    <w:pPr>
      <w:widowControl/>
      <w:spacing w:before="100" w:beforeAutospacing="1" w:after="100" w:afterAutospacing="1" w:line="440" w:lineRule="exact"/>
      <w:jc w:val="left"/>
    </w:pPr>
    <w:rPr>
      <w:rFonts w:ascii="FLGPEK+TimesNewRoman,Italic" w:hAnsi="FLGPEK+TimesNewRoman,Italic" w:cs="FLGPEK+TimesNewRoman,Italic"/>
      <w:kern w:val="0"/>
      <w:szCs w:val="24"/>
    </w:rPr>
  </w:style>
  <w:style w:type="paragraph" w:customStyle="1" w:styleId="2309">
    <w:name w:val="样式节"/>
    <w:basedOn w:val="1"/>
    <w:qFormat/>
    <w:uiPriority w:val="0"/>
    <w:pPr>
      <w:adjustRightInd w:val="0"/>
      <w:snapToGrid w:val="0"/>
      <w:spacing w:before="120" w:after="120" w:line="312" w:lineRule="auto"/>
      <w:ind w:firstLine="567"/>
    </w:pPr>
    <w:rPr>
      <w:rFonts w:ascii="宋体" w:hAnsi="宋体" w:cs="Times New Roman"/>
      <w:b/>
      <w:bCs/>
      <w:spacing w:val="6"/>
      <w:sz w:val="32"/>
      <w:szCs w:val="32"/>
    </w:rPr>
  </w:style>
  <w:style w:type="paragraph" w:customStyle="1" w:styleId="2310">
    <w:name w:val="正式节"/>
    <w:basedOn w:val="45"/>
    <w:qFormat/>
    <w:uiPriority w:val="0"/>
    <w:pPr>
      <w:adjustRightInd w:val="0"/>
      <w:snapToGrid w:val="0"/>
      <w:spacing w:before="120" w:after="120" w:line="312" w:lineRule="auto"/>
      <w:ind w:firstLine="567" w:firstLineChars="200"/>
    </w:pPr>
    <w:rPr>
      <w:rFonts w:eastAsia="Times New Roman" w:cs="仿宋_GB2312"/>
      <w:b/>
      <w:bCs/>
      <w:spacing w:val="6"/>
      <w:kern w:val="0"/>
      <w:sz w:val="32"/>
    </w:rPr>
  </w:style>
  <w:style w:type="paragraph" w:customStyle="1" w:styleId="2311">
    <w:name w:val="样式 标题 3 + 段前: 1 行"/>
    <w:basedOn w:val="5"/>
    <w:qFormat/>
    <w:uiPriority w:val="0"/>
    <w:pPr>
      <w:tabs>
        <w:tab w:val="left" w:pos="720"/>
      </w:tabs>
      <w:spacing w:beforeLines="50" w:after="60" w:line="440" w:lineRule="atLeast"/>
      <w:ind w:left="720" w:hanging="720" w:firstLineChars="200"/>
      <w:jc w:val="left"/>
    </w:pPr>
    <w:rPr>
      <w:rFonts w:ascii="FLGPEK+TimesNewRoman,Italic" w:hAnsi="FLGPEK+TimesNewRoman,Italic" w:eastAsia="华文仿宋" w:cs="Garamond"/>
      <w:b w:val="0"/>
      <w:color w:val="000000"/>
      <w:sz w:val="30"/>
    </w:rPr>
  </w:style>
  <w:style w:type="paragraph" w:customStyle="1" w:styleId="2312">
    <w:name w:val="陈表头文字"/>
    <w:basedOn w:val="1"/>
    <w:next w:val="1"/>
    <w:qFormat/>
    <w:uiPriority w:val="0"/>
    <w:pPr>
      <w:keepNext/>
      <w:ind w:firstLine="0" w:firstLineChars="0"/>
      <w:jc w:val="center"/>
    </w:pPr>
    <w:rPr>
      <w:rFonts w:eastAsia="Times New Roman" w:cs="Times New Roman"/>
      <w:b/>
      <w:kern w:val="0"/>
      <w:szCs w:val="24"/>
    </w:rPr>
  </w:style>
  <w:style w:type="paragraph" w:customStyle="1" w:styleId="2313">
    <w:name w:val="CM112"/>
    <w:basedOn w:val="157"/>
    <w:next w:val="157"/>
    <w:qFormat/>
    <w:uiPriority w:val="0"/>
    <w:pPr>
      <w:spacing w:after="128"/>
    </w:pPr>
    <w:rPr>
      <w:rFonts w:ascii="华文中宋" w:hAnsi="Chicago" w:eastAsia="华文中宋" w:cs="Chicago"/>
      <w:color w:val="auto"/>
    </w:rPr>
  </w:style>
  <w:style w:type="paragraph" w:customStyle="1" w:styleId="2314">
    <w:name w:val="样式 小四 黑色 行距: 固定值 25 磅 首行缩进:  2 字符"/>
    <w:basedOn w:val="1"/>
    <w:qFormat/>
    <w:uiPriority w:val="0"/>
    <w:pPr>
      <w:spacing w:line="500" w:lineRule="exact"/>
      <w:ind w:firstLine="480"/>
    </w:pPr>
    <w:rPr>
      <w:rFonts w:cs="Times New Roman"/>
      <w:sz w:val="25"/>
      <w:szCs w:val="20"/>
    </w:rPr>
  </w:style>
  <w:style w:type="paragraph" w:customStyle="1" w:styleId="2315">
    <w:name w:val="表体宋旭峰"/>
    <w:basedOn w:val="1"/>
    <w:qFormat/>
    <w:uiPriority w:val="0"/>
    <w:pPr>
      <w:overflowPunct w:val="0"/>
      <w:snapToGrid w:val="0"/>
      <w:spacing w:line="280" w:lineRule="atLeast"/>
      <w:ind w:firstLine="480"/>
      <w:jc w:val="center"/>
    </w:pPr>
    <w:rPr>
      <w:rFonts w:ascii="宋体" w:hAnsi="Courier New" w:cs="Courier New"/>
      <w:kern w:val="24"/>
      <w:sz w:val="18"/>
      <w:szCs w:val="20"/>
    </w:rPr>
  </w:style>
  <w:style w:type="paragraph" w:customStyle="1" w:styleId="2316">
    <w:name w:val="F正文"/>
    <w:qFormat/>
    <w:uiPriority w:val="0"/>
    <w:pPr>
      <w:widowControl w:val="0"/>
      <w:adjustRightInd w:val="0"/>
      <w:spacing w:line="360" w:lineRule="atLeast"/>
    </w:pPr>
    <w:rPr>
      <w:rFonts w:ascii="Times New Roman" w:hAnsi="Times New Roman" w:eastAsia="宋体" w:cs="Times New Roman"/>
      <w:spacing w:val="12"/>
      <w:sz w:val="24"/>
      <w:lang w:val="en-US" w:eastAsia="zh-CN" w:bidi="ar-SA"/>
    </w:rPr>
  </w:style>
  <w:style w:type="paragraph" w:customStyle="1" w:styleId="2317">
    <w:name w:val="样式 首行缩进:  0.99 厘米"/>
    <w:basedOn w:val="1"/>
    <w:qFormat/>
    <w:uiPriority w:val="0"/>
    <w:pPr>
      <w:adjustRightInd w:val="0"/>
      <w:snapToGrid w:val="0"/>
      <w:spacing w:line="500" w:lineRule="exact"/>
      <w:ind w:firstLine="560"/>
    </w:pPr>
    <w:rPr>
      <w:rFonts w:ascii="仿宋_GB2312" w:eastAsia="仿宋_GB2312" w:cs="Times New Roman"/>
      <w:color w:val="000000"/>
      <w:sz w:val="28"/>
      <w:szCs w:val="24"/>
    </w:rPr>
  </w:style>
  <w:style w:type="paragraph" w:customStyle="1" w:styleId="2318">
    <w:name w:val="样式 段后: 6 磅 行距: 多倍行距 1.2 字行"/>
    <w:basedOn w:val="1"/>
    <w:qFormat/>
    <w:uiPriority w:val="0"/>
    <w:pPr>
      <w:tabs>
        <w:tab w:val="left" w:pos="272"/>
      </w:tabs>
      <w:spacing w:after="120" w:line="288" w:lineRule="auto"/>
      <w:ind w:left="-227" w:firstLine="227"/>
    </w:pPr>
    <w:rPr>
      <w:rFonts w:ascii="Tahoma" w:hAnsi="Tahoma" w:eastAsia="华文仿宋" w:cs="Garamond"/>
      <w:kern w:val="0"/>
      <w:szCs w:val="24"/>
    </w:rPr>
  </w:style>
  <w:style w:type="paragraph" w:customStyle="1" w:styleId="2319">
    <w:name w:val="a8"/>
    <w:basedOn w:val="1"/>
    <w:qFormat/>
    <w:uiPriority w:val="0"/>
    <w:pPr>
      <w:widowControl/>
      <w:spacing w:before="100" w:beforeAutospacing="1" w:after="100" w:afterAutospacing="1" w:line="440" w:lineRule="exact"/>
      <w:ind w:firstLine="480"/>
      <w:jc w:val="left"/>
    </w:pPr>
    <w:rPr>
      <w:rFonts w:ascii="宋体" w:hAnsi="宋体" w:cs="宋体"/>
      <w:kern w:val="0"/>
      <w:szCs w:val="24"/>
    </w:rPr>
  </w:style>
  <w:style w:type="paragraph" w:customStyle="1" w:styleId="2320">
    <w:name w:val="CM111"/>
    <w:basedOn w:val="157"/>
    <w:next w:val="157"/>
    <w:qFormat/>
    <w:uiPriority w:val="0"/>
    <w:pPr>
      <w:spacing w:after="430"/>
    </w:pPr>
    <w:rPr>
      <w:rFonts w:ascii="华文中宋" w:hAnsi="Chicago" w:eastAsia="华文中宋" w:cs="Chicago"/>
      <w:color w:val="auto"/>
    </w:rPr>
  </w:style>
  <w:style w:type="paragraph" w:customStyle="1" w:styleId="2321">
    <w:name w:val="标题 2级"/>
    <w:basedOn w:val="1"/>
    <w:next w:val="1"/>
    <w:qFormat/>
    <w:uiPriority w:val="0"/>
    <w:pPr>
      <w:snapToGrid w:val="0"/>
      <w:spacing w:beforeLines="50" w:afterLines="50" w:line="440" w:lineRule="exact"/>
      <w:ind w:firstLine="720"/>
      <w:outlineLvl w:val="1"/>
    </w:pPr>
    <w:rPr>
      <w:rFonts w:ascii="Batang" w:hAnsi="Batang" w:eastAsia="ˎ̥" w:cs="Batang"/>
      <w:b/>
      <w:kern w:val="0"/>
      <w:sz w:val="28"/>
      <w:szCs w:val="24"/>
    </w:rPr>
  </w:style>
  <w:style w:type="paragraph" w:customStyle="1" w:styleId="2322">
    <w:name w:val="文本块1"/>
    <w:basedOn w:val="1"/>
    <w:qFormat/>
    <w:uiPriority w:val="0"/>
    <w:pPr>
      <w:ind w:left="471" w:leftChars="200" w:firstLine="706" w:firstLineChars="300"/>
    </w:pPr>
    <w:rPr>
      <w:rFonts w:ascii="Tahoma" w:hAnsi="Tahoma" w:cs="Garamond"/>
      <w:kern w:val="0"/>
      <w:szCs w:val="24"/>
    </w:rPr>
  </w:style>
  <w:style w:type="paragraph" w:customStyle="1" w:styleId="2323">
    <w:name w:val="样式 标题 3标题3H3h33rd level第二层条头标题 3 Char Char小标题小节标题标题 3 ...3"/>
    <w:basedOn w:val="5"/>
    <w:qFormat/>
    <w:uiPriority w:val="0"/>
    <w:pPr>
      <w:tabs>
        <w:tab w:val="left" w:pos="709"/>
      </w:tabs>
      <w:spacing w:beforeLines="50" w:after="240" w:line="240" w:lineRule="exact"/>
      <w:ind w:left="709" w:hanging="709" w:firstLineChars="200"/>
      <w:jc w:val="left"/>
    </w:pPr>
    <w:rPr>
      <w:rFonts w:ascii="FLGPEK+TimesNewRoman,Italic" w:hAnsi="FLGPEK+TimesNewRoman,Italic" w:eastAsia="Calibri" w:cs="Garamond"/>
      <w:color w:val="000000"/>
      <w:kern w:val="0"/>
      <w:sz w:val="30"/>
    </w:rPr>
  </w:style>
  <w:style w:type="paragraph" w:customStyle="1" w:styleId="2324">
    <w:name w:val="样式 标题 3一标题3H3h33rd level第二层条头标题 3 Char Char标题 3 Char2标...1"/>
    <w:basedOn w:val="5"/>
    <w:qFormat/>
    <w:uiPriority w:val="0"/>
    <w:pPr>
      <w:tabs>
        <w:tab w:val="left" w:pos="720"/>
      </w:tabs>
      <w:spacing w:beforeLines="50" w:afterLines="20" w:line="288" w:lineRule="auto"/>
      <w:ind w:left="720" w:hanging="720" w:firstLineChars="200"/>
      <w:jc w:val="left"/>
    </w:pPr>
    <w:rPr>
      <w:rFonts w:ascii="FLGPEK+TimesNewRoman,Italic" w:hAnsi="FLGPEK+TimesNewRoman,Italic" w:eastAsia="华文仿宋" w:cs="Garamond"/>
      <w:b w:val="0"/>
      <w:color w:val="000000"/>
      <w:sz w:val="30"/>
    </w:rPr>
  </w:style>
  <w:style w:type="paragraph" w:customStyle="1" w:styleId="2325">
    <w:name w:val="_Style 13"/>
    <w:basedOn w:val="1"/>
    <w:next w:val="35"/>
    <w:qFormat/>
    <w:uiPriority w:val="0"/>
    <w:pPr>
      <w:spacing w:after="120" w:line="440" w:lineRule="exact"/>
      <w:ind w:left="420" w:leftChars="200" w:firstLine="480"/>
    </w:pPr>
    <w:rPr>
      <w:rFonts w:ascii="宋体" w:cs="Times New Roman"/>
      <w:spacing w:val="5"/>
      <w:sz w:val="25"/>
      <w:szCs w:val="20"/>
    </w:rPr>
  </w:style>
  <w:style w:type="paragraph" w:customStyle="1" w:styleId="2326">
    <w:name w:val="依据文字"/>
    <w:basedOn w:val="87"/>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pPr>
    <w:rPr>
      <w:color w:val="auto"/>
      <w:szCs w:val="28"/>
      <w:lang w:val="en-US"/>
    </w:rPr>
  </w:style>
  <w:style w:type="paragraph" w:customStyle="1" w:styleId="2327">
    <w:name w:val="封面2"/>
    <w:basedOn w:val="1"/>
    <w:qFormat/>
    <w:uiPriority w:val="0"/>
    <w:pPr>
      <w:adjustRightInd w:val="0"/>
      <w:snapToGrid w:val="0"/>
    </w:pPr>
    <w:rPr>
      <w:rFonts w:cs="Times New Roman"/>
      <w:b/>
      <w:bCs/>
      <w:sz w:val="32"/>
      <w:szCs w:val="32"/>
    </w:rPr>
  </w:style>
  <w:style w:type="paragraph" w:customStyle="1" w:styleId="2328">
    <w:name w:val="TOCI"/>
    <w:basedOn w:val="157"/>
    <w:next w:val="157"/>
    <w:qFormat/>
    <w:uiPriority w:val="0"/>
    <w:rPr>
      <w:rFonts w:ascii="FLGPEK+TimesNewRoman,Italic" w:hAnsi="Chicago" w:cs="Chicago"/>
      <w:color w:val="auto"/>
    </w:rPr>
  </w:style>
  <w:style w:type="paragraph" w:customStyle="1" w:styleId="2329">
    <w:name w:val="仪征表"/>
    <w:basedOn w:val="1"/>
    <w:qFormat/>
    <w:uiPriority w:val="0"/>
    <w:pPr>
      <w:adjustRightInd w:val="0"/>
      <w:spacing w:line="312" w:lineRule="atLeast"/>
      <w:jc w:val="center"/>
    </w:pPr>
    <w:rPr>
      <w:rFonts w:ascii="Batang" w:hAnsi="Batang" w:eastAsia="华文仿宋" w:cs="Garamond"/>
      <w:b/>
      <w:color w:val="000000"/>
      <w:kern w:val="0"/>
      <w:szCs w:val="24"/>
    </w:rPr>
  </w:style>
  <w:style w:type="paragraph" w:customStyle="1" w:styleId="2330">
    <w:name w:val="Char Char1 Char Char Char Char Char Char Char"/>
    <w:basedOn w:val="5"/>
    <w:qFormat/>
    <w:uiPriority w:val="0"/>
    <w:pPr>
      <w:tabs>
        <w:tab w:val="left" w:pos="360"/>
        <w:tab w:val="left" w:pos="900"/>
      </w:tabs>
      <w:snapToGrid w:val="0"/>
      <w:spacing w:before="120" w:after="120" w:line="440" w:lineRule="atLeast"/>
      <w:ind w:left="542" w:leftChars="-12" w:firstLine="200" w:firstLineChars="200"/>
      <w:jc w:val="left"/>
    </w:pPr>
    <w:rPr>
      <w:rFonts w:ascii="FLGPEK+TimesNewRoman,Italic" w:hAnsi="FLGPEK+TimesNewRoman,Italic" w:eastAsia="宋体" w:cs="Garamond"/>
      <w:b w:val="0"/>
      <w:color w:val="000000"/>
      <w:sz w:val="30"/>
      <w:szCs w:val="24"/>
    </w:rPr>
  </w:style>
  <w:style w:type="paragraph" w:customStyle="1" w:styleId="2331">
    <w:name w:val="正文999"/>
    <w:basedOn w:val="1"/>
    <w:qFormat/>
    <w:uiPriority w:val="0"/>
    <w:pPr>
      <w:ind w:firstLine="480"/>
    </w:pPr>
    <w:rPr>
      <w:rFonts w:ascii="宋体" w:hAnsi="宋体" w:cs="Times New Roman"/>
      <w:szCs w:val="24"/>
    </w:rPr>
  </w:style>
  <w:style w:type="paragraph" w:customStyle="1" w:styleId="2332">
    <w:name w:val="mark 标题 3 + 左侧:  2 字符"/>
    <w:basedOn w:val="5"/>
    <w:qFormat/>
    <w:uiPriority w:val="0"/>
    <w:pPr>
      <w:spacing w:after="120"/>
    </w:pPr>
    <w:rPr>
      <w:rFonts w:ascii="Verdana" w:hAnsi="Verdana" w:eastAsia="宋体" w:cs="宋体"/>
      <w:kern w:val="0"/>
      <w:sz w:val="30"/>
      <w:szCs w:val="24"/>
    </w:rPr>
  </w:style>
  <w:style w:type="paragraph" w:customStyle="1" w:styleId="2333">
    <w:name w:val="表格目录"/>
    <w:basedOn w:val="1"/>
    <w:next w:val="1"/>
    <w:qFormat/>
    <w:uiPriority w:val="0"/>
    <w:pPr>
      <w:widowControl/>
      <w:spacing w:line="440" w:lineRule="exact"/>
      <w:jc w:val="center"/>
    </w:pPr>
    <w:rPr>
      <w:rFonts w:ascii="Tahoma" w:hAnsi="Tahoma" w:cs="Garamond"/>
      <w:b/>
      <w:kern w:val="0"/>
      <w:sz w:val="22"/>
      <w:szCs w:val="24"/>
    </w:rPr>
  </w:style>
  <w:style w:type="paragraph" w:customStyle="1" w:styleId="2334">
    <w:name w:val="正文文字缩进加重"/>
    <w:basedOn w:val="35"/>
    <w:next w:val="35"/>
    <w:qFormat/>
    <w:uiPriority w:val="0"/>
    <w:pPr>
      <w:adjustRightInd w:val="0"/>
      <w:spacing w:after="0"/>
      <w:ind w:left="0" w:leftChars="0" w:firstLine="562"/>
    </w:pPr>
    <w:rPr>
      <w:rFonts w:ascii="宋体" w:hAnsi="Verdana" w:eastAsia="Times New Roman" w:cs="Times New Roman"/>
      <w:b/>
      <w:bCs/>
      <w:spacing w:val="5"/>
      <w:kern w:val="0"/>
      <w:sz w:val="28"/>
      <w:szCs w:val="20"/>
    </w:rPr>
  </w:style>
  <w:style w:type="paragraph" w:customStyle="1" w:styleId="2335">
    <w:name w:val="1 Char Char Char"/>
    <w:next w:val="87"/>
    <w:qFormat/>
    <w:uiPriority w:val="0"/>
    <w:pPr>
      <w:snapToGrid w:val="0"/>
      <w:spacing w:line="360" w:lineRule="auto"/>
      <w:ind w:firstLine="200" w:firstLineChars="200"/>
    </w:pPr>
    <w:rPr>
      <w:rFonts w:ascii="Times New Roman" w:hAnsi="Times New Roman" w:eastAsia="仿宋_GB2312" w:cs="Times New Roman"/>
      <w:kern w:val="2"/>
      <w:sz w:val="24"/>
      <w:lang w:val="en-US" w:eastAsia="zh-CN" w:bidi="ar-SA"/>
    </w:rPr>
  </w:style>
  <w:style w:type="paragraph" w:customStyle="1" w:styleId="2336">
    <w:name w:val="样式 标题 3条标题1.1.1BSH-3 + (中文) 黑体 玫瑰红 首行缩进:  2 字符 段前: 6 磅 段后:..."/>
    <w:basedOn w:val="5"/>
    <w:qFormat/>
    <w:uiPriority w:val="0"/>
    <w:pPr>
      <w:spacing w:line="560" w:lineRule="exact"/>
    </w:pPr>
    <w:rPr>
      <w:rFonts w:eastAsia="宋体" w:cs="宋体"/>
      <w:color w:val="FF99CC"/>
      <w:sz w:val="30"/>
      <w:szCs w:val="30"/>
    </w:rPr>
  </w:style>
  <w:style w:type="paragraph" w:customStyle="1" w:styleId="2337">
    <w:name w:val="图名称"/>
    <w:basedOn w:val="1"/>
    <w:qFormat/>
    <w:uiPriority w:val="0"/>
    <w:pPr>
      <w:tabs>
        <w:tab w:val="left" w:pos="2600"/>
        <w:tab w:val="center" w:pos="6622"/>
      </w:tabs>
      <w:adjustRightInd w:val="0"/>
      <w:snapToGrid w:val="0"/>
      <w:spacing w:before="50" w:line="312" w:lineRule="auto"/>
      <w:ind w:firstLine="178" w:firstLineChars="74"/>
      <w:jc w:val="center"/>
    </w:pPr>
    <w:rPr>
      <w:rFonts w:cs="Times New Roman"/>
      <w:b/>
      <w:bCs/>
      <w:szCs w:val="24"/>
    </w:rPr>
  </w:style>
  <w:style w:type="paragraph" w:customStyle="1" w:styleId="2338">
    <w:name w:val="CM108"/>
    <w:basedOn w:val="157"/>
    <w:next w:val="157"/>
    <w:qFormat/>
    <w:uiPriority w:val="0"/>
    <w:pPr>
      <w:spacing w:after="78"/>
    </w:pPr>
    <w:rPr>
      <w:rFonts w:ascii="华文中宋" w:hAnsi="Chicago" w:eastAsia="华文中宋" w:cs="Chicago"/>
      <w:color w:val="auto"/>
    </w:rPr>
  </w:style>
  <w:style w:type="paragraph" w:customStyle="1" w:styleId="2339">
    <w:name w:val="wb"/>
    <w:basedOn w:val="1"/>
    <w:qFormat/>
    <w:uiPriority w:val="0"/>
    <w:pPr>
      <w:widowControl/>
      <w:spacing w:before="100" w:beforeAutospacing="1" w:after="100" w:afterAutospacing="1" w:line="240" w:lineRule="auto"/>
      <w:ind w:firstLine="0" w:firstLineChars="0"/>
      <w:jc w:val="left"/>
    </w:pPr>
    <w:rPr>
      <w:rFonts w:ascii="ˎ̥" w:hAnsi="ˎ̥" w:cs="Times New Roman"/>
      <w:color w:val="000000"/>
      <w:kern w:val="0"/>
      <w:szCs w:val="20"/>
    </w:rPr>
  </w:style>
  <w:style w:type="paragraph" w:customStyle="1" w:styleId="2340">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2341">
    <w:name w:val="列表编号 41"/>
    <w:basedOn w:val="1"/>
    <w:qFormat/>
    <w:uiPriority w:val="0"/>
    <w:pPr>
      <w:tabs>
        <w:tab w:val="left" w:pos="1620"/>
      </w:tabs>
      <w:spacing w:line="480" w:lineRule="exact"/>
      <w:ind w:left="1620" w:leftChars="600" w:hanging="360" w:hangingChars="200"/>
    </w:pPr>
    <w:rPr>
      <w:rFonts w:ascii="Tahoma" w:hAnsi="Tahoma" w:cs="Garamond"/>
      <w:kern w:val="0"/>
      <w:szCs w:val="24"/>
    </w:rPr>
  </w:style>
  <w:style w:type="paragraph" w:customStyle="1" w:styleId="2342">
    <w:name w:val="xl18"/>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Times New Roman" w:cs="Times New Roman"/>
      <w:b/>
      <w:color w:val="FF0000"/>
      <w:kern w:val="0"/>
      <w:sz w:val="32"/>
      <w:szCs w:val="20"/>
    </w:rPr>
  </w:style>
  <w:style w:type="paragraph" w:customStyle="1" w:styleId="2343">
    <w:name w:val="样式 小四 行距: 1.5 倍行距"/>
    <w:basedOn w:val="1"/>
    <w:qFormat/>
    <w:uiPriority w:val="0"/>
    <w:rPr>
      <w:rFonts w:cs="Times New Roman"/>
      <w:szCs w:val="24"/>
    </w:rPr>
  </w:style>
  <w:style w:type="paragraph" w:customStyle="1" w:styleId="2344">
    <w:name w:val="於"/>
    <w:basedOn w:val="1"/>
    <w:qFormat/>
    <w:uiPriority w:val="0"/>
    <w:pPr>
      <w:ind w:firstLine="600"/>
    </w:pPr>
    <w:rPr>
      <w:rFonts w:cs="Times New Roman"/>
      <w:sz w:val="30"/>
      <w:szCs w:val="20"/>
    </w:rPr>
  </w:style>
  <w:style w:type="paragraph" w:customStyle="1" w:styleId="2345">
    <w:name w:val="Char Char2 Char"/>
    <w:basedOn w:val="5"/>
    <w:qFormat/>
    <w:uiPriority w:val="0"/>
    <w:pPr>
      <w:tabs>
        <w:tab w:val="left" w:pos="360"/>
        <w:tab w:val="left" w:pos="900"/>
      </w:tabs>
      <w:snapToGrid w:val="0"/>
      <w:spacing w:before="120" w:after="120"/>
      <w:ind w:left="542" w:leftChars="-12" w:firstLine="200" w:firstLineChars="200"/>
      <w:jc w:val="left"/>
    </w:pPr>
    <w:rPr>
      <w:rFonts w:ascii="Verdana" w:hAnsi="Verdana" w:eastAsia="宋体" w:cs="宋体"/>
      <w:b w:val="0"/>
      <w:bCs w:val="0"/>
      <w:kern w:val="0"/>
      <w:sz w:val="24"/>
      <w:szCs w:val="24"/>
    </w:rPr>
  </w:style>
  <w:style w:type="paragraph" w:customStyle="1" w:styleId="2346">
    <w:name w:val="author"/>
    <w:basedOn w:val="1"/>
    <w:qFormat/>
    <w:uiPriority w:val="0"/>
    <w:pPr>
      <w:widowControl/>
      <w:pBdr>
        <w:top w:val="single" w:color="DDDDEE" w:sz="6" w:space="5"/>
      </w:pBdr>
      <w:shd w:val="clear" w:color="auto" w:fill="EEEEFF"/>
      <w:spacing w:before="100" w:beforeAutospacing="1" w:after="100" w:afterAutospacing="1" w:line="440" w:lineRule="exact"/>
      <w:ind w:firstLine="480"/>
      <w:jc w:val="left"/>
    </w:pPr>
    <w:rPr>
      <w:rFonts w:ascii="宋体" w:hAnsi="宋体" w:cs="宋体"/>
      <w:kern w:val="0"/>
      <w:szCs w:val="24"/>
    </w:rPr>
  </w:style>
  <w:style w:type="paragraph" w:customStyle="1" w:styleId="2347">
    <w:name w:val="6级 （1）"/>
    <w:basedOn w:val="1"/>
    <w:qFormat/>
    <w:uiPriority w:val="0"/>
    <w:pPr>
      <w:adjustRightInd w:val="0"/>
      <w:spacing w:line="440" w:lineRule="exact"/>
      <w:ind w:firstLine="340"/>
      <w:outlineLvl w:val="5"/>
    </w:pPr>
    <w:rPr>
      <w:rFonts w:cs="Times New Roman"/>
      <w:szCs w:val="20"/>
    </w:rPr>
  </w:style>
  <w:style w:type="paragraph" w:customStyle="1" w:styleId="2348">
    <w:name w:val="样式 标题 1 + 宋体"/>
    <w:basedOn w:val="3"/>
    <w:qFormat/>
    <w:uiPriority w:val="0"/>
    <w:pPr>
      <w:adjustRightInd w:val="0"/>
      <w:spacing w:beforeLines="100" w:line="500" w:lineRule="exact"/>
    </w:pPr>
    <w:rPr>
      <w:rFonts w:ascii="黑体" w:hAnsi="宋体" w:cs="宋体"/>
      <w:bCs w:val="0"/>
      <w:sz w:val="28"/>
      <w:szCs w:val="20"/>
    </w:rPr>
  </w:style>
  <w:style w:type="paragraph" w:customStyle="1" w:styleId="2349">
    <w:name w:val="样式 首行缩进:  2 字符 行距: 最小值 24 磅 Char"/>
    <w:basedOn w:val="1"/>
    <w:qFormat/>
    <w:uiPriority w:val="0"/>
    <w:pPr>
      <w:spacing w:line="480" w:lineRule="atLeast"/>
      <w:ind w:firstLine="560"/>
    </w:pPr>
    <w:rPr>
      <w:rFonts w:cs="宋体"/>
      <w:szCs w:val="20"/>
    </w:rPr>
  </w:style>
  <w:style w:type="paragraph" w:customStyle="1" w:styleId="2350">
    <w:name w:val="样式 标题 3 + 首行缩进:  0.74 厘米"/>
    <w:basedOn w:val="5"/>
    <w:qFormat/>
    <w:uiPriority w:val="0"/>
    <w:pPr>
      <w:ind w:firstLine="420"/>
    </w:pPr>
    <w:rPr>
      <w:rFonts w:ascii="Verdana" w:hAnsi="Verdana" w:eastAsia="宋体" w:cs="宋体"/>
      <w:kern w:val="0"/>
      <w:szCs w:val="24"/>
    </w:rPr>
  </w:style>
  <w:style w:type="paragraph" w:customStyle="1" w:styleId="2351">
    <w:name w:val="块项目"/>
    <w:next w:val="1"/>
    <w:qFormat/>
    <w:uiPriority w:val="0"/>
    <w:pPr>
      <w:tabs>
        <w:tab w:val="left" w:pos="840"/>
      </w:tabs>
      <w:spacing w:before="120" w:after="120"/>
      <w:ind w:firstLine="420"/>
    </w:pPr>
    <w:rPr>
      <w:rFonts w:ascii="Times New Roman" w:hAnsi="Times New Roman" w:eastAsia="宋体" w:cs="Times New Roman"/>
      <w:b/>
      <w:spacing w:val="20"/>
      <w:sz w:val="24"/>
      <w:lang w:val="en-US" w:eastAsia="zh-CN" w:bidi="ar-SA"/>
    </w:rPr>
  </w:style>
  <w:style w:type="paragraph" w:customStyle="1" w:styleId="2352">
    <w:name w:val="图表题"/>
    <w:basedOn w:val="1"/>
    <w:next w:val="1974"/>
    <w:qFormat/>
    <w:uiPriority w:val="0"/>
    <w:pPr>
      <w:spacing w:beforeLines="50" w:afterLines="50"/>
      <w:ind w:firstLine="480"/>
      <w:jc w:val="center"/>
    </w:pPr>
    <w:rPr>
      <w:rFonts w:ascii="黑体" w:hAnsi="宋体" w:eastAsia="黑体" w:cs="宋体"/>
      <w:b/>
      <w:bCs/>
      <w:szCs w:val="24"/>
    </w:rPr>
  </w:style>
  <w:style w:type="paragraph" w:customStyle="1" w:styleId="2353">
    <w:name w:val="样式 (中文) 仿宋_GB2312 段前: 0 磅"/>
    <w:basedOn w:val="1"/>
    <w:qFormat/>
    <w:uiPriority w:val="0"/>
    <w:pPr>
      <w:adjustRightInd w:val="0"/>
      <w:spacing w:line="440" w:lineRule="exact"/>
    </w:pPr>
    <w:rPr>
      <w:rFonts w:ascii="Tahoma" w:hAnsi="Tahoma" w:eastAsia="华文仿宋" w:cs="Garamond"/>
      <w:kern w:val="0"/>
      <w:szCs w:val="24"/>
    </w:rPr>
  </w:style>
  <w:style w:type="paragraph" w:customStyle="1" w:styleId="2354">
    <w:name w:val="图题注"/>
    <w:basedOn w:val="22"/>
    <w:qFormat/>
    <w:uiPriority w:val="0"/>
    <w:pPr>
      <w:snapToGrid w:val="0"/>
      <w:spacing w:before="120" w:after="240"/>
      <w:ind w:firstLine="200" w:firstLineChars="200"/>
    </w:pPr>
    <w:rPr>
      <w:rFonts w:ascii="黑体" w:eastAsia="黑体" w:cs="Times New Roman"/>
      <w:kern w:val="0"/>
    </w:rPr>
  </w:style>
  <w:style w:type="paragraph" w:customStyle="1" w:styleId="2355">
    <w:name w:val="字元 字元 字元"/>
    <w:basedOn w:val="1"/>
    <w:qFormat/>
    <w:uiPriority w:val="0"/>
    <w:rPr>
      <w:rFonts w:ascii="宋体" w:hAnsi="宋体" w:cs="宋体"/>
      <w:szCs w:val="24"/>
    </w:rPr>
  </w:style>
  <w:style w:type="paragraph" w:customStyle="1" w:styleId="2356">
    <w:name w:val="标题 21"/>
    <w:basedOn w:val="1"/>
    <w:next w:val="1"/>
    <w:qFormat/>
    <w:uiPriority w:val="0"/>
    <w:pPr>
      <w:keepNext/>
      <w:spacing w:line="360" w:lineRule="atLeast"/>
      <w:ind w:firstLine="480"/>
      <w:jc w:val="center"/>
      <w:outlineLvl w:val="1"/>
    </w:pPr>
    <w:rPr>
      <w:rFonts w:cs="Times New Roman"/>
      <w:sz w:val="28"/>
      <w:szCs w:val="20"/>
    </w:rPr>
  </w:style>
  <w:style w:type="paragraph" w:customStyle="1" w:styleId="2357">
    <w:name w:val="样式 标题 11.标题 1一、标题 1 Char Char Char Char + 小四"/>
    <w:basedOn w:val="3"/>
    <w:qFormat/>
    <w:uiPriority w:val="0"/>
    <w:pPr>
      <w:tabs>
        <w:tab w:val="left" w:pos="432"/>
      </w:tabs>
      <w:spacing w:line="440" w:lineRule="exact"/>
      <w:ind w:left="432" w:hanging="432" w:firstLineChars="200"/>
    </w:pPr>
    <w:rPr>
      <w:rFonts w:ascii="宋体" w:hAnsi="Tahoma" w:eastAsia="宋体" w:cs="Garamond"/>
      <w:bCs w:val="0"/>
      <w:color w:val="000000"/>
      <w:sz w:val="28"/>
      <w:szCs w:val="24"/>
    </w:rPr>
  </w:style>
  <w:style w:type="paragraph" w:customStyle="1" w:styleId="2358">
    <w:name w:val=".. 3"/>
    <w:basedOn w:val="157"/>
    <w:next w:val="157"/>
    <w:qFormat/>
    <w:uiPriority w:val="0"/>
    <w:pPr>
      <w:spacing w:before="260" w:after="260"/>
    </w:pPr>
    <w:rPr>
      <w:rFonts w:ascii="FLGPEK+TimesNewRoman,Italic" w:hAnsi="Chicago" w:cs="Chicago"/>
      <w:color w:val="auto"/>
    </w:rPr>
  </w:style>
  <w:style w:type="paragraph" w:customStyle="1" w:styleId="2359">
    <w:name w:val="Q-正文"/>
    <w:basedOn w:val="1"/>
    <w:qFormat/>
    <w:uiPriority w:val="0"/>
    <w:pPr>
      <w:autoSpaceDE w:val="0"/>
      <w:autoSpaceDN w:val="0"/>
      <w:spacing w:before="120" w:after="120" w:line="560" w:lineRule="exact"/>
    </w:pPr>
    <w:rPr>
      <w:rFonts w:cs="Times New Roman"/>
      <w:sz w:val="28"/>
      <w:szCs w:val="20"/>
      <w:lang w:val="zh-CN"/>
    </w:rPr>
  </w:style>
  <w:style w:type="paragraph" w:customStyle="1" w:styleId="2360">
    <w:name w:val="Char Char Char Char Char Char Char Char Char Char Char1"/>
    <w:basedOn w:val="1"/>
    <w:qFormat/>
    <w:uiPriority w:val="0"/>
    <w:pPr>
      <w:spacing w:line="440" w:lineRule="exact"/>
      <w:ind w:firstLine="720"/>
    </w:pPr>
    <w:rPr>
      <w:rFonts w:cs="Times New Roman"/>
      <w:kern w:val="0"/>
      <w:szCs w:val="24"/>
    </w:rPr>
  </w:style>
  <w:style w:type="paragraph" w:customStyle="1" w:styleId="2361">
    <w:name w:val="2 Char Char Char Char Char Char Char"/>
    <w:basedOn w:val="1"/>
    <w:qFormat/>
    <w:uiPriority w:val="0"/>
    <w:pPr>
      <w:spacing w:line="440" w:lineRule="exact"/>
      <w:ind w:firstLine="720"/>
    </w:pPr>
    <w:rPr>
      <w:rFonts w:cs="Times New Roman"/>
      <w:kern w:val="0"/>
      <w:szCs w:val="24"/>
    </w:rPr>
  </w:style>
  <w:style w:type="paragraph" w:customStyle="1" w:styleId="2362">
    <w:name w:val="CM75"/>
    <w:basedOn w:val="157"/>
    <w:next w:val="157"/>
    <w:qFormat/>
    <w:uiPriority w:val="0"/>
    <w:rPr>
      <w:rFonts w:ascii="华文中宋" w:hAnsi="Chicago" w:eastAsia="华文中宋" w:cs="Chicago"/>
      <w:color w:val="auto"/>
    </w:rPr>
  </w:style>
  <w:style w:type="paragraph" w:customStyle="1" w:styleId="2363">
    <w:name w:val="样式 小四 行距: 1.5 倍行距 首行缩进:  2 字符"/>
    <w:basedOn w:val="1"/>
    <w:qFormat/>
    <w:uiPriority w:val="0"/>
    <w:pPr>
      <w:ind w:firstLine="480"/>
    </w:pPr>
    <w:rPr>
      <w:rFonts w:cs="Times New Roman"/>
      <w:szCs w:val="20"/>
    </w:rPr>
  </w:style>
  <w:style w:type="paragraph" w:customStyle="1" w:styleId="2364">
    <w:name w:val="页眉dh"/>
    <w:basedOn w:val="57"/>
    <w:qFormat/>
    <w:uiPriority w:val="0"/>
    <w:pPr>
      <w:pBdr>
        <w:bottom w:val="single" w:color="auto" w:sz="8" w:space="1"/>
      </w:pBdr>
      <w:spacing w:line="240" w:lineRule="atLeast"/>
      <w:ind w:firstLine="0" w:firstLineChars="0"/>
      <w:jc w:val="both"/>
    </w:pPr>
    <w:rPr>
      <w:rFonts w:ascii="隶书" w:eastAsia="隶书" w:cs="Times New Roman"/>
      <w:sz w:val="21"/>
      <w:szCs w:val="24"/>
    </w:rPr>
  </w:style>
  <w:style w:type="paragraph" w:customStyle="1" w:styleId="2365">
    <w:name w:val="表格居中"/>
    <w:basedOn w:val="1"/>
    <w:qFormat/>
    <w:uiPriority w:val="0"/>
    <w:pPr>
      <w:spacing w:line="440" w:lineRule="exact"/>
      <w:jc w:val="center"/>
    </w:pPr>
    <w:rPr>
      <w:rFonts w:cs="宋体"/>
      <w:szCs w:val="20"/>
    </w:rPr>
  </w:style>
  <w:style w:type="paragraph" w:customStyle="1" w:styleId="2366">
    <w:name w:val="正文缩近"/>
    <w:basedOn w:val="1"/>
    <w:qFormat/>
    <w:uiPriority w:val="0"/>
    <w:pPr>
      <w:ind w:firstLine="560"/>
    </w:pPr>
    <w:rPr>
      <w:rFonts w:ascii="Tahoma" w:hAnsi="Tahoma" w:cs="Garamond"/>
      <w:kern w:val="0"/>
      <w:sz w:val="28"/>
      <w:szCs w:val="28"/>
    </w:rPr>
  </w:style>
  <w:style w:type="paragraph" w:customStyle="1" w:styleId="2367">
    <w:name w:val="表格文本 五号 居中 单倍行距"/>
    <w:basedOn w:val="1"/>
    <w:qFormat/>
    <w:uiPriority w:val="0"/>
    <w:pPr>
      <w:keepNext/>
      <w:adjustRightInd w:val="0"/>
      <w:snapToGrid w:val="0"/>
      <w:spacing w:line="440" w:lineRule="exact"/>
      <w:ind w:firstLine="480"/>
      <w:jc w:val="center"/>
    </w:pPr>
    <w:rPr>
      <w:rFonts w:cs="宋体"/>
      <w:szCs w:val="20"/>
    </w:rPr>
  </w:style>
  <w:style w:type="paragraph" w:customStyle="1" w:styleId="2368">
    <w:name w:val="样式 正文（首行缩进两字） + 宋体 小四 加粗 行距: 固定值 24 磅"/>
    <w:basedOn w:val="21"/>
    <w:qFormat/>
    <w:uiPriority w:val="0"/>
    <w:pPr>
      <w:adjustRightInd w:val="0"/>
      <w:spacing w:line="480" w:lineRule="exact"/>
      <w:ind w:firstLine="480"/>
    </w:pPr>
    <w:rPr>
      <w:rFonts w:asciiTheme="minorHAnsi" w:hAnsiTheme="minorHAnsi" w:eastAsiaTheme="minorEastAsia" w:cstheme="minorBidi"/>
      <w:sz w:val="24"/>
      <w:szCs w:val="22"/>
      <w:lang w:val="en-GB"/>
    </w:rPr>
  </w:style>
  <w:style w:type="paragraph" w:customStyle="1" w:styleId="2369">
    <w:name w:val="p19"/>
    <w:basedOn w:val="1"/>
    <w:qFormat/>
    <w:uiPriority w:val="0"/>
    <w:pPr>
      <w:widowControl/>
      <w:spacing w:before="31" w:after="31" w:line="420" w:lineRule="atLeast"/>
      <w:ind w:firstLine="420"/>
    </w:pPr>
    <w:rPr>
      <w:rFonts w:cs="Times New Roman"/>
      <w:kern w:val="0"/>
      <w:szCs w:val="24"/>
    </w:rPr>
  </w:style>
  <w:style w:type="paragraph" w:customStyle="1" w:styleId="2370">
    <w:name w:val="正文+宋体"/>
    <w:basedOn w:val="1"/>
    <w:qFormat/>
    <w:uiPriority w:val="0"/>
    <w:pPr>
      <w:tabs>
        <w:tab w:val="left" w:pos="4680"/>
      </w:tabs>
      <w:spacing w:line="440" w:lineRule="exact"/>
      <w:jc w:val="center"/>
    </w:pPr>
    <w:rPr>
      <w:rFonts w:ascii="宋体" w:hAnsi="宋体" w:cs="Times New Roman"/>
      <w:color w:val="0000FF"/>
      <w:spacing w:val="-12"/>
    </w:rPr>
  </w:style>
  <w:style w:type="paragraph" w:customStyle="1" w:styleId="2371">
    <w:name w:val="通用"/>
    <w:basedOn w:val="1"/>
    <w:qFormat/>
    <w:uiPriority w:val="0"/>
    <w:pPr>
      <w:widowControl/>
      <w:spacing w:before="120" w:after="120" w:line="300" w:lineRule="exact"/>
      <w:ind w:right="216" w:firstLine="720"/>
      <w:jc w:val="left"/>
    </w:pPr>
    <w:rPr>
      <w:rFonts w:ascii="ӗԲ" w:hAnsi="ӗԲ" w:cs="Times New Roman"/>
      <w:spacing w:val="40"/>
      <w:kern w:val="0"/>
      <w:szCs w:val="24"/>
    </w:rPr>
  </w:style>
  <w:style w:type="paragraph" w:customStyle="1" w:styleId="2372">
    <w:name w:val="CM126"/>
    <w:basedOn w:val="1"/>
    <w:next w:val="1"/>
    <w:qFormat/>
    <w:uiPriority w:val="0"/>
    <w:pPr>
      <w:autoSpaceDE w:val="0"/>
      <w:autoSpaceDN w:val="0"/>
      <w:adjustRightInd w:val="0"/>
      <w:spacing w:after="310" w:line="440" w:lineRule="exact"/>
      <w:jc w:val="left"/>
    </w:pPr>
    <w:rPr>
      <w:rFonts w:ascii="宋体" w:cs="Times New Roman"/>
      <w:kern w:val="0"/>
      <w:szCs w:val="24"/>
    </w:rPr>
  </w:style>
  <w:style w:type="paragraph" w:customStyle="1" w:styleId="2373">
    <w:name w:val="表格统一样式 小五 局中"/>
    <w:basedOn w:val="1"/>
    <w:qFormat/>
    <w:uiPriority w:val="0"/>
    <w:pPr>
      <w:autoSpaceDE w:val="0"/>
      <w:autoSpaceDN w:val="0"/>
      <w:spacing w:line="440" w:lineRule="exact"/>
      <w:jc w:val="center"/>
    </w:pPr>
    <w:rPr>
      <w:rFonts w:ascii="Tahoma" w:hAnsi="Tahoma" w:eastAsia="华文仿宋" w:cs="Garamond"/>
      <w:color w:val="000000"/>
      <w:kern w:val="0"/>
      <w:sz w:val="18"/>
      <w:szCs w:val="24"/>
    </w:rPr>
  </w:style>
  <w:style w:type="paragraph" w:customStyle="1" w:styleId="2374">
    <w:name w:val="Char2 Char Char Char Char Char Char1"/>
    <w:basedOn w:val="1"/>
    <w:qFormat/>
    <w:uiPriority w:val="0"/>
    <w:pPr>
      <w:spacing w:line="440" w:lineRule="exact"/>
    </w:pPr>
    <w:rPr>
      <w:rFonts w:ascii="Batang" w:hAnsi="Batang" w:cs="Batang"/>
      <w:kern w:val="0"/>
      <w:szCs w:val="24"/>
    </w:rPr>
  </w:style>
  <w:style w:type="paragraph" w:customStyle="1" w:styleId="2375">
    <w:name w:val="样式 标题 3条标题1.1.1BSH-3 + (中文) 黑体 小三 非加粗"/>
    <w:basedOn w:val="5"/>
    <w:qFormat/>
    <w:uiPriority w:val="0"/>
    <w:pPr>
      <w:keepNext w:val="0"/>
      <w:keepLines w:val="0"/>
      <w:spacing w:afterLines="50" w:line="560" w:lineRule="exact"/>
    </w:pPr>
    <w:rPr>
      <w:b w:val="0"/>
      <w:kern w:val="0"/>
      <w:szCs w:val="28"/>
    </w:rPr>
  </w:style>
  <w:style w:type="paragraph" w:customStyle="1" w:styleId="2376">
    <w:name w:val="样式 表格样式"/>
    <w:basedOn w:val="1"/>
    <w:qFormat/>
    <w:uiPriority w:val="0"/>
    <w:pPr>
      <w:snapToGrid w:val="0"/>
      <w:spacing w:line="240" w:lineRule="atLeast"/>
      <w:ind w:firstLine="480"/>
    </w:pPr>
    <w:rPr>
      <w:rFonts w:cs="宋体"/>
      <w:szCs w:val="20"/>
    </w:rPr>
  </w:style>
  <w:style w:type="paragraph" w:customStyle="1" w:styleId="2377">
    <w:name w:val="表格文字中对齐"/>
    <w:basedOn w:val="1"/>
    <w:qFormat/>
    <w:uiPriority w:val="0"/>
    <w:pPr>
      <w:spacing w:line="300" w:lineRule="auto"/>
      <w:ind w:firstLine="480"/>
      <w:jc w:val="center"/>
    </w:pPr>
    <w:rPr>
      <w:rFonts w:ascii="Arial Narrow" w:hAnsi="Arial Narrow" w:eastAsia="仿宋_GB2312" w:cs="Times New Roman"/>
    </w:rPr>
  </w:style>
  <w:style w:type="paragraph" w:customStyle="1" w:styleId="2378">
    <w:name w:val="样式 样式 四号 首行缩进:  2 字符 + 首行缩进:  2 字符"/>
    <w:basedOn w:val="1"/>
    <w:qFormat/>
    <w:uiPriority w:val="0"/>
    <w:pPr>
      <w:spacing w:line="480" w:lineRule="atLeast"/>
      <w:ind w:firstLine="480"/>
    </w:pPr>
    <w:rPr>
      <w:rFonts w:cs="宋体"/>
      <w:szCs w:val="20"/>
    </w:rPr>
  </w:style>
  <w:style w:type="paragraph" w:customStyle="1" w:styleId="2379">
    <w:name w:val="样式 正文（首行缩进两字） + 首行缩进:  2 字符"/>
    <w:basedOn w:val="21"/>
    <w:qFormat/>
    <w:uiPriority w:val="0"/>
    <w:pPr>
      <w:adjustRightInd w:val="0"/>
      <w:snapToGrid w:val="0"/>
      <w:spacing w:line="500" w:lineRule="atLeast"/>
      <w:ind w:firstLine="200"/>
    </w:pPr>
    <w:rPr>
      <w:rFonts w:ascii="宋体" w:hAnsi="Verdana" w:cs="宋体" w:eastAsiaTheme="minorEastAsia"/>
      <w:sz w:val="28"/>
      <w:szCs w:val="22"/>
    </w:rPr>
  </w:style>
  <w:style w:type="paragraph" w:customStyle="1" w:styleId="2380">
    <w:name w:val="List Paragraph1"/>
    <w:basedOn w:val="1"/>
    <w:qFormat/>
    <w:uiPriority w:val="0"/>
    <w:pPr>
      <w:spacing w:beforeLines="50" w:afterLines="50"/>
      <w:ind w:firstLine="420"/>
    </w:pPr>
    <w:rPr>
      <w:rFonts w:cs="Times New Roman"/>
    </w:rPr>
  </w:style>
  <w:style w:type="paragraph" w:customStyle="1" w:styleId="2381">
    <w:name w:val="大妹正文 Char"/>
    <w:basedOn w:val="3"/>
    <w:qFormat/>
    <w:uiPriority w:val="0"/>
    <w:pPr>
      <w:pageBreakBefore/>
      <w:widowControl/>
      <w:spacing w:afterLines="100" w:line="240" w:lineRule="exact"/>
      <w:ind w:left="-126" w:leftChars="-60" w:right="-113" w:rightChars="-54"/>
      <w:jc w:val="left"/>
      <w:outlineLvl w:val="9"/>
    </w:pPr>
    <w:rPr>
      <w:rFonts w:ascii="宋体" w:eastAsia="宋体"/>
      <w:sz w:val="30"/>
      <w:szCs w:val="30"/>
    </w:rPr>
  </w:style>
  <w:style w:type="paragraph" w:customStyle="1" w:styleId="2382">
    <w:name w:val="Char Char1 Char Char Char Char1"/>
    <w:basedOn w:val="1"/>
    <w:qFormat/>
    <w:uiPriority w:val="0"/>
    <w:pPr>
      <w:spacing w:line="440" w:lineRule="exact"/>
    </w:pPr>
    <w:rPr>
      <w:rFonts w:ascii="Tahoma" w:hAnsi="Tahoma" w:cs="Garamond"/>
      <w:kern w:val="0"/>
      <w:szCs w:val="24"/>
    </w:rPr>
  </w:style>
  <w:style w:type="paragraph" w:customStyle="1" w:styleId="2383">
    <w:name w:val="表内五中"/>
    <w:basedOn w:val="1"/>
    <w:qFormat/>
    <w:uiPriority w:val="0"/>
    <w:pPr>
      <w:tabs>
        <w:tab w:val="left" w:pos="-120"/>
      </w:tabs>
      <w:spacing w:before="60" w:line="310" w:lineRule="atLeast"/>
      <w:jc w:val="center"/>
    </w:pPr>
    <w:rPr>
      <w:rFonts w:cs="Times New Roman"/>
      <w:szCs w:val="20"/>
    </w:rPr>
  </w:style>
  <w:style w:type="paragraph" w:customStyle="1" w:styleId="2384">
    <w:name w:val="标题2-1"/>
    <w:basedOn w:val="4"/>
    <w:qFormat/>
    <w:uiPriority w:val="0"/>
    <w:pPr>
      <w:spacing w:line="500" w:lineRule="exact"/>
    </w:pPr>
    <w:rPr>
      <w:rFonts w:ascii="宋体" w:hAnsi="宋体" w:eastAsia="宋体"/>
      <w:bCs w:val="0"/>
      <w:color w:val="000000"/>
      <w:kern w:val="44"/>
      <w:sz w:val="24"/>
      <w:szCs w:val="20"/>
    </w:rPr>
  </w:style>
  <w:style w:type="paragraph" w:customStyle="1" w:styleId="2385">
    <w:name w:val="索引 91"/>
    <w:basedOn w:val="1"/>
    <w:next w:val="1"/>
    <w:qFormat/>
    <w:uiPriority w:val="0"/>
    <w:pPr>
      <w:spacing w:line="440" w:lineRule="exact"/>
      <w:ind w:left="2250" w:hanging="250"/>
      <w:jc w:val="left"/>
    </w:pPr>
    <w:rPr>
      <w:rFonts w:ascii="Batang" w:hAnsi="Batang" w:cs="Batang"/>
      <w:spacing w:val="5"/>
      <w:kern w:val="0"/>
      <w:sz w:val="20"/>
      <w:szCs w:val="24"/>
    </w:rPr>
  </w:style>
  <w:style w:type="paragraph" w:customStyle="1" w:styleId="2386">
    <w:name w:val="样式 标题 3条标题1.1.1BSH-3 + 行距: 固定值 28 磅"/>
    <w:basedOn w:val="5"/>
    <w:qFormat/>
    <w:uiPriority w:val="0"/>
    <w:pPr>
      <w:snapToGrid w:val="0"/>
      <w:spacing w:line="560" w:lineRule="exact"/>
      <w:jc w:val="left"/>
    </w:pPr>
    <w:rPr>
      <w:rFonts w:cs="宋体"/>
      <w:b w:val="0"/>
      <w:bCs w:val="0"/>
      <w:color w:val="339966"/>
      <w:kern w:val="0"/>
      <w:sz w:val="30"/>
      <w:szCs w:val="20"/>
    </w:rPr>
  </w:style>
  <w:style w:type="paragraph" w:customStyle="1" w:styleId="2387">
    <w:name w:val="王表头"/>
    <w:basedOn w:val="1"/>
    <w:qFormat/>
    <w:uiPriority w:val="0"/>
    <w:pPr>
      <w:spacing w:beforeLines="30" w:line="560" w:lineRule="exact"/>
      <w:ind w:firstLine="720"/>
      <w:jc w:val="center"/>
    </w:pPr>
    <w:rPr>
      <w:rFonts w:eastAsia="ˎ̥" w:cs="Times New Roman"/>
      <w:bCs/>
      <w:kern w:val="0"/>
      <w:szCs w:val="24"/>
    </w:rPr>
  </w:style>
  <w:style w:type="paragraph" w:customStyle="1" w:styleId="2388">
    <w:name w:val="newstopic-h"/>
    <w:basedOn w:val="1"/>
    <w:qFormat/>
    <w:uiPriority w:val="0"/>
    <w:pPr>
      <w:widowControl/>
      <w:spacing w:before="100" w:beforeAutospacing="1" w:after="100" w:afterAutospacing="1" w:line="440" w:lineRule="exact"/>
      <w:ind w:firstLine="480"/>
    </w:pPr>
    <w:rPr>
      <w:rFonts w:cs="Times New Roman"/>
      <w:b/>
      <w:color w:val="333333"/>
      <w:kern w:val="0"/>
      <w:szCs w:val="20"/>
    </w:rPr>
  </w:style>
  <w:style w:type="paragraph" w:customStyle="1" w:styleId="2389">
    <w:name w:val="正文曹"/>
    <w:basedOn w:val="35"/>
    <w:qFormat/>
    <w:uiPriority w:val="0"/>
    <w:pPr>
      <w:spacing w:after="0" w:line="320" w:lineRule="exact"/>
      <w:ind w:left="0" w:leftChars="0" w:firstLine="0" w:firstLineChars="0"/>
      <w:jc w:val="center"/>
    </w:pPr>
    <w:rPr>
      <w:rFonts w:eastAsia="Times New Roman" w:cs="Times New Roman"/>
      <w:color w:val="FF0000"/>
      <w:sz w:val="21"/>
      <w:szCs w:val="20"/>
    </w:rPr>
  </w:style>
  <w:style w:type="paragraph" w:customStyle="1" w:styleId="2390">
    <w:name w:val="Char Char Char2 Char Char Char Char"/>
    <w:basedOn w:val="1"/>
    <w:qFormat/>
    <w:uiPriority w:val="0"/>
    <w:pPr>
      <w:tabs>
        <w:tab w:val="left" w:pos="7380"/>
      </w:tabs>
      <w:spacing w:before="120" w:after="120" w:line="440" w:lineRule="exact"/>
    </w:pPr>
    <w:rPr>
      <w:rFonts w:cs="Times New Roman"/>
      <w:szCs w:val="24"/>
    </w:rPr>
  </w:style>
  <w:style w:type="paragraph" w:customStyle="1" w:styleId="2391">
    <w:name w:val="样式 标题 2 + 段后: 0.5 行"/>
    <w:basedOn w:val="4"/>
    <w:qFormat/>
    <w:uiPriority w:val="0"/>
    <w:pPr>
      <w:tabs>
        <w:tab w:val="left" w:pos="576"/>
      </w:tabs>
      <w:snapToGrid w:val="0"/>
      <w:spacing w:before="240" w:afterLines="20" w:line="440" w:lineRule="exact"/>
      <w:ind w:left="576" w:hanging="576"/>
    </w:pPr>
    <w:rPr>
      <w:rFonts w:eastAsia="宋体" w:cs="Garamond"/>
      <w:b w:val="0"/>
      <w:smallCaps/>
      <w:sz w:val="24"/>
      <w:szCs w:val="21"/>
    </w:rPr>
  </w:style>
  <w:style w:type="paragraph" w:customStyle="1" w:styleId="2392">
    <w:name w:val="zhang正文"/>
    <w:basedOn w:val="35"/>
    <w:qFormat/>
    <w:uiPriority w:val="0"/>
    <w:pPr>
      <w:autoSpaceDE w:val="0"/>
      <w:autoSpaceDN w:val="0"/>
      <w:adjustRightInd w:val="0"/>
      <w:snapToGrid w:val="0"/>
      <w:spacing w:after="0"/>
      <w:ind w:left="0" w:leftChars="0" w:firstLine="539"/>
    </w:pPr>
    <w:rPr>
      <w:rFonts w:eastAsia="楷体_GB2312" w:cs="Times New Roman"/>
      <w:kern w:val="0"/>
      <w:sz w:val="28"/>
      <w:szCs w:val="20"/>
    </w:rPr>
  </w:style>
  <w:style w:type="paragraph" w:customStyle="1" w:styleId="2393">
    <w:name w:val="a正文格式"/>
    <w:basedOn w:val="1"/>
    <w:qFormat/>
    <w:uiPriority w:val="0"/>
    <w:pPr>
      <w:tabs>
        <w:tab w:val="left" w:pos="283"/>
      </w:tabs>
      <w:spacing w:line="440" w:lineRule="exact"/>
    </w:pPr>
    <w:rPr>
      <w:rFonts w:cs="Times New Roman"/>
      <w:szCs w:val="24"/>
    </w:rPr>
  </w:style>
  <w:style w:type="paragraph" w:customStyle="1" w:styleId="2394">
    <w:name w:val="正文文本缩进 212"/>
    <w:basedOn w:val="1"/>
    <w:qFormat/>
    <w:uiPriority w:val="0"/>
    <w:pPr>
      <w:adjustRightInd w:val="0"/>
      <w:spacing w:line="440" w:lineRule="exact"/>
      <w:ind w:firstLine="640"/>
    </w:pPr>
    <w:rPr>
      <w:rFonts w:ascii="Tahoma" w:hAnsi="Tahoma" w:eastAsia="华文仿宋" w:cs="Garamond"/>
      <w:color w:val="0000FF"/>
      <w:kern w:val="0"/>
      <w:sz w:val="32"/>
      <w:szCs w:val="24"/>
    </w:rPr>
  </w:style>
  <w:style w:type="paragraph" w:customStyle="1" w:styleId="2395">
    <w:name w:val="Char Char Char Char Char Char Char Char Char Char Char Char Char Char Char"/>
    <w:basedOn w:val="1"/>
    <w:qFormat/>
    <w:uiPriority w:val="0"/>
    <w:pPr>
      <w:spacing w:line="440" w:lineRule="exact"/>
      <w:ind w:firstLine="720"/>
    </w:pPr>
    <w:rPr>
      <w:rFonts w:cs="Times New Roman"/>
      <w:kern w:val="0"/>
      <w:szCs w:val="24"/>
    </w:rPr>
  </w:style>
  <w:style w:type="paragraph" w:customStyle="1" w:styleId="2396">
    <w:name w:val="Table of Figures1"/>
    <w:next w:val="1"/>
    <w:qFormat/>
    <w:uiPriority w:val="0"/>
    <w:pPr>
      <w:spacing w:beforeLines="50"/>
      <w:jc w:val="both"/>
    </w:pPr>
    <w:rPr>
      <w:rFonts w:ascii="Times New Roman" w:hAnsi="Times New Roman" w:eastAsia="宋体" w:cs="Times New Roman"/>
      <w:sz w:val="24"/>
      <w:lang w:val="en-US" w:eastAsia="zh-CN" w:bidi="ar-SA"/>
    </w:rPr>
  </w:style>
  <w:style w:type="paragraph" w:customStyle="1" w:styleId="2397">
    <w:name w:val="Char Char Char Char Char Char Char Char Char Char Char1 Char Char Char Char Char Char Char Char Char"/>
    <w:basedOn w:val="1"/>
    <w:qFormat/>
    <w:uiPriority w:val="0"/>
    <w:pPr>
      <w:spacing w:line="440" w:lineRule="exact"/>
      <w:ind w:firstLine="720"/>
    </w:pPr>
    <w:rPr>
      <w:rFonts w:cs="Times New Roman"/>
      <w:kern w:val="0"/>
      <w:szCs w:val="24"/>
    </w:rPr>
  </w:style>
  <w:style w:type="paragraph" w:customStyle="1" w:styleId="2398">
    <w:name w:val="样式 居中 首行缩进:  0.01 厘米 段后: 6 磅"/>
    <w:basedOn w:val="1"/>
    <w:qFormat/>
    <w:uiPriority w:val="0"/>
    <w:pPr>
      <w:spacing w:after="120" w:line="440" w:lineRule="exact"/>
      <w:ind w:firstLine="4"/>
      <w:jc w:val="center"/>
    </w:pPr>
    <w:rPr>
      <w:rFonts w:ascii="Tahoma" w:hAnsi="Tahoma" w:eastAsia="Calibri" w:cs="Garamond"/>
      <w:kern w:val="0"/>
      <w:szCs w:val="24"/>
    </w:rPr>
  </w:style>
  <w:style w:type="paragraph" w:customStyle="1" w:styleId="2399">
    <w:name w:val="样式 一般正文 + 行距: 多倍行距 1.15 字行"/>
    <w:basedOn w:val="1854"/>
    <w:qFormat/>
    <w:uiPriority w:val="0"/>
    <w:pPr>
      <w:adjustRightInd/>
      <w:snapToGrid/>
      <w:spacing w:before="120" w:after="120" w:line="240" w:lineRule="auto"/>
    </w:pPr>
    <w:rPr>
      <w:rFonts w:ascii="FLGPEK+TimesNewRoman,Italic" w:hAnsi="FLGPEK+TimesNewRoman,Italic" w:eastAsia="FLGPEK+TimesNewRoman,Italic" w:cs="FLGPEK+TimesNewRoman,Italic"/>
      <w:sz w:val="28"/>
    </w:rPr>
  </w:style>
  <w:style w:type="paragraph" w:customStyle="1" w:styleId="2400">
    <w:name w:val="样式 样式 标题 2标题2二级 标题 2H2h2第一层条标题 2 Char节标题节11 Char标题 2 Cha... +1"/>
    <w:basedOn w:val="1"/>
    <w:qFormat/>
    <w:uiPriority w:val="0"/>
    <w:pPr>
      <w:tabs>
        <w:tab w:val="left" w:pos="720"/>
      </w:tabs>
      <w:adjustRightInd w:val="0"/>
      <w:spacing w:before="240" w:after="160" w:line="312" w:lineRule="auto"/>
      <w:jc w:val="left"/>
      <w:outlineLvl w:val="1"/>
    </w:pPr>
    <w:rPr>
      <w:rFonts w:ascii="Tahoma" w:hAnsi="Tahoma" w:eastAsia="华文仿宋" w:cs="Garamond"/>
      <w:b/>
      <w:kern w:val="0"/>
      <w:szCs w:val="24"/>
    </w:rPr>
  </w:style>
  <w:style w:type="paragraph" w:customStyle="1" w:styleId="2401">
    <w:name w:val="Char Char5 Char Char Char Char Char Char Char Char Char Char Char Char Char Char Char1 Char1"/>
    <w:basedOn w:val="5"/>
    <w:qFormat/>
    <w:uiPriority w:val="0"/>
    <w:pPr>
      <w:tabs>
        <w:tab w:val="left" w:pos="360"/>
        <w:tab w:val="left" w:pos="900"/>
      </w:tabs>
      <w:snapToGrid w:val="0"/>
      <w:spacing w:before="120" w:after="120" w:line="440" w:lineRule="exact"/>
      <w:ind w:left="542" w:leftChars="-12" w:firstLine="200" w:firstLineChars="200"/>
      <w:jc w:val="left"/>
    </w:pPr>
    <w:rPr>
      <w:rFonts w:ascii="FLGPEK+TimesNewRoman,Italic" w:hAnsi="FLGPEK+TimesNewRoman,Italic" w:eastAsia="宋体" w:cs="Garamond"/>
      <w:b w:val="0"/>
      <w:color w:val="000000"/>
      <w:sz w:val="30"/>
      <w:szCs w:val="24"/>
    </w:rPr>
  </w:style>
  <w:style w:type="paragraph" w:customStyle="1" w:styleId="2402">
    <w:name w:val="环标3"/>
    <w:basedOn w:val="5"/>
    <w:qFormat/>
    <w:uiPriority w:val="0"/>
    <w:pPr>
      <w:keepNext w:val="0"/>
      <w:keepLines w:val="0"/>
      <w:adjustRightInd w:val="0"/>
      <w:spacing w:line="312" w:lineRule="atLeast"/>
      <w:jc w:val="left"/>
    </w:pPr>
    <w:rPr>
      <w:rFonts w:ascii="宋体" w:hAnsi="宋体" w:eastAsia="宋体"/>
      <w:b w:val="0"/>
      <w:bCs w:val="0"/>
      <w:kern w:val="0"/>
      <w:sz w:val="24"/>
      <w:szCs w:val="20"/>
    </w:rPr>
  </w:style>
  <w:style w:type="paragraph" w:customStyle="1" w:styleId="2403">
    <w:name w:val="6表(图)头(治)"/>
    <w:next w:val="1"/>
    <w:qFormat/>
    <w:uiPriority w:val="0"/>
    <w:pPr>
      <w:widowControl w:val="0"/>
      <w:jc w:val="center"/>
    </w:pPr>
    <w:rPr>
      <w:rFonts w:ascii="Times New Roman" w:hAnsi="宋体" w:eastAsia="宋体" w:cs="Times New Roman"/>
      <w:sz w:val="24"/>
      <w:szCs w:val="24"/>
      <w:lang w:val="en-US" w:eastAsia="zh-CN" w:bidi="ar-SA"/>
    </w:rPr>
  </w:style>
  <w:style w:type="paragraph" w:customStyle="1" w:styleId="2404">
    <w:name w:val="aff0"/>
    <w:basedOn w:val="1"/>
    <w:qFormat/>
    <w:uiPriority w:val="0"/>
    <w:pPr>
      <w:widowControl/>
      <w:spacing w:before="100" w:beforeAutospacing="1" w:after="100" w:afterAutospacing="1" w:line="440" w:lineRule="exact"/>
      <w:ind w:firstLine="480"/>
      <w:jc w:val="left"/>
    </w:pPr>
    <w:rPr>
      <w:rFonts w:ascii="宋体" w:hAnsi="宋体" w:cs="宋体"/>
      <w:kern w:val="0"/>
      <w:szCs w:val="24"/>
    </w:rPr>
  </w:style>
  <w:style w:type="paragraph" w:customStyle="1" w:styleId="2405">
    <w:name w:val="样式 标题 1 + 首行缩进:  0.74 厘米"/>
    <w:basedOn w:val="3"/>
    <w:qFormat/>
    <w:uiPriority w:val="0"/>
    <w:pPr>
      <w:spacing w:line="240" w:lineRule="exact"/>
      <w:ind w:firstLine="422"/>
    </w:pPr>
    <w:rPr>
      <w:rFonts w:ascii="Verdana" w:hAnsi="Verdana" w:eastAsia="宋体" w:cs="宋体"/>
      <w:sz w:val="32"/>
      <w:szCs w:val="20"/>
    </w:rPr>
  </w:style>
  <w:style w:type="paragraph" w:customStyle="1" w:styleId="2406">
    <w:name w:val=".."/>
    <w:basedOn w:val="157"/>
    <w:next w:val="157"/>
    <w:qFormat/>
    <w:uiPriority w:val="0"/>
    <w:rPr>
      <w:rFonts w:ascii="FLGPEK+TimesNewRoman,Italic" w:hAnsi="Chicago" w:cs="Chicago"/>
      <w:color w:val="auto"/>
    </w:rPr>
  </w:style>
  <w:style w:type="paragraph" w:customStyle="1" w:styleId="2407">
    <w:name w:val="规划1-1-1-1"/>
    <w:basedOn w:val="1"/>
    <w:qFormat/>
    <w:uiPriority w:val="0"/>
    <w:pPr>
      <w:ind w:firstLine="480"/>
    </w:pPr>
    <w:rPr>
      <w:rFonts w:ascii="宋体" w:hAnsi="宋体" w:cs="Times New Roman"/>
      <w:sz w:val="25"/>
      <w:szCs w:val="20"/>
    </w:rPr>
  </w:style>
  <w:style w:type="paragraph" w:customStyle="1" w:styleId="2408">
    <w:name w:val="环评报告书"/>
    <w:basedOn w:val="6"/>
    <w:qFormat/>
    <w:uiPriority w:val="0"/>
    <w:pPr>
      <w:tabs>
        <w:tab w:val="left" w:pos="840"/>
      </w:tabs>
      <w:autoSpaceDE w:val="0"/>
      <w:autoSpaceDN w:val="0"/>
      <w:adjustRightInd w:val="0"/>
      <w:outlineLvl w:val="9"/>
    </w:pPr>
    <w:rPr>
      <w:rFonts w:eastAsia="长城楷体" w:cs="Times New Roman"/>
      <w:b w:val="0"/>
      <w:bCs w:val="0"/>
      <w:kern w:val="0"/>
      <w:sz w:val="28"/>
      <w:szCs w:val="20"/>
    </w:rPr>
  </w:style>
  <w:style w:type="paragraph" w:customStyle="1" w:styleId="2409">
    <w:name w:val="封面 3"/>
    <w:qFormat/>
    <w:uiPriority w:val="0"/>
    <w:pPr>
      <w:keepNext/>
      <w:widowControl w:val="0"/>
      <w:spacing w:line="440" w:lineRule="exact"/>
      <w:jc w:val="distribute"/>
    </w:pPr>
    <w:rPr>
      <w:rFonts w:ascii="Times New Roman" w:hAnsi="Times New Roman" w:eastAsia="宋体" w:cs="Times New Roman"/>
      <w:sz w:val="36"/>
      <w:lang w:val="en-US" w:eastAsia="zh-CN" w:bidi="ar-SA"/>
    </w:rPr>
  </w:style>
  <w:style w:type="paragraph" w:customStyle="1" w:styleId="2410">
    <w:name w:val="报告书正文 Char Char Char Char Char Char Char"/>
    <w:basedOn w:val="1"/>
    <w:qFormat/>
    <w:uiPriority w:val="0"/>
    <w:pPr>
      <w:spacing w:line="300" w:lineRule="auto"/>
      <w:ind w:firstLine="480"/>
    </w:pPr>
    <w:rPr>
      <w:rFonts w:cs="Times New Roman"/>
      <w:color w:val="000000"/>
      <w:szCs w:val="20"/>
    </w:rPr>
  </w:style>
  <w:style w:type="paragraph" w:customStyle="1" w:styleId="2411">
    <w:name w:val="表图头"/>
    <w:basedOn w:val="1"/>
    <w:qFormat/>
    <w:uiPriority w:val="0"/>
    <w:pPr>
      <w:snapToGrid w:val="0"/>
      <w:spacing w:line="440" w:lineRule="exact"/>
      <w:ind w:firstLine="480"/>
      <w:jc w:val="center"/>
    </w:pPr>
    <w:rPr>
      <w:rFonts w:cs="Times New Roman"/>
      <w:bCs/>
      <w:szCs w:val="24"/>
    </w:rPr>
  </w:style>
  <w:style w:type="paragraph" w:customStyle="1" w:styleId="2412">
    <w:name w:val="表名称"/>
    <w:basedOn w:val="1"/>
    <w:qFormat/>
    <w:uiPriority w:val="0"/>
    <w:pPr>
      <w:tabs>
        <w:tab w:val="left" w:pos="-120"/>
      </w:tabs>
      <w:overflowPunct w:val="0"/>
      <w:topLinePunct/>
      <w:autoSpaceDE w:val="0"/>
      <w:adjustRightInd w:val="0"/>
      <w:snapToGrid w:val="0"/>
      <w:spacing w:after="240" w:line="440" w:lineRule="exact"/>
      <w:jc w:val="center"/>
    </w:pPr>
    <w:rPr>
      <w:rFonts w:cs="Times New Roman"/>
      <w:bCs/>
      <w:spacing w:val="16"/>
      <w:kern w:val="0"/>
      <w:szCs w:val="20"/>
    </w:rPr>
  </w:style>
  <w:style w:type="paragraph" w:customStyle="1" w:styleId="2413">
    <w:name w:val="样式 宋体 小四 首行缩进:  1.59 厘米 段后: 6 磅 行距: 固定值 20 磅"/>
    <w:basedOn w:val="1"/>
    <w:qFormat/>
    <w:uiPriority w:val="0"/>
    <w:pPr>
      <w:spacing w:after="120" w:line="400" w:lineRule="exact"/>
      <w:ind w:firstLine="900"/>
    </w:pPr>
    <w:rPr>
      <w:rFonts w:ascii="FLGPEK+TimesNewRoman,Italic" w:hAnsi="FLGPEK+TimesNewRoman,Italic" w:eastAsia="华文仿宋" w:cs="Garamond"/>
      <w:kern w:val="0"/>
      <w:szCs w:val="24"/>
    </w:rPr>
  </w:style>
  <w:style w:type="paragraph" w:customStyle="1" w:styleId="2414">
    <w:name w:val="样式 Times New Roman 两端对齐 首行缩进:  0.85 厘米 行距: 固定值 22 磅"/>
    <w:basedOn w:val="1"/>
    <w:qFormat/>
    <w:uiPriority w:val="0"/>
    <w:pPr>
      <w:widowControl/>
      <w:spacing w:line="440" w:lineRule="exact"/>
    </w:pPr>
    <w:rPr>
      <w:rFonts w:cs="宋体"/>
      <w:kern w:val="0"/>
      <w:szCs w:val="20"/>
    </w:rPr>
  </w:style>
  <w:style w:type="paragraph" w:customStyle="1" w:styleId="2415">
    <w:name w:val="样式 标题 4 + 段前: 7.8 磅"/>
    <w:basedOn w:val="6"/>
    <w:qFormat/>
    <w:uiPriority w:val="0"/>
    <w:pPr>
      <w:tabs>
        <w:tab w:val="left" w:pos="360"/>
        <w:tab w:val="left" w:pos="1865"/>
      </w:tabs>
      <w:spacing w:before="156" w:line="240" w:lineRule="exact"/>
      <w:ind w:firstLine="200" w:firstLineChars="200"/>
    </w:pPr>
    <w:rPr>
      <w:rFonts w:ascii="Tahoma" w:hAnsi="Tahoma" w:eastAsia="华文仿宋" w:cs="Garamond"/>
      <w:bCs w:val="0"/>
      <w:kern w:val="0"/>
      <w:sz w:val="21"/>
      <w:szCs w:val="20"/>
    </w:rPr>
  </w:style>
  <w:style w:type="paragraph" w:customStyle="1" w:styleId="2416">
    <w:name w:val="封皮字体1"/>
    <w:basedOn w:val="1"/>
    <w:qFormat/>
    <w:uiPriority w:val="0"/>
    <w:pPr>
      <w:jc w:val="center"/>
    </w:pPr>
    <w:rPr>
      <w:rFonts w:ascii="黑体" w:eastAsia="黑体" w:cs="Times New Roman"/>
      <w:bCs/>
      <w:sz w:val="44"/>
      <w:szCs w:val="24"/>
    </w:rPr>
  </w:style>
  <w:style w:type="paragraph" w:customStyle="1" w:styleId="2417">
    <w:name w:val="段落1"/>
    <w:basedOn w:val="1"/>
    <w:qFormat/>
    <w:uiPriority w:val="0"/>
    <w:pPr>
      <w:adjustRightInd w:val="0"/>
      <w:spacing w:line="440" w:lineRule="exact"/>
      <w:ind w:firstLine="510"/>
    </w:pPr>
    <w:rPr>
      <w:rFonts w:eastAsia="仿宋_GB2312" w:cs="Times New Roman"/>
      <w:spacing w:val="4"/>
      <w:kern w:val="0"/>
      <w:sz w:val="28"/>
      <w:szCs w:val="20"/>
    </w:rPr>
  </w:style>
  <w:style w:type="paragraph" w:customStyle="1" w:styleId="2418">
    <w:name w:val="样式 样式 标题 2标题2二级 标题 2H2h2第一层条标题 2 Char节标题节11 Char标题 2 Cha... +"/>
    <w:basedOn w:val="2082"/>
    <w:qFormat/>
    <w:uiPriority w:val="0"/>
    <w:pPr>
      <w:ind w:left="180"/>
    </w:pPr>
    <w:rPr>
      <w:b/>
    </w:rPr>
  </w:style>
  <w:style w:type="paragraph" w:customStyle="1" w:styleId="2419">
    <w:name w:val="照片"/>
    <w:basedOn w:val="1"/>
    <w:qFormat/>
    <w:uiPriority w:val="0"/>
    <w:pPr>
      <w:snapToGrid w:val="0"/>
      <w:ind w:left="210" w:leftChars="100" w:right="210" w:rightChars="100"/>
      <w:jc w:val="center"/>
    </w:pPr>
    <w:rPr>
      <w:rFonts w:ascii="Times" w:hAnsi="Times" w:eastAsia="黑体" w:cs="Times New Roman"/>
      <w:b/>
      <w:color w:val="000000"/>
      <w:spacing w:val="-4"/>
      <w:szCs w:val="20"/>
    </w:rPr>
  </w:style>
  <w:style w:type="paragraph" w:customStyle="1" w:styleId="2420">
    <w:name w:val="编号4号"/>
    <w:basedOn w:val="1"/>
    <w:qFormat/>
    <w:uiPriority w:val="0"/>
    <w:pPr>
      <w:widowControl/>
      <w:snapToGrid w:val="0"/>
      <w:spacing w:line="312" w:lineRule="auto"/>
      <w:ind w:firstLine="480"/>
    </w:pPr>
    <w:rPr>
      <w:rFonts w:ascii="Arial" w:hAnsi="Arial" w:cs="Arial"/>
      <w:szCs w:val="24"/>
    </w:rPr>
  </w:style>
  <w:style w:type="paragraph" w:customStyle="1" w:styleId="2421">
    <w:name w:val="表头4"/>
    <w:basedOn w:val="1868"/>
    <w:qFormat/>
    <w:uiPriority w:val="0"/>
    <w:pPr>
      <w:tabs>
        <w:tab w:val="left" w:pos="360"/>
        <w:tab w:val="clear" w:pos="625"/>
      </w:tabs>
      <w:ind w:left="0" w:firstLine="0"/>
    </w:pPr>
  </w:style>
  <w:style w:type="paragraph" w:customStyle="1" w:styleId="2422">
    <w:name w:val="1表格头"/>
    <w:basedOn w:val="1"/>
    <w:qFormat/>
    <w:uiPriority w:val="0"/>
    <w:pPr>
      <w:snapToGrid w:val="0"/>
      <w:spacing w:line="300" w:lineRule="auto"/>
      <w:jc w:val="center"/>
      <w:outlineLvl w:val="3"/>
    </w:pPr>
    <w:rPr>
      <w:rFonts w:eastAsia="黑体" w:cs="Times New Roman"/>
      <w:b/>
      <w:spacing w:val="4"/>
      <w:szCs w:val="24"/>
    </w:rPr>
  </w:style>
  <w:style w:type="paragraph" w:customStyle="1" w:styleId="2423">
    <w:name w:val="表格小四"/>
    <w:basedOn w:val="1"/>
    <w:qFormat/>
    <w:uiPriority w:val="0"/>
    <w:pPr>
      <w:adjustRightInd w:val="0"/>
      <w:snapToGrid w:val="0"/>
      <w:spacing w:beforeLines="20" w:afterLines="20"/>
      <w:ind w:firstLine="480"/>
      <w:jc w:val="center"/>
    </w:pPr>
    <w:rPr>
      <w:rFonts w:ascii="宋体" w:hAnsi="宋体" w:cs="Times New Roman"/>
      <w:color w:val="0000FF"/>
      <w:spacing w:val="6"/>
    </w:rPr>
  </w:style>
  <w:style w:type="paragraph" w:customStyle="1" w:styleId="2424">
    <w:name w:val="Char Char Char Char Char Char Char Char Char Char Char Char Char Char Char Char Char Char"/>
    <w:basedOn w:val="1"/>
    <w:qFormat/>
    <w:uiPriority w:val="0"/>
    <w:pPr>
      <w:spacing w:line="440" w:lineRule="exact"/>
    </w:pPr>
    <w:rPr>
      <w:rFonts w:cs="Times New Roman"/>
    </w:rPr>
  </w:style>
  <w:style w:type="paragraph" w:customStyle="1" w:styleId="2425">
    <w:name w:val="样式 四号 行距: 1.0 倍行距"/>
    <w:basedOn w:val="1"/>
    <w:qFormat/>
    <w:uiPriority w:val="0"/>
    <w:pPr>
      <w:ind w:firstLine="0" w:firstLineChars="0"/>
    </w:pPr>
    <w:rPr>
      <w:rFonts w:cs="Times New Roman"/>
      <w:sz w:val="28"/>
      <w:szCs w:val="20"/>
    </w:rPr>
  </w:style>
  <w:style w:type="paragraph" w:customStyle="1" w:styleId="2426">
    <w:name w:val="样式表"/>
    <w:basedOn w:val="1"/>
    <w:qFormat/>
    <w:uiPriority w:val="0"/>
    <w:pPr>
      <w:adjustRightInd w:val="0"/>
      <w:snapToGrid w:val="0"/>
      <w:spacing w:before="60" w:after="60" w:line="440" w:lineRule="exact"/>
      <w:ind w:firstLine="480"/>
      <w:jc w:val="center"/>
    </w:pPr>
    <w:rPr>
      <w:rFonts w:ascii="宋体" w:hAnsi="宋体" w:cs="Times New Roman"/>
      <w:color w:val="000000"/>
      <w:spacing w:val="6"/>
      <w:sz w:val="28"/>
      <w:szCs w:val="24"/>
    </w:rPr>
  </w:style>
  <w:style w:type="paragraph" w:customStyle="1" w:styleId="2427">
    <w:name w:val="样式 标题 1 + 首行缩进:  2 字符"/>
    <w:basedOn w:val="3"/>
    <w:qFormat/>
    <w:uiPriority w:val="0"/>
    <w:pPr>
      <w:pageBreakBefore/>
      <w:widowControl/>
      <w:spacing w:line="440" w:lineRule="atLeast"/>
    </w:pPr>
    <w:rPr>
      <w:rFonts w:eastAsia="宋体"/>
      <w:b w:val="0"/>
      <w:bCs w:val="0"/>
      <w:sz w:val="30"/>
      <w:szCs w:val="30"/>
    </w:rPr>
  </w:style>
  <w:style w:type="paragraph" w:customStyle="1" w:styleId="2428">
    <w:name w:val="Char1 Char Char4"/>
    <w:basedOn w:val="1"/>
    <w:qFormat/>
    <w:uiPriority w:val="0"/>
    <w:pPr>
      <w:spacing w:line="240" w:lineRule="auto"/>
      <w:ind w:firstLine="0" w:firstLineChars="0"/>
    </w:pPr>
    <w:rPr>
      <w:rFonts w:cs="Times New Roman"/>
      <w:sz w:val="21"/>
      <w:szCs w:val="24"/>
    </w:rPr>
  </w:style>
  <w:style w:type="paragraph" w:customStyle="1" w:styleId="2429">
    <w:name w:val="编号汉字数字"/>
    <w:basedOn w:val="1100"/>
    <w:next w:val="1"/>
    <w:qFormat/>
    <w:uiPriority w:val="0"/>
    <w:pPr>
      <w:tabs>
        <w:tab w:val="left" w:pos="0"/>
        <w:tab w:val="clear" w:pos="939"/>
      </w:tabs>
      <w:ind w:left="0" w:firstLine="822"/>
      <w:outlineLvl w:val="9"/>
    </w:pPr>
  </w:style>
  <w:style w:type="paragraph" w:customStyle="1" w:styleId="2430">
    <w:name w:val="y表格"/>
    <w:basedOn w:val="34"/>
    <w:qFormat/>
    <w:uiPriority w:val="0"/>
    <w:pPr>
      <w:widowControl/>
      <w:snapToGrid w:val="0"/>
      <w:spacing w:after="0" w:line="440" w:lineRule="exact"/>
      <w:jc w:val="center"/>
    </w:pPr>
    <w:rPr>
      <w:rFonts w:eastAsia="Times New Roman" w:cs="Times New Roman"/>
      <w:kern w:val="0"/>
      <w:szCs w:val="20"/>
    </w:rPr>
  </w:style>
  <w:style w:type="paragraph" w:customStyle="1" w:styleId="2431">
    <w:name w:val="环正文"/>
    <w:basedOn w:val="1"/>
    <w:qFormat/>
    <w:uiPriority w:val="0"/>
    <w:pPr>
      <w:widowControl/>
      <w:suppressAutoHyphens/>
      <w:adjustRightInd w:val="0"/>
      <w:spacing w:line="480" w:lineRule="exact"/>
      <w:ind w:firstLine="480"/>
    </w:pPr>
    <w:rPr>
      <w:rFonts w:cs="Times New Roman"/>
      <w:bCs/>
      <w:szCs w:val="24"/>
    </w:rPr>
  </w:style>
  <w:style w:type="paragraph" w:customStyle="1" w:styleId="2432">
    <w:name w:val="w2"/>
    <w:basedOn w:val="1"/>
    <w:qFormat/>
    <w:uiPriority w:val="0"/>
    <w:pPr>
      <w:adjustRightInd w:val="0"/>
      <w:ind w:left="720" w:firstLine="360"/>
      <w:jc w:val="left"/>
    </w:pPr>
    <w:rPr>
      <w:rFonts w:ascii="FLGPEK+TimesNewRoman,Italic" w:hAnsi="Tahoma" w:cs="Garamond"/>
      <w:kern w:val="0"/>
      <w:sz w:val="28"/>
      <w:szCs w:val="24"/>
    </w:rPr>
  </w:style>
  <w:style w:type="paragraph" w:customStyle="1" w:styleId="2433">
    <w:name w:val="graphic"/>
    <w:basedOn w:val="1"/>
    <w:qFormat/>
    <w:uiPriority w:val="0"/>
    <w:pPr>
      <w:widowControl/>
      <w:tabs>
        <w:tab w:val="left" w:pos="-720"/>
      </w:tabs>
      <w:overflowPunct w:val="0"/>
      <w:autoSpaceDE w:val="0"/>
      <w:autoSpaceDN w:val="0"/>
      <w:adjustRightInd w:val="0"/>
      <w:spacing w:after="240" w:line="280" w:lineRule="atLeast"/>
      <w:ind w:firstLine="0" w:firstLineChars="0"/>
      <w:jc w:val="center"/>
    </w:pPr>
    <w:rPr>
      <w:rFonts w:cs="Times New Roman"/>
      <w:kern w:val="0"/>
      <w:szCs w:val="20"/>
      <w:lang w:eastAsia="en-US"/>
    </w:rPr>
  </w:style>
  <w:style w:type="paragraph" w:customStyle="1" w:styleId="2434">
    <w:name w:val="f4"/>
    <w:basedOn w:val="1"/>
    <w:qFormat/>
    <w:uiPriority w:val="0"/>
    <w:pPr>
      <w:widowControl/>
      <w:spacing w:before="100" w:beforeAutospacing="1" w:after="100" w:afterAutospacing="1" w:line="240" w:lineRule="auto"/>
      <w:ind w:firstLine="0" w:firstLineChars="0"/>
      <w:jc w:val="left"/>
    </w:pPr>
    <w:rPr>
      <w:rFonts w:ascii="宋体" w:hAnsi="宋体" w:cs="Times New Roman"/>
      <w:color w:val="333333"/>
      <w:kern w:val="0"/>
      <w:sz w:val="21"/>
      <w:szCs w:val="20"/>
    </w:rPr>
  </w:style>
  <w:style w:type="paragraph" w:customStyle="1" w:styleId="2435">
    <w:name w:val="WW-表格1"/>
    <w:basedOn w:val="1"/>
    <w:qFormat/>
    <w:uiPriority w:val="0"/>
    <w:pPr>
      <w:suppressAutoHyphens/>
      <w:snapToGrid w:val="0"/>
      <w:spacing w:before="20" w:after="20" w:line="440" w:lineRule="exact"/>
      <w:jc w:val="center"/>
    </w:pPr>
    <w:rPr>
      <w:rFonts w:cs="Times New Roman"/>
      <w:szCs w:val="20"/>
      <w:lang w:eastAsia="ar-SA"/>
    </w:rPr>
  </w:style>
  <w:style w:type="paragraph" w:customStyle="1" w:styleId="2436">
    <w:name w:val="普通(网站)1"/>
    <w:basedOn w:val="1"/>
    <w:qFormat/>
    <w:uiPriority w:val="0"/>
    <w:pPr>
      <w:widowControl/>
      <w:spacing w:before="100" w:beforeAutospacing="1" w:after="100" w:afterAutospacing="1" w:line="440" w:lineRule="exact"/>
      <w:ind w:firstLine="480"/>
    </w:pPr>
    <w:rPr>
      <w:rFonts w:ascii="宋体" w:hAnsi="宋体" w:cs="Times New Roman"/>
      <w:szCs w:val="20"/>
    </w:rPr>
  </w:style>
  <w:style w:type="paragraph" w:customStyle="1" w:styleId="2437">
    <w:name w:val="表中字"/>
    <w:basedOn w:val="1"/>
    <w:qFormat/>
    <w:uiPriority w:val="0"/>
    <w:pPr>
      <w:ind w:firstLine="480"/>
      <w:jc w:val="center"/>
    </w:pPr>
    <w:rPr>
      <w:rFonts w:ascii="宋体" w:hAnsi="宋体" w:cs="Times New Roman"/>
      <w:szCs w:val="24"/>
    </w:rPr>
  </w:style>
  <w:style w:type="paragraph" w:customStyle="1" w:styleId="2438">
    <w:name w:val="Char Char Char Char Char Char Char Char Char3"/>
    <w:basedOn w:val="1"/>
    <w:qFormat/>
    <w:uiPriority w:val="0"/>
    <w:pPr>
      <w:spacing w:line="440" w:lineRule="exact"/>
      <w:ind w:firstLine="720"/>
    </w:pPr>
    <w:rPr>
      <w:rFonts w:cs="Times New Roman"/>
      <w:kern w:val="0"/>
      <w:szCs w:val="24"/>
    </w:rPr>
  </w:style>
  <w:style w:type="paragraph" w:customStyle="1" w:styleId="2439">
    <w:name w:val="无间隔2"/>
    <w:basedOn w:val="64"/>
    <w:qFormat/>
    <w:uiPriority w:val="0"/>
    <w:pPr>
      <w:tabs>
        <w:tab w:val="left" w:pos="1523"/>
      </w:tabs>
      <w:spacing w:before="0" w:line="240" w:lineRule="auto"/>
      <w:jc w:val="both"/>
      <w:outlineLvl w:val="3"/>
    </w:pPr>
    <w:rPr>
      <w:rFonts w:ascii="Times New Roman" w:hAnsi="Times New Roman" w:cs="Times New Roman"/>
      <w:b w:val="0"/>
      <w:bCs w:val="0"/>
      <w:kern w:val="2"/>
      <w:sz w:val="25"/>
      <w:szCs w:val="20"/>
    </w:rPr>
  </w:style>
  <w:style w:type="paragraph" w:customStyle="1" w:styleId="2440">
    <w:name w:val="图p"/>
    <w:basedOn w:val="1"/>
    <w:qFormat/>
    <w:uiPriority w:val="0"/>
    <w:pPr>
      <w:adjustRightInd w:val="0"/>
      <w:snapToGrid w:val="0"/>
      <w:spacing w:line="440" w:lineRule="exact"/>
      <w:ind w:firstLine="480"/>
      <w:jc w:val="center"/>
    </w:pPr>
    <w:rPr>
      <w:rFonts w:cs="Times New Roman"/>
      <w:bCs/>
      <w:szCs w:val="24"/>
    </w:rPr>
  </w:style>
  <w:style w:type="character" w:customStyle="1" w:styleId="2441">
    <w:name w:val="单5 Char"/>
    <w:link w:val="2442"/>
    <w:locked/>
    <w:uiPriority w:val="0"/>
    <w:rPr>
      <w:sz w:val="24"/>
      <w:szCs w:val="24"/>
    </w:rPr>
  </w:style>
  <w:style w:type="paragraph" w:customStyle="1" w:styleId="2442">
    <w:name w:val="单5"/>
    <w:basedOn w:val="1"/>
    <w:link w:val="2441"/>
    <w:qFormat/>
    <w:uiPriority w:val="0"/>
    <w:pPr>
      <w:spacing w:line="400" w:lineRule="exact"/>
    </w:pPr>
    <w:rPr>
      <w:rFonts w:asciiTheme="minorHAnsi" w:hAnsiTheme="minorHAnsi" w:eastAsiaTheme="minorEastAsia"/>
      <w:szCs w:val="24"/>
    </w:rPr>
  </w:style>
  <w:style w:type="paragraph" w:customStyle="1" w:styleId="2443">
    <w:name w:val="普通(网站)11"/>
    <w:basedOn w:val="1"/>
    <w:qFormat/>
    <w:uiPriority w:val="0"/>
    <w:pPr>
      <w:widowControl/>
      <w:jc w:val="left"/>
    </w:pPr>
    <w:rPr>
      <w:rFonts w:ascii="宋体" w:hAnsi="宋体" w:cs="宋体"/>
      <w:kern w:val="0"/>
      <w:szCs w:val="24"/>
    </w:rPr>
  </w:style>
  <w:style w:type="paragraph" w:customStyle="1" w:styleId="2444">
    <w:name w:val="Char Char Char Char Char Char Char Char"/>
    <w:basedOn w:val="1"/>
    <w:qFormat/>
    <w:uiPriority w:val="0"/>
    <w:pPr>
      <w:widowControl/>
      <w:spacing w:after="160" w:line="240" w:lineRule="exact"/>
      <w:ind w:firstLine="0" w:firstLineChars="0"/>
      <w:jc w:val="left"/>
    </w:pPr>
    <w:rPr>
      <w:rFonts w:ascii="Verdana" w:hAnsi="Verdana" w:cs="Times New Roman"/>
      <w:kern w:val="0"/>
      <w:sz w:val="20"/>
      <w:szCs w:val="20"/>
      <w:lang w:eastAsia="en-US"/>
    </w:rPr>
  </w:style>
  <w:style w:type="paragraph" w:customStyle="1" w:styleId="2445">
    <w:name w:val="正文[858D7CFB-ED40-4347-BF05-701D383B685F][858D7CFB-ED40-4347-BF05-701D383B685F]1"/>
    <w:basedOn w:val="536"/>
    <w:qFormat/>
    <w:uiPriority w:val="0"/>
    <w:pPr>
      <w:spacing w:line="360" w:lineRule="auto"/>
      <w:ind w:firstLine="480" w:firstLineChars="200"/>
    </w:pPr>
    <w:rPr>
      <w:rFonts w:ascii="Times New Roman" w:eastAsia="Times New Roman"/>
      <w:spacing w:val="0"/>
      <w:kern w:val="0"/>
      <w:szCs w:val="24"/>
    </w:rPr>
  </w:style>
  <w:style w:type="paragraph" w:customStyle="1" w:styleId="2446">
    <w:name w:val="59"/>
    <w:basedOn w:val="1"/>
    <w:qFormat/>
    <w:uiPriority w:val="0"/>
    <w:pPr>
      <w:spacing w:before="160" w:line="440" w:lineRule="exact"/>
      <w:ind w:firstLine="526"/>
    </w:pPr>
    <w:rPr>
      <w:rFonts w:ascii="宋体" w:hAnsi="宋体" w:cs="Times New Roman"/>
      <w:spacing w:val="5"/>
      <w:sz w:val="25"/>
      <w:szCs w:val="25"/>
    </w:rPr>
  </w:style>
  <w:style w:type="paragraph" w:customStyle="1" w:styleId="2447">
    <w:name w:val="我的表格样子"/>
    <w:basedOn w:val="1"/>
    <w:qFormat/>
    <w:uiPriority w:val="0"/>
    <w:pPr>
      <w:spacing w:line="360" w:lineRule="exact"/>
      <w:ind w:firstLine="720"/>
      <w:jc w:val="left"/>
    </w:pPr>
    <w:rPr>
      <w:rFonts w:cs="宋体"/>
      <w:sz w:val="21"/>
      <w:szCs w:val="20"/>
    </w:rPr>
  </w:style>
  <w:style w:type="paragraph" w:customStyle="1" w:styleId="2448">
    <w:name w:val="表格 3"/>
    <w:basedOn w:val="679"/>
    <w:qFormat/>
    <w:uiPriority w:val="0"/>
    <w:pPr>
      <w:autoSpaceDE w:val="0"/>
      <w:autoSpaceDN w:val="0"/>
      <w:snapToGrid/>
    </w:pPr>
    <w:rPr>
      <w:rFonts w:ascii="Times New Roman"/>
    </w:rPr>
  </w:style>
  <w:style w:type="paragraph" w:customStyle="1" w:styleId="2449">
    <w:name w:val="节正文"/>
    <w:basedOn w:val="1"/>
    <w:qFormat/>
    <w:uiPriority w:val="0"/>
    <w:pPr>
      <w:spacing w:beforeLines="20" w:afterLines="20"/>
      <w:ind w:left="100" w:leftChars="100"/>
    </w:pPr>
    <w:rPr>
      <w:rFonts w:cs="Times New Roman"/>
      <w:kern w:val="0"/>
      <w:szCs w:val="24"/>
    </w:rPr>
  </w:style>
  <w:style w:type="paragraph" w:customStyle="1" w:styleId="2450">
    <w:name w:val="face2"/>
    <w:basedOn w:val="1"/>
    <w:qFormat/>
    <w:uiPriority w:val="0"/>
    <w:pPr>
      <w:adjustRightInd w:val="0"/>
      <w:snapToGrid w:val="0"/>
      <w:ind w:firstLine="720"/>
      <w:jc w:val="center"/>
    </w:pPr>
    <w:rPr>
      <w:rFonts w:ascii="华文行楷" w:hAnsi="宋体" w:eastAsia="华文行楷" w:cs="Times New Roman"/>
      <w:sz w:val="80"/>
      <w:szCs w:val="52"/>
    </w:rPr>
  </w:style>
  <w:style w:type="paragraph" w:customStyle="1" w:styleId="2451">
    <w:name w:val="TOC 标题11"/>
    <w:basedOn w:val="3"/>
    <w:next w:val="1"/>
    <w:qFormat/>
    <w:uiPriority w:val="0"/>
    <w:pPr>
      <w:widowControl/>
      <w:spacing w:line="276" w:lineRule="auto"/>
      <w:jc w:val="left"/>
      <w:outlineLvl w:val="9"/>
    </w:pPr>
    <w:rPr>
      <w:rFonts w:ascii="Cambria" w:hAnsi="Cambria" w:eastAsia="宋体" w:cs="宋体"/>
      <w:color w:val="365F91"/>
      <w:kern w:val="0"/>
      <w:sz w:val="28"/>
      <w:szCs w:val="28"/>
    </w:rPr>
  </w:style>
  <w:style w:type="paragraph" w:customStyle="1" w:styleId="2452">
    <w:name w:val="WW-纯文本"/>
    <w:basedOn w:val="1"/>
    <w:qFormat/>
    <w:uiPriority w:val="0"/>
    <w:pPr>
      <w:suppressAutoHyphens/>
    </w:pPr>
    <w:rPr>
      <w:rFonts w:ascii="宋体" w:hAnsi="宋体" w:cs="宋体"/>
      <w:szCs w:val="24"/>
      <w:lang w:eastAsia="ar-SA"/>
    </w:rPr>
  </w:style>
  <w:style w:type="paragraph" w:customStyle="1" w:styleId="2453">
    <w:name w:val="Char2 Char Char Char Char Char Char Char Char Char Char Char Char Char Char Char"/>
    <w:basedOn w:val="1"/>
    <w:qFormat/>
    <w:uiPriority w:val="0"/>
    <w:pPr>
      <w:autoSpaceDE w:val="0"/>
      <w:autoSpaceDN w:val="0"/>
      <w:adjustRightInd w:val="0"/>
      <w:snapToGrid w:val="0"/>
      <w:spacing w:before="50" w:after="50"/>
      <w:ind w:firstLine="560"/>
    </w:pPr>
    <w:rPr>
      <w:rFonts w:eastAsia="仿宋_GB2312" w:cs="Times New Roman"/>
      <w:color w:val="000000"/>
      <w:szCs w:val="24"/>
    </w:rPr>
  </w:style>
  <w:style w:type="paragraph" w:customStyle="1" w:styleId="2454">
    <w:name w:val="表第一列"/>
    <w:basedOn w:val="86"/>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eastAsia="Times New Roman"/>
      <w:color w:val="000000"/>
      <w:spacing w:val="-4"/>
      <w:szCs w:val="20"/>
    </w:rPr>
  </w:style>
  <w:style w:type="paragraph" w:customStyle="1" w:styleId="2455">
    <w:name w:val="正文正"/>
    <w:basedOn w:val="1"/>
    <w:qFormat/>
    <w:uiPriority w:val="0"/>
    <w:pPr>
      <w:spacing w:line="440" w:lineRule="exact"/>
      <w:ind w:firstLine="560"/>
    </w:pPr>
    <w:rPr>
      <w:rFonts w:cs="Times New Roman"/>
      <w:sz w:val="28"/>
      <w:szCs w:val="20"/>
    </w:rPr>
  </w:style>
  <w:style w:type="paragraph" w:customStyle="1" w:styleId="2456">
    <w:name w:val="小节标题"/>
    <w:basedOn w:val="1"/>
    <w:next w:val="1"/>
    <w:qFormat/>
    <w:uiPriority w:val="0"/>
    <w:pPr>
      <w:widowControl/>
      <w:spacing w:before="175" w:after="102" w:line="351" w:lineRule="atLeast"/>
      <w:ind w:firstLine="0" w:firstLineChars="0"/>
    </w:pPr>
    <w:rPr>
      <w:rFonts w:eastAsia="黑体" w:cs="Times New Roman"/>
      <w:color w:val="000000"/>
      <w:kern w:val="0"/>
      <w:sz w:val="21"/>
      <w:szCs w:val="20"/>
      <w:u w:color="000000"/>
    </w:rPr>
  </w:style>
  <w:style w:type="paragraph" w:customStyle="1" w:styleId="2457">
    <w:name w:val="列表编号 31"/>
    <w:basedOn w:val="1"/>
    <w:qFormat/>
    <w:uiPriority w:val="0"/>
    <w:pPr>
      <w:tabs>
        <w:tab w:val="left" w:pos="1200"/>
      </w:tabs>
      <w:spacing w:line="480" w:lineRule="exact"/>
      <w:ind w:left="1200" w:leftChars="400" w:hanging="360" w:hangingChars="200"/>
    </w:pPr>
    <w:rPr>
      <w:rFonts w:ascii="Tahoma" w:hAnsi="Tahoma" w:cs="Garamond"/>
      <w:kern w:val="0"/>
      <w:szCs w:val="24"/>
    </w:rPr>
  </w:style>
  <w:style w:type="paragraph" w:customStyle="1" w:styleId="2458">
    <w:name w:val="小表格"/>
    <w:basedOn w:val="1"/>
    <w:qFormat/>
    <w:uiPriority w:val="0"/>
    <w:pPr>
      <w:autoSpaceDE w:val="0"/>
      <w:autoSpaceDN w:val="0"/>
      <w:adjustRightInd w:val="0"/>
      <w:snapToGrid w:val="0"/>
      <w:spacing w:line="440" w:lineRule="exact"/>
      <w:jc w:val="center"/>
    </w:pPr>
    <w:rPr>
      <w:rFonts w:ascii="华文仿宋" w:hAnsi="Batang" w:cs="华文仿宋"/>
      <w:kern w:val="0"/>
    </w:rPr>
  </w:style>
  <w:style w:type="paragraph" w:customStyle="1" w:styleId="2459">
    <w:name w:val="2 Char Char Char"/>
    <w:basedOn w:val="1"/>
    <w:qFormat/>
    <w:uiPriority w:val="0"/>
    <w:pPr>
      <w:spacing w:line="440" w:lineRule="exact"/>
      <w:ind w:firstLine="720"/>
    </w:pPr>
    <w:rPr>
      <w:rFonts w:cs="Times New Roman"/>
      <w:kern w:val="0"/>
      <w:szCs w:val="24"/>
    </w:rPr>
  </w:style>
  <w:style w:type="paragraph" w:customStyle="1" w:styleId="2460">
    <w:name w:val="样式 宋体 小四 段后: 2.5 磅 行距: 固定值 20 磅"/>
    <w:basedOn w:val="1"/>
    <w:qFormat/>
    <w:uiPriority w:val="0"/>
    <w:pPr>
      <w:spacing w:after="50" w:line="400" w:lineRule="exact"/>
      <w:ind w:firstLine="300" w:firstLineChars="300"/>
    </w:pPr>
    <w:rPr>
      <w:rFonts w:ascii="FLGPEK+TimesNewRoman,Italic" w:hAnsi="FLGPEK+TimesNewRoman,Italic" w:eastAsia="华文仿宋" w:cs="Garamond"/>
      <w:kern w:val="0"/>
      <w:szCs w:val="24"/>
    </w:rPr>
  </w:style>
  <w:style w:type="paragraph" w:customStyle="1" w:styleId="2461">
    <w:name w:val="图表名称"/>
    <w:basedOn w:val="1"/>
    <w:qFormat/>
    <w:uiPriority w:val="0"/>
    <w:pPr>
      <w:keepNext/>
      <w:widowControl/>
      <w:suppressLineNumbers/>
      <w:suppressAutoHyphens/>
      <w:autoSpaceDE w:val="0"/>
      <w:autoSpaceDN w:val="0"/>
      <w:adjustRightInd w:val="0"/>
      <w:snapToGrid w:val="0"/>
      <w:spacing w:beforeLines="15" w:line="240" w:lineRule="exact"/>
      <w:ind w:firstLine="0" w:firstLineChars="0"/>
      <w:jc w:val="center"/>
    </w:pPr>
    <w:rPr>
      <w:rFonts w:ascii="宋体" w:hAnsi="宋体" w:cs="Times New Roman"/>
      <w:kern w:val="0"/>
      <w:szCs w:val="20"/>
    </w:rPr>
  </w:style>
  <w:style w:type="paragraph" w:customStyle="1" w:styleId="2462">
    <w:name w:val="样式 小四 首行缩进:  1.01 厘米 行距: 1.5 倍行距"/>
    <w:basedOn w:val="1"/>
    <w:qFormat/>
    <w:uiPriority w:val="0"/>
    <w:pPr>
      <w:adjustRightInd w:val="0"/>
      <w:snapToGrid w:val="0"/>
    </w:pPr>
    <w:rPr>
      <w:rFonts w:cs="宋体"/>
      <w:kern w:val="24"/>
      <w:szCs w:val="24"/>
    </w:rPr>
  </w:style>
  <w:style w:type="paragraph" w:customStyle="1" w:styleId="2463">
    <w:name w:val="dxj标题3"/>
    <w:basedOn w:val="5"/>
    <w:qFormat/>
    <w:uiPriority w:val="0"/>
    <w:rPr>
      <w:rFonts w:ascii="Verdana" w:hAnsi="Verdana" w:cs="宋体"/>
      <w:b w:val="0"/>
      <w:kern w:val="0"/>
      <w:sz w:val="24"/>
    </w:rPr>
  </w:style>
  <w:style w:type="paragraph" w:customStyle="1" w:styleId="2464">
    <w:name w:val="样式 标题 3 + 首行缩进:  2 字符"/>
    <w:basedOn w:val="5"/>
    <w:qFormat/>
    <w:uiPriority w:val="0"/>
    <w:pPr>
      <w:spacing w:before="60" w:after="60" w:line="440" w:lineRule="atLeast"/>
    </w:pPr>
    <w:rPr>
      <w:rFonts w:eastAsia="宋体"/>
      <w:bCs w:val="0"/>
      <w:sz w:val="24"/>
      <w:szCs w:val="20"/>
    </w:rPr>
  </w:style>
  <w:style w:type="paragraph" w:customStyle="1" w:styleId="2465">
    <w:name w:val="正文（首行缩进两字） Char Char Char Char1"/>
    <w:basedOn w:val="1"/>
    <w:next w:val="1"/>
    <w:qFormat/>
    <w:uiPriority w:val="0"/>
    <w:pPr>
      <w:spacing w:line="440" w:lineRule="exact"/>
    </w:pPr>
    <w:rPr>
      <w:rFonts w:ascii="Arial" w:hAnsi="Arial" w:cs="Times New Roman"/>
      <w:szCs w:val="24"/>
    </w:rPr>
  </w:style>
  <w:style w:type="paragraph" w:customStyle="1" w:styleId="2466">
    <w:name w:val="样式 标题 2节节1节2节11节3节12节4节13节21节111 Char Char Char Char ..."/>
    <w:basedOn w:val="4"/>
    <w:qFormat/>
    <w:uiPriority w:val="0"/>
    <w:pPr>
      <w:keepLines w:val="0"/>
      <w:widowControl/>
      <w:adjustRightInd w:val="0"/>
      <w:snapToGrid w:val="0"/>
      <w:spacing w:before="120" w:after="120" w:line="440" w:lineRule="exact"/>
    </w:pPr>
    <w:rPr>
      <w:rFonts w:eastAsia="宋体" w:cs="宋体"/>
      <w:kern w:val="28"/>
      <w:sz w:val="28"/>
      <w:szCs w:val="20"/>
    </w:rPr>
  </w:style>
  <w:style w:type="paragraph" w:customStyle="1" w:styleId="2467">
    <w:name w:val="样式 样式 左侧:  2 字符 + 首行缩进:  2 字符"/>
    <w:basedOn w:val="1"/>
    <w:qFormat/>
    <w:uiPriority w:val="0"/>
    <w:pPr>
      <w:spacing w:line="440" w:lineRule="exact"/>
    </w:pPr>
    <w:rPr>
      <w:rFonts w:ascii="Tahoma" w:hAnsi="Tahoma" w:cs="FLGPEK+TimesNewRoman,Italic"/>
      <w:kern w:val="0"/>
      <w:szCs w:val="24"/>
    </w:rPr>
  </w:style>
  <w:style w:type="paragraph" w:customStyle="1" w:styleId="2468">
    <w:name w:val="项目正文"/>
    <w:basedOn w:val="1"/>
    <w:qFormat/>
    <w:uiPriority w:val="0"/>
    <w:rPr>
      <w:rFonts w:ascii="Calibri" w:hAnsi="Calibri" w:cs="Times New Roman"/>
      <w:sz w:val="26"/>
      <w:szCs w:val="20"/>
    </w:rPr>
  </w:style>
  <w:style w:type="paragraph" w:customStyle="1" w:styleId="2469">
    <w:name w:val="表格文字样式"/>
    <w:basedOn w:val="1"/>
    <w:qFormat/>
    <w:uiPriority w:val="0"/>
    <w:pPr>
      <w:tabs>
        <w:tab w:val="left" w:pos="567"/>
      </w:tabs>
      <w:spacing w:line="440" w:lineRule="exact"/>
      <w:ind w:firstLine="480"/>
      <w:jc w:val="center"/>
    </w:pPr>
    <w:rPr>
      <w:rFonts w:cs="Times New Roman"/>
      <w:spacing w:val="20"/>
      <w:szCs w:val="20"/>
    </w:rPr>
  </w:style>
  <w:style w:type="paragraph" w:customStyle="1" w:styleId="2470">
    <w:name w:val="标-5"/>
    <w:basedOn w:val="1"/>
    <w:qFormat/>
    <w:uiPriority w:val="0"/>
    <w:pPr>
      <w:tabs>
        <w:tab w:val="right" w:leader="dot" w:pos="8789"/>
      </w:tabs>
      <w:spacing w:before="120" w:line="440" w:lineRule="exact"/>
      <w:ind w:left="1276" w:hanging="425"/>
    </w:pPr>
    <w:rPr>
      <w:rFonts w:cs="Times New Roman"/>
      <w:kern w:val="0"/>
      <w:szCs w:val="24"/>
    </w:rPr>
  </w:style>
  <w:style w:type="paragraph" w:customStyle="1" w:styleId="2471">
    <w:name w:val="2 Char Char Char Char Char Char Char Char Char Char"/>
    <w:basedOn w:val="1"/>
    <w:qFormat/>
    <w:uiPriority w:val="0"/>
    <w:pPr>
      <w:spacing w:line="440" w:lineRule="exact"/>
      <w:ind w:firstLine="720"/>
    </w:pPr>
    <w:rPr>
      <w:rFonts w:cs="Times New Roman"/>
      <w:kern w:val="0"/>
      <w:szCs w:val="24"/>
    </w:rPr>
  </w:style>
  <w:style w:type="paragraph" w:customStyle="1" w:styleId="2472">
    <w:name w:val="标-4"/>
    <w:basedOn w:val="1"/>
    <w:qFormat/>
    <w:uiPriority w:val="0"/>
    <w:pPr>
      <w:spacing w:before="120" w:line="440" w:lineRule="exact"/>
      <w:ind w:left="851" w:hanging="851"/>
    </w:pPr>
    <w:rPr>
      <w:rFonts w:cs="Times New Roman"/>
      <w:kern w:val="0"/>
      <w:szCs w:val="24"/>
    </w:rPr>
  </w:style>
  <w:style w:type="paragraph" w:customStyle="1" w:styleId="2473">
    <w:name w:val="Title1"/>
    <w:basedOn w:val="1"/>
    <w:qFormat/>
    <w:uiPriority w:val="0"/>
    <w:pPr>
      <w:keepNext/>
      <w:tabs>
        <w:tab w:val="left" w:pos="936"/>
      </w:tabs>
      <w:overflowPunct w:val="0"/>
      <w:autoSpaceDE w:val="0"/>
      <w:autoSpaceDN w:val="0"/>
      <w:adjustRightInd w:val="0"/>
      <w:spacing w:before="160" w:after="80" w:line="440" w:lineRule="exact"/>
      <w:ind w:firstLine="480"/>
    </w:pPr>
    <w:rPr>
      <w:rFonts w:eastAsia="Mincho" w:cs="Times New Roman"/>
      <w:b/>
      <w:kern w:val="0"/>
      <w:szCs w:val="20"/>
      <w:lang w:eastAsia="ja-JP"/>
    </w:rPr>
  </w:style>
  <w:style w:type="paragraph" w:customStyle="1" w:styleId="2474">
    <w:name w:val="样式 标题 4标题 4 Char标题 4（修改） + 段前: 0.5 行 段后: 0.2 行 行距: 多倍行距 1.2 ..."/>
    <w:basedOn w:val="6"/>
    <w:qFormat/>
    <w:uiPriority w:val="0"/>
    <w:pPr>
      <w:tabs>
        <w:tab w:val="left" w:pos="864"/>
      </w:tabs>
      <w:spacing w:beforeLines="50" w:afterLines="20" w:line="288" w:lineRule="auto"/>
      <w:ind w:left="864" w:hanging="864" w:firstLineChars="200"/>
    </w:pPr>
    <w:rPr>
      <w:rFonts w:ascii="Tahoma" w:hAnsi="Tahoma" w:eastAsia="华文仿宋" w:cs="Garamond"/>
      <w:b w:val="0"/>
      <w:bCs w:val="0"/>
      <w:szCs w:val="20"/>
    </w:rPr>
  </w:style>
  <w:style w:type="paragraph" w:customStyle="1" w:styleId="2475">
    <w:name w:val="Char1 Char Char Char4"/>
    <w:basedOn w:val="1"/>
    <w:qFormat/>
    <w:uiPriority w:val="0"/>
    <w:pPr>
      <w:snapToGrid w:val="0"/>
      <w:ind w:firstLine="529"/>
    </w:pPr>
    <w:rPr>
      <w:rFonts w:ascii="ˎ̥" w:hAnsi="ˎ̥" w:eastAsia="ˎ̥" w:cs="Batang"/>
      <w:b/>
      <w:kern w:val="0"/>
      <w:szCs w:val="24"/>
    </w:rPr>
  </w:style>
  <w:style w:type="paragraph" w:customStyle="1" w:styleId="2476">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Times New Roman" w:cs="Times New Roman"/>
      <w:color w:val="FF0000"/>
      <w:kern w:val="0"/>
      <w:sz w:val="18"/>
      <w:szCs w:val="20"/>
    </w:rPr>
  </w:style>
  <w:style w:type="paragraph" w:customStyle="1" w:styleId="2477">
    <w:name w:val="正文文本缩进21"/>
    <w:basedOn w:val="1"/>
    <w:qFormat/>
    <w:uiPriority w:val="0"/>
    <w:pPr>
      <w:spacing w:line="360" w:lineRule="exact"/>
      <w:ind w:firstLine="480"/>
    </w:pPr>
    <w:rPr>
      <w:rFonts w:ascii="Tahoma" w:hAnsi="Tahoma" w:cs="Garamond"/>
      <w:kern w:val="0"/>
      <w:szCs w:val="24"/>
    </w:rPr>
  </w:style>
  <w:style w:type="paragraph" w:customStyle="1" w:styleId="2478">
    <w:name w:val="1-1-1"/>
    <w:basedOn w:val="1"/>
    <w:qFormat/>
    <w:uiPriority w:val="0"/>
    <w:pPr>
      <w:ind w:firstLine="480"/>
    </w:pPr>
    <w:rPr>
      <w:rFonts w:eastAsia="黑体" w:cs="Times New Roman"/>
      <w:b/>
      <w:sz w:val="25"/>
      <w:szCs w:val="20"/>
    </w:rPr>
  </w:style>
  <w:style w:type="paragraph" w:customStyle="1" w:styleId="2479">
    <w:name w:val="p7"/>
    <w:basedOn w:val="1"/>
    <w:qFormat/>
    <w:uiPriority w:val="0"/>
    <w:pPr>
      <w:widowControl/>
      <w:tabs>
        <w:tab w:val="left" w:pos="720"/>
      </w:tabs>
      <w:spacing w:line="240" w:lineRule="atLeast"/>
      <w:ind w:left="1480" w:hanging="740"/>
      <w:jc w:val="left"/>
    </w:pPr>
    <w:rPr>
      <w:rFonts w:ascii="华文行楷" w:hAnsi="华文行楷" w:eastAsia="Plotter" w:cs="华文行楷"/>
      <w:kern w:val="0"/>
      <w:szCs w:val="24"/>
      <w:lang w:eastAsia="en-US"/>
    </w:rPr>
  </w:style>
  <w:style w:type="paragraph" w:customStyle="1" w:styleId="2480">
    <w:name w:val="列表接续 41"/>
    <w:basedOn w:val="1"/>
    <w:qFormat/>
    <w:uiPriority w:val="0"/>
    <w:pPr>
      <w:spacing w:after="120" w:line="440" w:lineRule="exact"/>
      <w:ind w:left="1680" w:leftChars="800" w:firstLine="720"/>
    </w:pPr>
    <w:rPr>
      <w:rFonts w:ascii="Tahoma" w:hAnsi="Tahoma" w:cs="Garamond"/>
      <w:kern w:val="0"/>
      <w:szCs w:val="24"/>
    </w:rPr>
  </w:style>
  <w:style w:type="paragraph" w:customStyle="1" w:styleId="2481">
    <w:name w:val="列表编号 21"/>
    <w:basedOn w:val="1"/>
    <w:qFormat/>
    <w:uiPriority w:val="0"/>
    <w:pPr>
      <w:tabs>
        <w:tab w:val="left" w:pos="780"/>
      </w:tabs>
      <w:spacing w:line="480" w:lineRule="exact"/>
      <w:ind w:left="780" w:leftChars="200" w:hanging="360" w:hangingChars="200"/>
    </w:pPr>
    <w:rPr>
      <w:rFonts w:ascii="Tahoma" w:hAnsi="Tahoma" w:cs="Garamond"/>
      <w:kern w:val="0"/>
      <w:szCs w:val="24"/>
    </w:rPr>
  </w:style>
  <w:style w:type="paragraph" w:customStyle="1" w:styleId="2482">
    <w:name w:val="lz3"/>
    <w:basedOn w:val="1"/>
    <w:qFormat/>
    <w:uiPriority w:val="0"/>
    <w:pPr>
      <w:spacing w:line="540" w:lineRule="exact"/>
      <w:ind w:firstLine="720"/>
    </w:pPr>
    <w:rPr>
      <w:rFonts w:ascii="Courier New" w:hAnsi="FLGPEK+TimesNewRoman,Italic" w:eastAsia="Courier New" w:cs="Times New Roman"/>
      <w:kern w:val="0"/>
      <w:sz w:val="30"/>
      <w:szCs w:val="24"/>
    </w:rPr>
  </w:style>
  <w:style w:type="paragraph" w:customStyle="1" w:styleId="2483">
    <w:name w:val="索引 21"/>
    <w:basedOn w:val="1"/>
    <w:next w:val="1"/>
    <w:qFormat/>
    <w:uiPriority w:val="0"/>
    <w:pPr>
      <w:spacing w:line="440" w:lineRule="exact"/>
      <w:ind w:left="500" w:hanging="250"/>
      <w:jc w:val="left"/>
    </w:pPr>
    <w:rPr>
      <w:rFonts w:ascii="Batang" w:hAnsi="Batang" w:cs="Batang"/>
      <w:spacing w:val="5"/>
      <w:kern w:val="0"/>
      <w:sz w:val="20"/>
      <w:szCs w:val="24"/>
    </w:rPr>
  </w:style>
  <w:style w:type="paragraph" w:customStyle="1" w:styleId="2484">
    <w:name w:val="标题11"/>
    <w:basedOn w:val="1"/>
    <w:qFormat/>
    <w:uiPriority w:val="0"/>
    <w:pPr>
      <w:keepNext/>
      <w:keepLines/>
      <w:tabs>
        <w:tab w:val="left" w:pos="1134"/>
      </w:tabs>
      <w:spacing w:before="120"/>
      <w:ind w:firstLine="720"/>
      <w:jc w:val="left"/>
    </w:pPr>
    <w:rPr>
      <w:rFonts w:cs="Times New Roman"/>
      <w:b/>
      <w:kern w:val="0"/>
      <w:sz w:val="28"/>
      <w:szCs w:val="24"/>
    </w:rPr>
  </w:style>
  <w:style w:type="paragraph" w:customStyle="1" w:styleId="2485">
    <w:name w:val="表格新"/>
    <w:basedOn w:val="1"/>
    <w:qFormat/>
    <w:uiPriority w:val="0"/>
    <w:pPr>
      <w:adjustRightInd w:val="0"/>
      <w:snapToGrid w:val="0"/>
      <w:spacing w:before="60" w:after="60" w:line="440" w:lineRule="exact"/>
      <w:jc w:val="center"/>
    </w:pPr>
    <w:rPr>
      <w:rFonts w:ascii="宋体" w:hAnsi="宋体" w:cs="Times New Roman"/>
      <w:kern w:val="0"/>
      <w:szCs w:val="20"/>
    </w:rPr>
  </w:style>
  <w:style w:type="paragraph" w:customStyle="1" w:styleId="2486">
    <w:name w:val="文章总标题"/>
    <w:basedOn w:val="1"/>
    <w:next w:val="2251"/>
    <w:qFormat/>
    <w:uiPriority w:val="0"/>
    <w:pPr>
      <w:widowControl/>
      <w:spacing w:before="566" w:after="544" w:line="566" w:lineRule="atLeast"/>
      <w:ind w:firstLine="0" w:firstLineChars="0"/>
      <w:jc w:val="center"/>
    </w:pPr>
    <w:rPr>
      <w:rFonts w:ascii="Arial" w:eastAsia="黑体" w:cs="Times New Roman"/>
      <w:color w:val="000000"/>
      <w:kern w:val="0"/>
      <w:sz w:val="54"/>
      <w:szCs w:val="20"/>
      <w:u w:color="000000"/>
    </w:rPr>
  </w:style>
  <w:style w:type="paragraph" w:customStyle="1" w:styleId="2487">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rFonts w:cs="Times New Roman"/>
      <w:spacing w:val="20"/>
      <w:szCs w:val="20"/>
    </w:rPr>
  </w:style>
  <w:style w:type="paragraph" w:customStyle="1" w:styleId="2488">
    <w:name w:val="Char Char Char Char Char Char Char Char Char Char Char Char Char Char Char Char Char Char Char12"/>
    <w:basedOn w:val="1"/>
    <w:qFormat/>
    <w:uiPriority w:val="0"/>
    <w:rPr>
      <w:rFonts w:ascii="FLGPEK+TimesNewRoman,Italic" w:hAnsi="FLGPEK+TimesNewRoman,Italic" w:cs="FLGPEK+TimesNewRoman,Italic"/>
      <w:kern w:val="0"/>
      <w:szCs w:val="24"/>
    </w:rPr>
  </w:style>
  <w:style w:type="paragraph" w:customStyle="1" w:styleId="2489">
    <w:name w:val="我的样式（正文）"/>
    <w:basedOn w:val="1"/>
    <w:qFormat/>
    <w:uiPriority w:val="0"/>
    <w:pPr>
      <w:spacing w:line="440" w:lineRule="exact"/>
      <w:ind w:firstLine="0" w:firstLineChars="0"/>
    </w:pPr>
    <w:rPr>
      <w:rFonts w:ascii="宋体" w:cs="Times New Roman"/>
      <w:sz w:val="28"/>
      <w:szCs w:val="20"/>
    </w:rPr>
  </w:style>
  <w:style w:type="paragraph" w:customStyle="1" w:styleId="2490">
    <w:name w:val="xl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Times New Roman" w:cs="Times New Roman"/>
      <w:color w:val="FF0000"/>
      <w:kern w:val="0"/>
      <w:sz w:val="18"/>
      <w:szCs w:val="20"/>
    </w:rPr>
  </w:style>
  <w:style w:type="paragraph" w:customStyle="1" w:styleId="2491">
    <w:name w:val="2.1.1"/>
    <w:basedOn w:val="1"/>
    <w:qFormat/>
    <w:uiPriority w:val="0"/>
    <w:pPr>
      <w:spacing w:line="440" w:lineRule="exact"/>
    </w:pPr>
    <w:rPr>
      <w:rFonts w:cs="Times New Roman"/>
      <w:szCs w:val="20"/>
    </w:rPr>
  </w:style>
  <w:style w:type="paragraph" w:customStyle="1" w:styleId="2492">
    <w:name w:val="列表 51"/>
    <w:basedOn w:val="1"/>
    <w:qFormat/>
    <w:uiPriority w:val="0"/>
    <w:pPr>
      <w:spacing w:line="440" w:lineRule="exact"/>
      <w:ind w:left="100" w:leftChars="800" w:hanging="200" w:hangingChars="200"/>
    </w:pPr>
    <w:rPr>
      <w:rFonts w:ascii="Tahoma" w:hAnsi="Tahoma" w:cs="Garamond"/>
      <w:kern w:val="0"/>
      <w:szCs w:val="24"/>
    </w:rPr>
  </w:style>
  <w:style w:type="paragraph" w:customStyle="1" w:styleId="2493">
    <w:name w:val="！一大标ctrl-1"/>
    <w:basedOn w:val="1"/>
    <w:qFormat/>
    <w:uiPriority w:val="0"/>
    <w:pPr>
      <w:tabs>
        <w:tab w:val="left" w:pos="425"/>
      </w:tabs>
      <w:spacing w:beforeLines="50" w:line="240" w:lineRule="auto"/>
      <w:ind w:left="425" w:hanging="425" w:firstLineChars="0"/>
      <w:jc w:val="center"/>
    </w:pPr>
    <w:rPr>
      <w:rFonts w:eastAsia="黑体" w:cs="Times New Roman"/>
      <w:sz w:val="28"/>
      <w:szCs w:val="24"/>
    </w:rPr>
  </w:style>
  <w:style w:type="paragraph" w:customStyle="1" w:styleId="2494">
    <w:name w:val="条题"/>
    <w:basedOn w:val="1"/>
    <w:qFormat/>
    <w:uiPriority w:val="0"/>
    <w:pPr>
      <w:tabs>
        <w:tab w:val="left" w:pos="435"/>
        <w:tab w:val="left" w:pos="1640"/>
      </w:tabs>
      <w:spacing w:beforeLines="50" w:line="480" w:lineRule="exact"/>
      <w:ind w:left="435" w:hanging="435"/>
    </w:pPr>
    <w:rPr>
      <w:rFonts w:cs="Times New Roman"/>
      <w:color w:val="000000"/>
      <w:szCs w:val="24"/>
    </w:rPr>
  </w:style>
  <w:style w:type="paragraph" w:customStyle="1" w:styleId="2495">
    <w:name w:val="段落文字1"/>
    <w:basedOn w:val="1"/>
    <w:qFormat/>
    <w:uiPriority w:val="0"/>
    <w:pPr>
      <w:spacing w:line="440" w:lineRule="exact"/>
      <w:ind w:firstLine="560"/>
    </w:pPr>
    <w:rPr>
      <w:rFonts w:cs="Times New Roman"/>
      <w:color w:val="000000"/>
      <w:sz w:val="28"/>
      <w:szCs w:val="28"/>
    </w:rPr>
  </w:style>
  <w:style w:type="paragraph" w:customStyle="1" w:styleId="2496">
    <w:name w:val="索引标题1"/>
    <w:basedOn w:val="1"/>
    <w:next w:val="1252"/>
    <w:qFormat/>
    <w:uiPriority w:val="0"/>
    <w:pPr>
      <w:spacing w:line="440" w:lineRule="exact"/>
    </w:pPr>
    <w:rPr>
      <w:rFonts w:ascii="Tahoma" w:hAnsi="Tahoma" w:cs="Garamond"/>
      <w:kern w:val="0"/>
      <w:szCs w:val="24"/>
    </w:rPr>
  </w:style>
  <w:style w:type="paragraph" w:customStyle="1" w:styleId="2497">
    <w:name w:val="海港-4级标题"/>
    <w:basedOn w:val="1"/>
    <w:qFormat/>
    <w:uiPriority w:val="0"/>
    <w:pPr>
      <w:spacing w:before="240"/>
      <w:ind w:firstLine="720"/>
    </w:pPr>
    <w:rPr>
      <w:rFonts w:cs="Times New Roman"/>
      <w:b/>
      <w:szCs w:val="20"/>
    </w:rPr>
  </w:style>
  <w:style w:type="paragraph" w:customStyle="1" w:styleId="2498">
    <w:name w:val="标题2 Char Char Char Char Char Char Char Char Char Char"/>
    <w:basedOn w:val="1"/>
    <w:qFormat/>
    <w:uiPriority w:val="0"/>
    <w:pPr>
      <w:snapToGrid w:val="0"/>
      <w:spacing w:beforeLines="50" w:afterLines="50" w:line="520" w:lineRule="exact"/>
      <w:ind w:firstLine="480"/>
    </w:pPr>
    <w:rPr>
      <w:rFonts w:ascii="黑体" w:hAnsi="Arial" w:eastAsia="黑体" w:cs="Times New Roman"/>
      <w:sz w:val="28"/>
      <w:szCs w:val="30"/>
    </w:rPr>
  </w:style>
  <w:style w:type="paragraph" w:customStyle="1" w:styleId="2499">
    <w:name w:val="666666-表中文字"/>
    <w:basedOn w:val="1"/>
    <w:qFormat/>
    <w:uiPriority w:val="0"/>
    <w:pPr>
      <w:spacing w:line="440" w:lineRule="exact"/>
      <w:jc w:val="center"/>
    </w:pPr>
    <w:rPr>
      <w:rFonts w:cs="Times New Roman"/>
      <w:szCs w:val="20"/>
    </w:rPr>
  </w:style>
  <w:style w:type="paragraph" w:customStyle="1" w:styleId="2500">
    <w:name w:val="Date1"/>
    <w:basedOn w:val="1"/>
    <w:next w:val="1"/>
    <w:qFormat/>
    <w:uiPriority w:val="0"/>
    <w:pPr>
      <w:adjustRightInd w:val="0"/>
      <w:spacing w:line="240" w:lineRule="auto"/>
      <w:ind w:firstLine="0" w:firstLineChars="0"/>
    </w:pPr>
    <w:rPr>
      <w:rFonts w:cs="Times New Roman"/>
      <w:sz w:val="21"/>
      <w:szCs w:val="20"/>
    </w:rPr>
  </w:style>
  <w:style w:type="paragraph" w:customStyle="1" w:styleId="2501">
    <w:name w:val="样式 宋体 四号 加粗 行距: 最小值 24 磅"/>
    <w:basedOn w:val="1"/>
    <w:qFormat/>
    <w:uiPriority w:val="0"/>
    <w:pPr>
      <w:tabs>
        <w:tab w:val="left" w:pos="900"/>
        <w:tab w:val="left" w:pos="1025"/>
      </w:tabs>
      <w:spacing w:before="260" w:after="260" w:line="400" w:lineRule="atLeast"/>
      <w:ind w:left="1025" w:hanging="465" w:firstLineChars="0"/>
    </w:pPr>
    <w:rPr>
      <w:rFonts w:ascii="宋体" w:hAnsi="宋体" w:cs="Times New Roman"/>
      <w:b/>
      <w:sz w:val="28"/>
      <w:szCs w:val="20"/>
    </w:rPr>
  </w:style>
  <w:style w:type="paragraph" w:customStyle="1" w:styleId="2502">
    <w:name w:val="索引 71"/>
    <w:basedOn w:val="1"/>
    <w:next w:val="1"/>
    <w:qFormat/>
    <w:uiPriority w:val="0"/>
    <w:pPr>
      <w:spacing w:line="440" w:lineRule="exact"/>
      <w:ind w:left="1750" w:hanging="250"/>
      <w:jc w:val="left"/>
    </w:pPr>
    <w:rPr>
      <w:rFonts w:ascii="Batang" w:hAnsi="Batang" w:cs="Batang"/>
      <w:spacing w:val="5"/>
      <w:kern w:val="0"/>
      <w:sz w:val="20"/>
      <w:szCs w:val="24"/>
    </w:rPr>
  </w:style>
  <w:style w:type="paragraph" w:customStyle="1" w:styleId="2503">
    <w:name w:val="正文OK"/>
    <w:basedOn w:val="1"/>
    <w:qFormat/>
    <w:uiPriority w:val="0"/>
    <w:rPr>
      <w:rFonts w:cs="Times New Roman"/>
      <w:kern w:val="0"/>
      <w:szCs w:val="24"/>
    </w:rPr>
  </w:style>
  <w:style w:type="paragraph" w:customStyle="1" w:styleId="2504">
    <w:name w:val="五号表格"/>
    <w:basedOn w:val="1"/>
    <w:qFormat/>
    <w:uiPriority w:val="0"/>
    <w:pPr>
      <w:spacing w:line="240" w:lineRule="atLeast"/>
      <w:ind w:firstLine="0" w:firstLineChars="0"/>
      <w:jc w:val="center"/>
    </w:pPr>
    <w:rPr>
      <w:rFonts w:cs="Times New Roman"/>
      <w:sz w:val="21"/>
      <w:szCs w:val="20"/>
    </w:rPr>
  </w:style>
  <w:style w:type="paragraph" w:customStyle="1" w:styleId="2505">
    <w:name w:val="样式1 + 四号 居中"/>
    <w:basedOn w:val="1"/>
    <w:qFormat/>
    <w:uiPriority w:val="0"/>
    <w:pPr>
      <w:spacing w:line="336" w:lineRule="auto"/>
      <w:ind w:firstLine="720"/>
      <w:jc w:val="center"/>
    </w:pPr>
    <w:rPr>
      <w:rFonts w:cs="Times New Roman"/>
      <w:kern w:val="0"/>
      <w:sz w:val="28"/>
      <w:szCs w:val="24"/>
    </w:rPr>
  </w:style>
  <w:style w:type="paragraph" w:customStyle="1" w:styleId="2506">
    <w:name w:val="_正文格式"/>
    <w:basedOn w:val="1"/>
    <w:qFormat/>
    <w:uiPriority w:val="0"/>
    <w:pPr>
      <w:spacing w:line="480" w:lineRule="exact"/>
      <w:ind w:firstLine="567" w:firstLineChars="0"/>
    </w:pPr>
    <w:rPr>
      <w:rFonts w:eastAsia="仿宋_GB2312" w:cs="Times New Roman"/>
      <w:sz w:val="28"/>
      <w:szCs w:val="24"/>
    </w:rPr>
  </w:style>
  <w:style w:type="paragraph" w:customStyle="1" w:styleId="2507">
    <w:name w:val="wtext"/>
    <w:basedOn w:val="1"/>
    <w:qFormat/>
    <w:uiPriority w:val="0"/>
    <w:pPr>
      <w:widowControl/>
      <w:spacing w:before="100" w:beforeAutospacing="1" w:after="100" w:afterAutospacing="1" w:line="440" w:lineRule="exact"/>
      <w:ind w:firstLine="480"/>
      <w:jc w:val="left"/>
    </w:pPr>
    <w:rPr>
      <w:rFonts w:cs="Times New Roman"/>
      <w:color w:val="000000"/>
      <w:kern w:val="0"/>
      <w:sz w:val="22"/>
    </w:rPr>
  </w:style>
  <w:style w:type="paragraph" w:customStyle="1" w:styleId="2508">
    <w:name w:val="大题注"/>
    <w:basedOn w:val="1"/>
    <w:qFormat/>
    <w:uiPriority w:val="0"/>
    <w:pPr>
      <w:spacing w:before="100" w:beforeAutospacing="1" w:after="100" w:afterAutospacing="1" w:line="440" w:lineRule="exact"/>
      <w:ind w:firstLine="480"/>
    </w:pPr>
    <w:rPr>
      <w:rFonts w:ascii="Arial" w:hAnsi="Arial" w:eastAsia="黑体" w:cs="Times New Roman"/>
      <w:szCs w:val="20"/>
    </w:rPr>
  </w:style>
  <w:style w:type="paragraph" w:customStyle="1" w:styleId="2509">
    <w:name w:val="文档结构图1"/>
    <w:basedOn w:val="1"/>
    <w:qFormat/>
    <w:uiPriority w:val="0"/>
    <w:pPr>
      <w:shd w:val="clear" w:color="auto" w:fill="000080"/>
    </w:pPr>
    <w:rPr>
      <w:rFonts w:cs="Times New Roman"/>
      <w:szCs w:val="24"/>
    </w:rPr>
  </w:style>
  <w:style w:type="paragraph" w:customStyle="1" w:styleId="2510">
    <w:name w:val="CM102"/>
    <w:basedOn w:val="157"/>
    <w:next w:val="157"/>
    <w:qFormat/>
    <w:uiPriority w:val="0"/>
    <w:pPr>
      <w:spacing w:after="190"/>
    </w:pPr>
    <w:rPr>
      <w:rFonts w:ascii="华文中宋" w:hAnsi="Chicago" w:eastAsia="华文中宋" w:cs="Chicago"/>
      <w:color w:val="auto"/>
    </w:rPr>
  </w:style>
  <w:style w:type="paragraph" w:customStyle="1" w:styleId="2511">
    <w:name w:val="表文字－5"/>
    <w:basedOn w:val="1"/>
    <w:qFormat/>
    <w:uiPriority w:val="0"/>
    <w:pPr>
      <w:keepNext/>
      <w:tabs>
        <w:tab w:val="left" w:pos="1453"/>
        <w:tab w:val="left" w:pos="2473"/>
        <w:tab w:val="left" w:pos="3293"/>
        <w:tab w:val="left" w:pos="4313"/>
      </w:tabs>
      <w:adjustRightInd w:val="0"/>
      <w:snapToGrid w:val="0"/>
      <w:spacing w:line="240" w:lineRule="auto"/>
      <w:ind w:firstLine="0" w:firstLineChars="0"/>
      <w:jc w:val="center"/>
    </w:pPr>
    <w:rPr>
      <w:rFonts w:ascii="宋体" w:hAnsi="宋体" w:cs="Times New Roman"/>
      <w:color w:val="000000"/>
      <w:kern w:val="0"/>
      <w:sz w:val="21"/>
    </w:rPr>
  </w:style>
  <w:style w:type="paragraph" w:customStyle="1" w:styleId="2512">
    <w:name w:val="正文 小四 行距: 1.5 倍行距"/>
    <w:basedOn w:val="1"/>
    <w:qFormat/>
    <w:uiPriority w:val="0"/>
    <w:pPr>
      <w:ind w:firstLine="480"/>
    </w:pPr>
    <w:rPr>
      <w:rFonts w:cs="宋体"/>
      <w:szCs w:val="20"/>
    </w:rPr>
  </w:style>
  <w:style w:type="paragraph" w:customStyle="1" w:styleId="2513">
    <w:name w:val="表内字体"/>
    <w:basedOn w:val="1"/>
    <w:qFormat/>
    <w:uiPriority w:val="0"/>
    <w:pPr>
      <w:spacing w:line="440" w:lineRule="exact"/>
      <w:ind w:firstLine="480"/>
      <w:jc w:val="center"/>
    </w:pPr>
    <w:rPr>
      <w:rFonts w:ascii="宋体" w:hAnsi="宋体" w:cs="Times New Roman"/>
    </w:rPr>
  </w:style>
  <w:style w:type="paragraph" w:customStyle="1" w:styleId="2514">
    <w:name w:val="文章副标题"/>
    <w:basedOn w:val="1"/>
    <w:next w:val="3"/>
    <w:qFormat/>
    <w:uiPriority w:val="0"/>
    <w:pPr>
      <w:spacing w:before="104" w:after="104" w:line="0" w:lineRule="atLeast"/>
      <w:ind w:left="1"/>
      <w:jc w:val="center"/>
    </w:pPr>
    <w:rPr>
      <w:rFonts w:ascii="Tahoma" w:hAnsi="Tahoma" w:cs="Garamond"/>
      <w:kern w:val="0"/>
      <w:sz w:val="36"/>
      <w:szCs w:val="24"/>
    </w:rPr>
  </w:style>
  <w:style w:type="paragraph" w:customStyle="1" w:styleId="2515">
    <w:name w:val="图号样式100"/>
    <w:basedOn w:val="34"/>
    <w:qFormat/>
    <w:uiPriority w:val="0"/>
    <w:pPr>
      <w:widowControl/>
      <w:spacing w:after="0"/>
      <w:jc w:val="center"/>
    </w:pPr>
    <w:rPr>
      <w:rFonts w:ascii="宋体" w:hAnsi="宋体" w:eastAsia="Times New Roman" w:cs="Times New Roman"/>
      <w:kern w:val="0"/>
      <w:szCs w:val="24"/>
    </w:rPr>
  </w:style>
  <w:style w:type="paragraph" w:customStyle="1" w:styleId="2516">
    <w:name w:val="正文文字缩进2"/>
    <w:basedOn w:val="51"/>
    <w:qFormat/>
    <w:uiPriority w:val="0"/>
    <w:pPr>
      <w:spacing w:after="0" w:line="240" w:lineRule="auto"/>
      <w:ind w:left="0" w:leftChars="0" w:firstLine="560"/>
    </w:pPr>
    <w:rPr>
      <w:rFonts w:ascii="仿宋_GB2312" w:eastAsia="仿宋_GB2312" w:cs="Times New Roman"/>
      <w:sz w:val="28"/>
      <w:szCs w:val="24"/>
    </w:rPr>
  </w:style>
  <w:style w:type="paragraph" w:customStyle="1" w:styleId="2517">
    <w:name w:val="Paratitre"/>
    <w:basedOn w:val="1"/>
    <w:qFormat/>
    <w:uiPriority w:val="0"/>
    <w:pPr>
      <w:widowControl/>
      <w:overflowPunct w:val="0"/>
      <w:autoSpaceDE w:val="0"/>
      <w:autoSpaceDN w:val="0"/>
      <w:adjustRightInd w:val="0"/>
      <w:spacing w:before="240" w:line="440" w:lineRule="exact"/>
      <w:ind w:left="700" w:firstLine="720"/>
    </w:pPr>
    <w:rPr>
      <w:rFonts w:ascii="Batang" w:hAnsi="Batang" w:cs="Times New Roman"/>
      <w:kern w:val="0"/>
      <w:sz w:val="20"/>
      <w:szCs w:val="24"/>
      <w:lang w:val="fr-FR"/>
    </w:rPr>
  </w:style>
  <w:style w:type="paragraph" w:customStyle="1" w:styleId="2518">
    <w:name w:val="图标"/>
    <w:basedOn w:val="1"/>
    <w:next w:val="1"/>
    <w:qFormat/>
    <w:uiPriority w:val="0"/>
    <w:pPr>
      <w:spacing w:line="440" w:lineRule="exact"/>
      <w:jc w:val="center"/>
    </w:pPr>
    <w:rPr>
      <w:rFonts w:ascii="Batang" w:hAnsi="Batang" w:cs="Batang"/>
      <w:kern w:val="0"/>
      <w:szCs w:val="24"/>
    </w:rPr>
  </w:style>
  <w:style w:type="paragraph" w:customStyle="1" w:styleId="2519">
    <w:name w:val="nv nslog-area"/>
    <w:basedOn w:val="1"/>
    <w:qFormat/>
    <w:uiPriority w:val="0"/>
    <w:pPr>
      <w:widowControl/>
      <w:spacing w:before="100" w:beforeAutospacing="1" w:after="100" w:afterAutospacing="1" w:line="440" w:lineRule="exact"/>
      <w:jc w:val="left"/>
    </w:pPr>
    <w:rPr>
      <w:rFonts w:ascii="宋体" w:hAnsi="宋体" w:cs="宋体"/>
      <w:kern w:val="0"/>
      <w:szCs w:val="24"/>
    </w:rPr>
  </w:style>
  <w:style w:type="paragraph" w:customStyle="1" w:styleId="2520">
    <w:name w:val="A表格A"/>
    <w:basedOn w:val="1"/>
    <w:next w:val="1"/>
    <w:qFormat/>
    <w:uiPriority w:val="0"/>
    <w:pPr>
      <w:widowControl/>
      <w:adjustRightInd w:val="0"/>
      <w:snapToGrid w:val="0"/>
      <w:spacing w:line="440" w:lineRule="exact"/>
      <w:ind w:firstLine="480"/>
      <w:jc w:val="center"/>
    </w:pPr>
    <w:rPr>
      <w:rFonts w:ascii="宋体" w:hAnsi="宋体" w:cs="Times New Roman"/>
      <w:color w:val="0000FF"/>
    </w:rPr>
  </w:style>
  <w:style w:type="paragraph" w:customStyle="1" w:styleId="2521">
    <w:name w:val="图表中内容"/>
    <w:basedOn w:val="1"/>
    <w:qFormat/>
    <w:uiPriority w:val="0"/>
    <w:pPr>
      <w:spacing w:line="440" w:lineRule="exact"/>
      <w:ind w:firstLine="480"/>
      <w:jc w:val="center"/>
    </w:pPr>
    <w:rPr>
      <w:rFonts w:cs="Arial"/>
    </w:rPr>
  </w:style>
  <w:style w:type="paragraph" w:customStyle="1" w:styleId="2522">
    <w:name w:val="bt_content"/>
    <w:basedOn w:val="1"/>
    <w:qFormat/>
    <w:uiPriority w:val="0"/>
    <w:pPr>
      <w:widowControl/>
      <w:spacing w:before="100" w:beforeAutospacing="1" w:after="100" w:afterAutospacing="1" w:line="440" w:lineRule="exact"/>
      <w:ind w:firstLine="480"/>
      <w:jc w:val="left"/>
    </w:pPr>
    <w:rPr>
      <w:rFonts w:ascii="宋体" w:hAnsi="宋体" w:cs="宋体"/>
      <w:kern w:val="0"/>
      <w:szCs w:val="24"/>
    </w:rPr>
  </w:style>
  <w:style w:type="paragraph" w:customStyle="1" w:styleId="2523">
    <w:name w:val="表表"/>
    <w:basedOn w:val="1"/>
    <w:qFormat/>
    <w:uiPriority w:val="0"/>
    <w:pPr>
      <w:spacing w:before="60" w:after="60" w:line="440" w:lineRule="exact"/>
      <w:ind w:firstLine="480"/>
      <w:jc w:val="center"/>
    </w:pPr>
    <w:rPr>
      <w:rFonts w:cs="Times New Roman"/>
      <w:szCs w:val="20"/>
    </w:rPr>
  </w:style>
  <w:style w:type="paragraph" w:customStyle="1" w:styleId="2524">
    <w:name w:val="样式 黑体 20 居中"/>
    <w:basedOn w:val="1"/>
    <w:qFormat/>
    <w:uiPriority w:val="0"/>
    <w:pPr>
      <w:ind w:firstLine="0" w:firstLineChars="0"/>
      <w:jc w:val="center"/>
    </w:pPr>
    <w:rPr>
      <w:rFonts w:ascii="黑体" w:eastAsia="黑体" w:cs="Times New Roman"/>
      <w:sz w:val="40"/>
      <w:szCs w:val="20"/>
    </w:rPr>
  </w:style>
  <w:style w:type="paragraph" w:customStyle="1" w:styleId="2525">
    <w:name w:val="正文缩进 + 小四"/>
    <w:basedOn w:val="1"/>
    <w:qFormat/>
    <w:uiPriority w:val="0"/>
    <w:pPr>
      <w:adjustRightInd w:val="0"/>
      <w:snapToGrid w:val="0"/>
      <w:spacing w:line="520" w:lineRule="exact"/>
      <w:ind w:firstLine="480"/>
    </w:pPr>
    <w:rPr>
      <w:rFonts w:ascii="宋体" w:hAnsi="宋体" w:cs="Times New Roman"/>
      <w:color w:val="0000FF"/>
      <w:szCs w:val="20"/>
    </w:rPr>
  </w:style>
  <w:style w:type="paragraph" w:customStyle="1" w:styleId="2526">
    <w:name w:val="规划1-1-1"/>
    <w:basedOn w:val="1"/>
    <w:qFormat/>
    <w:uiPriority w:val="0"/>
    <w:pPr>
      <w:spacing w:line="460" w:lineRule="exact"/>
      <w:ind w:firstLine="480"/>
    </w:pPr>
    <w:rPr>
      <w:rFonts w:ascii="黑体" w:hAnsi="宋体" w:eastAsia="黑体" w:cs="Times New Roman"/>
      <w:b/>
      <w:sz w:val="25"/>
      <w:szCs w:val="20"/>
    </w:rPr>
  </w:style>
  <w:style w:type="paragraph" w:customStyle="1" w:styleId="2527">
    <w:name w:val="样式 样式 标题 3标题 3 Char + 黑色 行距: 固定值 26 磅 + 段前: 1 行 段后: 1 行"/>
    <w:basedOn w:val="1790"/>
    <w:qFormat/>
    <w:uiPriority w:val="0"/>
    <w:pPr>
      <w:widowControl/>
      <w:tabs>
        <w:tab w:val="left" w:pos="720"/>
        <w:tab w:val="left" w:pos="900"/>
        <w:tab w:val="left" w:pos="1260"/>
        <w:tab w:val="left" w:pos="1800"/>
        <w:tab w:val="clear" w:pos="360"/>
        <w:tab w:val="clear" w:pos="1647"/>
      </w:tabs>
      <w:adjustRightInd w:val="0"/>
      <w:spacing w:beforeLines="50" w:afterLines="50"/>
      <w:ind w:left="1042" w:hanging="1042" w:firstLineChars="0"/>
      <w:jc w:val="left"/>
    </w:pPr>
    <w:rPr>
      <w:rFonts w:ascii="宋体" w:hAnsi="宋体"/>
      <w:b w:val="0"/>
      <w:bCs w:val="0"/>
      <w:szCs w:val="24"/>
    </w:rPr>
  </w:style>
  <w:style w:type="paragraph" w:customStyle="1" w:styleId="2528">
    <w:name w:val="标题6-自建"/>
    <w:basedOn w:val="8"/>
    <w:qFormat/>
    <w:uiPriority w:val="0"/>
    <w:pPr>
      <w:tabs>
        <w:tab w:val="clear" w:pos="0"/>
      </w:tabs>
      <w:adjustRightInd/>
      <w:spacing w:before="0" w:after="0" w:line="900" w:lineRule="exact"/>
      <w:ind w:firstLine="480" w:firstLineChars="200"/>
      <w:jc w:val="left"/>
    </w:pPr>
    <w:rPr>
      <w:rFonts w:eastAsia="宋体"/>
      <w:kern w:val="2"/>
      <w:sz w:val="28"/>
      <w:szCs w:val="24"/>
    </w:rPr>
  </w:style>
  <w:style w:type="paragraph" w:customStyle="1" w:styleId="2529">
    <w:name w:val="标正文1"/>
    <w:basedOn w:val="1"/>
    <w:qFormat/>
    <w:uiPriority w:val="0"/>
    <w:pPr>
      <w:spacing w:line="480" w:lineRule="exact"/>
      <w:ind w:left="106" w:leftChars="44" w:firstLine="480"/>
      <w:jc w:val="left"/>
    </w:pPr>
    <w:rPr>
      <w:rFonts w:ascii="宋体" w:hAnsi="宋体" w:cs="Times New Roman"/>
      <w:kern w:val="0"/>
      <w:szCs w:val="24"/>
    </w:rPr>
  </w:style>
  <w:style w:type="paragraph" w:customStyle="1" w:styleId="2530">
    <w:name w:val="样式 题注 + 两端对齐"/>
    <w:basedOn w:val="22"/>
    <w:qFormat/>
    <w:uiPriority w:val="0"/>
    <w:pPr>
      <w:keepNext/>
      <w:spacing w:line="360" w:lineRule="auto"/>
      <w:ind w:firstLine="200" w:firstLineChars="200"/>
    </w:pPr>
    <w:rPr>
      <w:rFonts w:ascii="Times New Roman" w:hAnsi="Times New Roman" w:cs="宋体"/>
      <w:sz w:val="24"/>
      <w:szCs w:val="24"/>
    </w:rPr>
  </w:style>
  <w:style w:type="paragraph" w:customStyle="1" w:styleId="2531">
    <w:name w:val="正文首行不缩进"/>
    <w:basedOn w:val="1"/>
    <w:qFormat/>
    <w:uiPriority w:val="0"/>
    <w:pPr>
      <w:keepNext/>
      <w:keepLines/>
      <w:adjustRightInd w:val="0"/>
      <w:snapToGrid w:val="0"/>
      <w:ind w:firstLine="480"/>
    </w:pPr>
    <w:rPr>
      <w:rFonts w:ascii="Arial Narrow" w:hAnsi="Arial Narrow" w:cs="Times New Roman"/>
      <w:sz w:val="28"/>
      <w:szCs w:val="24"/>
    </w:rPr>
  </w:style>
  <w:style w:type="paragraph" w:customStyle="1" w:styleId="2532">
    <w:name w:val="样式 标题 3标题3H3h33rd level第二层条头 + 小四 加粗 左侧:  0 厘米 首行缩进:  0..."/>
    <w:basedOn w:val="5"/>
    <w:qFormat/>
    <w:uiPriority w:val="0"/>
    <w:pPr>
      <w:keepLines w:val="0"/>
      <w:tabs>
        <w:tab w:val="left" w:pos="607"/>
      </w:tabs>
      <w:adjustRightInd w:val="0"/>
      <w:spacing w:before="120" w:after="120" w:line="360" w:lineRule="exact"/>
      <w:ind w:left="607" w:hanging="607" w:firstLineChars="200"/>
      <w:jc w:val="left"/>
    </w:pPr>
    <w:rPr>
      <w:rFonts w:ascii="FLGPEK+TimesNewRoman,Italic" w:hAnsi="FLGPEK+TimesNewRoman,Italic" w:eastAsia="华文仿宋" w:cs="Garamond"/>
      <w:b w:val="0"/>
      <w:color w:val="000000"/>
      <w:kern w:val="0"/>
      <w:sz w:val="30"/>
    </w:rPr>
  </w:style>
  <w:style w:type="paragraph" w:customStyle="1" w:styleId="2533">
    <w:name w:val="正文缩进2字符"/>
    <w:basedOn w:val="1"/>
    <w:qFormat/>
    <w:uiPriority w:val="0"/>
    <w:pPr>
      <w:spacing w:line="520" w:lineRule="exact"/>
    </w:pPr>
    <w:rPr>
      <w:rFonts w:cs="Times New Roman"/>
      <w:sz w:val="28"/>
      <w:szCs w:val="24"/>
    </w:rPr>
  </w:style>
  <w:style w:type="paragraph" w:customStyle="1" w:styleId="2534">
    <w:name w:val="样式 正文首行缩进 2 + 首行缩进:  2 字符"/>
    <w:basedOn w:val="87"/>
    <w:qFormat/>
    <w:uiPriority w:val="0"/>
    <w:pPr>
      <w:spacing w:line="360" w:lineRule="auto"/>
      <w:ind w:left="0" w:leftChars="0" w:firstLine="480"/>
    </w:pPr>
    <w:rPr>
      <w:rFonts w:ascii="Times New Roman"/>
      <w:color w:val="auto"/>
      <w:lang w:val="en-US"/>
    </w:rPr>
  </w:style>
  <w:style w:type="paragraph" w:customStyle="1" w:styleId="2535">
    <w:name w:val="编号标题"/>
    <w:basedOn w:val="5"/>
    <w:qFormat/>
    <w:uiPriority w:val="0"/>
    <w:pPr>
      <w:widowControl/>
      <w:spacing w:before="160" w:line="460" w:lineRule="exact"/>
      <w:ind w:firstLine="420" w:firstLineChars="200"/>
      <w:jc w:val="left"/>
      <w:outlineLvl w:val="9"/>
    </w:pPr>
    <w:rPr>
      <w:rFonts w:ascii="宋体" w:hAnsi="宋体" w:eastAsia="宋体"/>
      <w:b w:val="0"/>
      <w:color w:val="000000"/>
      <w:sz w:val="21"/>
      <w:szCs w:val="24"/>
    </w:rPr>
  </w:style>
  <w:style w:type="paragraph" w:customStyle="1" w:styleId="2536">
    <w:name w:val="CM110"/>
    <w:basedOn w:val="1"/>
    <w:next w:val="1"/>
    <w:qFormat/>
    <w:uiPriority w:val="0"/>
    <w:pPr>
      <w:autoSpaceDE w:val="0"/>
      <w:autoSpaceDN w:val="0"/>
      <w:adjustRightInd w:val="0"/>
      <w:spacing w:after="313" w:line="440" w:lineRule="exact"/>
      <w:ind w:firstLine="720"/>
      <w:jc w:val="left"/>
    </w:pPr>
    <w:rPr>
      <w:rFonts w:ascii="Tahoma" w:eastAsia="Tahoma" w:cs="Times New Roman"/>
      <w:kern w:val="0"/>
      <w:szCs w:val="24"/>
    </w:rPr>
  </w:style>
  <w:style w:type="paragraph" w:customStyle="1" w:styleId="2537">
    <w:name w:val="索引 41"/>
    <w:basedOn w:val="1"/>
    <w:next w:val="1"/>
    <w:qFormat/>
    <w:uiPriority w:val="0"/>
    <w:pPr>
      <w:spacing w:line="440" w:lineRule="exact"/>
      <w:ind w:left="1000" w:hanging="250"/>
      <w:jc w:val="left"/>
    </w:pPr>
    <w:rPr>
      <w:rFonts w:ascii="Batang" w:hAnsi="Batang" w:cs="Batang"/>
      <w:spacing w:val="5"/>
      <w:kern w:val="0"/>
      <w:sz w:val="20"/>
      <w:szCs w:val="24"/>
    </w:rPr>
  </w:style>
  <w:style w:type="paragraph" w:customStyle="1" w:styleId="2538">
    <w:name w:val="表头居左"/>
    <w:basedOn w:val="1666"/>
    <w:qFormat/>
    <w:uiPriority w:val="0"/>
    <w:pPr>
      <w:spacing w:beforeLines="0" w:line="260" w:lineRule="exact"/>
      <w:ind w:firstLine="254"/>
      <w:jc w:val="both"/>
    </w:pPr>
  </w:style>
  <w:style w:type="paragraph" w:customStyle="1" w:styleId="2539">
    <w:name w:val="样式 标题 1标题 1 1 + 黑体 小二 非加粗 蓝色 段前: 0 磅 段后: 7.8 磅 行距: 单倍行距"/>
    <w:basedOn w:val="3"/>
    <w:qFormat/>
    <w:uiPriority w:val="0"/>
    <w:pPr>
      <w:tabs>
        <w:tab w:val="left" w:pos="432"/>
      </w:tabs>
      <w:spacing w:line="440" w:lineRule="exact"/>
      <w:ind w:left="432" w:hanging="432" w:firstLineChars="200"/>
    </w:pPr>
    <w:rPr>
      <w:rFonts w:ascii="宋体" w:hAnsi="Tahoma" w:eastAsia="宋体" w:cs="Garamond"/>
      <w:b w:val="0"/>
      <w:bCs w:val="0"/>
      <w:color w:val="0000FF"/>
      <w:sz w:val="30"/>
      <w:szCs w:val="24"/>
    </w:rPr>
  </w:style>
  <w:style w:type="paragraph" w:customStyle="1" w:styleId="2540">
    <w:name w:val="标记文字"/>
    <w:basedOn w:val="22"/>
    <w:qFormat/>
    <w:uiPriority w:val="0"/>
    <w:pPr>
      <w:ind w:left="200" w:hanging="200" w:hangingChars="200"/>
      <w:jc w:val="both"/>
    </w:pPr>
    <w:rPr>
      <w:rFonts w:ascii="Arial" w:eastAsia="黑体" w:cs="Times New Roman"/>
    </w:rPr>
  </w:style>
  <w:style w:type="paragraph" w:customStyle="1" w:styleId="2541">
    <w:name w:val="正文居中"/>
    <w:basedOn w:val="1"/>
    <w:qFormat/>
    <w:uiPriority w:val="0"/>
    <w:pPr>
      <w:spacing w:line="400" w:lineRule="exact"/>
      <w:jc w:val="center"/>
    </w:pPr>
    <w:rPr>
      <w:rFonts w:ascii="Tahoma" w:hAnsi="Tahoma" w:cs="Garamond"/>
      <w:kern w:val="0"/>
      <w:szCs w:val="24"/>
    </w:rPr>
  </w:style>
  <w:style w:type="paragraph" w:customStyle="1" w:styleId="2542">
    <w:name w:val="WW-正文缩进"/>
    <w:basedOn w:val="1"/>
    <w:qFormat/>
    <w:uiPriority w:val="0"/>
    <w:pPr>
      <w:suppressAutoHyphens/>
      <w:spacing w:line="480" w:lineRule="exact"/>
      <w:ind w:firstLine="595"/>
    </w:pPr>
    <w:rPr>
      <w:rFonts w:cs="Times New Roman"/>
      <w:szCs w:val="20"/>
      <w:lang w:eastAsia="ar-SA"/>
    </w:rPr>
  </w:style>
  <w:style w:type="paragraph" w:customStyle="1" w:styleId="2543">
    <w:name w:val="15"/>
    <w:basedOn w:val="1"/>
    <w:qFormat/>
    <w:uiPriority w:val="0"/>
    <w:pPr>
      <w:widowControl/>
      <w:snapToGrid w:val="0"/>
      <w:spacing w:before="100" w:beforeAutospacing="1" w:after="100" w:afterAutospacing="1" w:line="440" w:lineRule="exact"/>
      <w:ind w:firstLine="720"/>
    </w:pPr>
    <w:rPr>
      <w:rFonts w:cs="Times New Roman"/>
      <w:b/>
      <w:kern w:val="0"/>
      <w:szCs w:val="20"/>
    </w:rPr>
  </w:style>
  <w:style w:type="paragraph" w:customStyle="1" w:styleId="2544">
    <w:name w:val="目录1"/>
    <w:basedOn w:val="1"/>
    <w:next w:val="1"/>
    <w:qFormat/>
    <w:uiPriority w:val="0"/>
    <w:pPr>
      <w:widowControl/>
      <w:tabs>
        <w:tab w:val="left" w:leader="dot" w:pos="8503"/>
      </w:tabs>
      <w:spacing w:after="102" w:line="215" w:lineRule="atLeast"/>
      <w:ind w:firstLine="419" w:firstLineChars="0"/>
      <w:jc w:val="left"/>
    </w:pPr>
    <w:rPr>
      <w:rFonts w:cs="Times New Roman"/>
      <w:color w:val="000000"/>
      <w:kern w:val="0"/>
      <w:sz w:val="21"/>
      <w:szCs w:val="20"/>
      <w:u w:color="000000"/>
    </w:rPr>
  </w:style>
  <w:style w:type="paragraph" w:customStyle="1" w:styleId="2545">
    <w:name w:val="表5号字"/>
    <w:basedOn w:val="1"/>
    <w:qFormat/>
    <w:uiPriority w:val="0"/>
    <w:pPr>
      <w:widowControl/>
      <w:spacing w:beforeLines="50" w:afterLines="50" w:line="440" w:lineRule="exact"/>
      <w:ind w:firstLine="480"/>
      <w:jc w:val="left"/>
    </w:pPr>
    <w:rPr>
      <w:rFonts w:cs="Times New Roman"/>
      <w:szCs w:val="24"/>
    </w:rPr>
  </w:style>
  <w:style w:type="paragraph" w:customStyle="1" w:styleId="2546">
    <w:name w:val="样式 标题 1标题 1 Char Char + Times New Roman 段后: 0.5 行"/>
    <w:basedOn w:val="3"/>
    <w:qFormat/>
    <w:uiPriority w:val="0"/>
    <w:pPr>
      <w:tabs>
        <w:tab w:val="left" w:pos="4500"/>
      </w:tabs>
      <w:adjustRightInd w:val="0"/>
      <w:snapToGrid w:val="0"/>
      <w:spacing w:line="460" w:lineRule="exact"/>
      <w:ind w:firstLine="200" w:firstLineChars="200"/>
    </w:pPr>
    <w:rPr>
      <w:rFonts w:ascii="Tahoma" w:hAnsi="Tahoma" w:eastAsia="FLGPEK+TimesNewRoman,Italic" w:cs="Garamond"/>
      <w:bCs w:val="0"/>
      <w:color w:val="000000"/>
      <w:sz w:val="30"/>
      <w:szCs w:val="24"/>
    </w:rPr>
  </w:style>
  <w:style w:type="paragraph" w:customStyle="1" w:styleId="2547">
    <w:name w:val="Text tab"/>
    <w:basedOn w:val="1"/>
    <w:qFormat/>
    <w:uiPriority w:val="0"/>
    <w:pPr>
      <w:widowControl/>
      <w:overflowPunct w:val="0"/>
      <w:autoSpaceDE w:val="0"/>
      <w:autoSpaceDN w:val="0"/>
      <w:adjustRightInd w:val="0"/>
      <w:spacing w:before="60" w:after="60" w:line="440" w:lineRule="exact"/>
      <w:ind w:firstLine="720"/>
    </w:pPr>
    <w:rPr>
      <w:rFonts w:ascii="Batang" w:hAnsi="Batang" w:cs="Times New Roman"/>
      <w:kern w:val="0"/>
      <w:sz w:val="22"/>
      <w:szCs w:val="24"/>
      <w:lang w:val="en-GB"/>
    </w:rPr>
  </w:style>
  <w:style w:type="paragraph" w:customStyle="1" w:styleId="2548">
    <w:name w:val="列表接续 21"/>
    <w:basedOn w:val="1"/>
    <w:qFormat/>
    <w:uiPriority w:val="0"/>
    <w:pPr>
      <w:spacing w:after="120" w:line="480" w:lineRule="exact"/>
      <w:ind w:left="840" w:leftChars="400"/>
    </w:pPr>
    <w:rPr>
      <w:rFonts w:ascii="Tahoma" w:hAnsi="Tahoma" w:cs="Garamond"/>
      <w:kern w:val="0"/>
      <w:szCs w:val="24"/>
    </w:rPr>
  </w:style>
  <w:style w:type="paragraph" w:customStyle="1" w:styleId="2549">
    <w:name w:val="正文文本缩进 32"/>
    <w:basedOn w:val="1"/>
    <w:qFormat/>
    <w:uiPriority w:val="0"/>
    <w:pPr>
      <w:adjustRightInd w:val="0"/>
      <w:spacing w:line="440" w:lineRule="exact"/>
      <w:ind w:firstLine="640"/>
    </w:pPr>
    <w:rPr>
      <w:rFonts w:ascii="华文仿宋" w:hAnsi="Tahoma" w:eastAsia="华文仿宋" w:cs="Garamond"/>
      <w:color w:val="FF0000"/>
      <w:kern w:val="0"/>
      <w:sz w:val="32"/>
      <w:szCs w:val="24"/>
    </w:rPr>
  </w:style>
  <w:style w:type="paragraph" w:customStyle="1" w:styleId="2550">
    <w:name w:val="_Style 5"/>
    <w:basedOn w:val="1"/>
    <w:qFormat/>
    <w:uiPriority w:val="0"/>
    <w:pPr>
      <w:widowControl/>
      <w:spacing w:after="160" w:line="240" w:lineRule="exact"/>
      <w:ind w:left="100" w:leftChars="-100" w:hanging="200" w:hangingChars="200"/>
      <w:jc w:val="left"/>
    </w:pPr>
    <w:rPr>
      <w:rFonts w:cs="Times New Roman"/>
      <w:szCs w:val="24"/>
    </w:rPr>
  </w:style>
  <w:style w:type="paragraph" w:customStyle="1" w:styleId="2551">
    <w:name w:val="默认段落字体 Para Char Char Char Char Char Char Char Char Char Char Char Char Char"/>
    <w:basedOn w:val="1"/>
    <w:qFormat/>
    <w:uiPriority w:val="0"/>
    <w:pPr>
      <w:spacing w:line="440" w:lineRule="exact"/>
      <w:ind w:firstLine="480"/>
    </w:pPr>
    <w:rPr>
      <w:rFonts w:cs="Times New Roman"/>
      <w:szCs w:val="24"/>
    </w:rPr>
  </w:style>
  <w:style w:type="paragraph" w:customStyle="1" w:styleId="2552">
    <w:name w:val="Char Char Char Char Char Char Char Char Char Char Char Char1 Char"/>
    <w:basedOn w:val="1"/>
    <w:qFormat/>
    <w:uiPriority w:val="0"/>
    <w:pPr>
      <w:spacing w:line="440" w:lineRule="exact"/>
      <w:ind w:firstLine="480"/>
    </w:pPr>
    <w:rPr>
      <w:rFonts w:cs="Times New Roman"/>
      <w:szCs w:val="24"/>
    </w:rPr>
  </w:style>
  <w:style w:type="paragraph" w:customStyle="1" w:styleId="2553">
    <w:name w:val=".. 2"/>
    <w:basedOn w:val="157"/>
    <w:next w:val="157"/>
    <w:qFormat/>
    <w:uiPriority w:val="0"/>
    <w:pPr>
      <w:spacing w:before="260" w:after="260"/>
    </w:pPr>
    <w:rPr>
      <w:rFonts w:ascii="FLGPEK+TimesNewRoman,Italic" w:hAnsi="Chicago" w:cs="Chicago"/>
      <w:color w:val="auto"/>
    </w:rPr>
  </w:style>
  <w:style w:type="paragraph" w:customStyle="1" w:styleId="2554">
    <w:name w:val="正文首行缩进3"/>
    <w:basedOn w:val="34"/>
    <w:qFormat/>
    <w:uiPriority w:val="0"/>
    <w:pPr>
      <w:adjustRightInd w:val="0"/>
      <w:spacing w:after="0" w:line="312" w:lineRule="auto"/>
      <w:ind w:firstLine="567"/>
    </w:pPr>
    <w:rPr>
      <w:rFonts w:eastAsia="Times New Roman" w:cs="Times New Roman"/>
      <w:kern w:val="0"/>
      <w:sz w:val="28"/>
      <w:szCs w:val="20"/>
    </w:rPr>
  </w:style>
  <w:style w:type="paragraph" w:customStyle="1" w:styleId="2555">
    <w:name w:val="小标题(1)"/>
    <w:basedOn w:val="34"/>
    <w:qFormat/>
    <w:uiPriority w:val="0"/>
    <w:pPr>
      <w:adjustRightInd w:val="0"/>
      <w:snapToGrid w:val="0"/>
      <w:spacing w:before="60" w:after="60" w:line="264" w:lineRule="auto"/>
      <w:ind w:firstLine="240" w:firstLineChars="100"/>
    </w:pPr>
    <w:rPr>
      <w:rFonts w:ascii="Tahoma" w:hAnsi="Tahoma" w:eastAsia="华文仿宋" w:cs="Garamond"/>
      <w:kern w:val="0"/>
      <w:szCs w:val="24"/>
    </w:rPr>
  </w:style>
  <w:style w:type="paragraph" w:customStyle="1" w:styleId="2556">
    <w:name w:val="Normal (Web)1"/>
    <w:basedOn w:val="1"/>
    <w:qFormat/>
    <w:uiPriority w:val="0"/>
    <w:pPr>
      <w:widowControl/>
      <w:spacing w:beforeLines="50" w:afterLines="50" w:line="440" w:lineRule="exact"/>
      <w:ind w:firstLine="480"/>
      <w:jc w:val="left"/>
    </w:pPr>
    <w:rPr>
      <w:rFonts w:ascii="宋体" w:hAnsi="宋体" w:cs="宋体"/>
      <w:kern w:val="0"/>
      <w:szCs w:val="24"/>
    </w:rPr>
  </w:style>
  <w:style w:type="paragraph" w:customStyle="1" w:styleId="2557">
    <w:name w:val="样2"/>
    <w:basedOn w:val="1"/>
    <w:next w:val="1"/>
    <w:qFormat/>
    <w:uiPriority w:val="0"/>
    <w:pPr>
      <w:adjustRightInd w:val="0"/>
      <w:spacing w:line="440" w:lineRule="exact"/>
      <w:ind w:firstLine="720"/>
      <w:jc w:val="center"/>
    </w:pPr>
    <w:rPr>
      <w:rFonts w:cs="Times New Roman"/>
      <w:kern w:val="0"/>
      <w:szCs w:val="24"/>
    </w:rPr>
  </w:style>
  <w:style w:type="paragraph" w:customStyle="1" w:styleId="2558">
    <w:name w:val="Char Char7 Char Char Char Char Char Char Char Char Char Char Char Char Char"/>
    <w:basedOn w:val="1"/>
    <w:qFormat/>
    <w:uiPriority w:val="0"/>
    <w:pPr>
      <w:spacing w:line="440" w:lineRule="exact"/>
    </w:pPr>
    <w:rPr>
      <w:rFonts w:cs="Times New Roman"/>
      <w:sz w:val="28"/>
      <w:szCs w:val="24"/>
    </w:rPr>
  </w:style>
  <w:style w:type="paragraph" w:customStyle="1" w:styleId="2559">
    <w:name w:val="样式 正文文本正文文字 + 四号 红色 首行缩进:  2 字符"/>
    <w:basedOn w:val="34"/>
    <w:qFormat/>
    <w:uiPriority w:val="0"/>
    <w:pPr>
      <w:adjustRightInd w:val="0"/>
      <w:snapToGrid w:val="0"/>
      <w:spacing w:before="60" w:after="60" w:line="264" w:lineRule="auto"/>
      <w:ind w:firstLine="560"/>
    </w:pPr>
    <w:rPr>
      <w:rFonts w:ascii="Tahoma" w:hAnsi="Tahoma" w:eastAsia="华文仿宋" w:cs="Garamond"/>
      <w:color w:val="FF0000"/>
      <w:kern w:val="0"/>
      <w:szCs w:val="24"/>
    </w:rPr>
  </w:style>
  <w:style w:type="paragraph" w:customStyle="1" w:styleId="2560">
    <w:name w:val="文-7"/>
    <w:basedOn w:val="735"/>
    <w:qFormat/>
    <w:uiPriority w:val="0"/>
    <w:pPr>
      <w:spacing w:line="440" w:lineRule="exact"/>
      <w:ind w:left="1701" w:firstLine="200" w:firstLineChars="200"/>
    </w:pPr>
    <w:rPr>
      <w:rFonts w:ascii="Times New Roman"/>
      <w:kern w:val="0"/>
      <w:szCs w:val="24"/>
    </w:rPr>
  </w:style>
  <w:style w:type="paragraph" w:customStyle="1" w:styleId="2561">
    <w:name w:val="表文2"/>
    <w:basedOn w:val="1"/>
    <w:qFormat/>
    <w:uiPriority w:val="0"/>
    <w:pPr>
      <w:widowControl/>
      <w:spacing w:line="360" w:lineRule="exact"/>
      <w:jc w:val="center"/>
    </w:pPr>
    <w:rPr>
      <w:rFonts w:ascii="Batang" w:hAnsi="Batang" w:cs="Garamond"/>
      <w:color w:val="000000"/>
      <w:kern w:val="24"/>
      <w:szCs w:val="24"/>
    </w:rPr>
  </w:style>
  <w:style w:type="paragraph" w:customStyle="1" w:styleId="2562">
    <w:name w:val="样式 正文文字缩进 2 + 首行缩进:  2 字符"/>
    <w:basedOn w:val="51"/>
    <w:qFormat/>
    <w:uiPriority w:val="0"/>
    <w:pPr>
      <w:spacing w:after="0" w:line="480" w:lineRule="atLeast"/>
      <w:ind w:left="0" w:leftChars="0"/>
    </w:pPr>
    <w:rPr>
      <w:rFonts w:ascii="Chicago" w:hAnsi="Chicago" w:eastAsia="Calibri" w:cs="Chicago"/>
      <w:szCs w:val="24"/>
    </w:rPr>
  </w:style>
  <w:style w:type="paragraph" w:customStyle="1" w:styleId="2563">
    <w:name w:val="样式 标题 4 + 左侧:  -0 厘米 首行缩进:  0 厘米 段后: 1.8 磅"/>
    <w:basedOn w:val="6"/>
    <w:qFormat/>
    <w:uiPriority w:val="0"/>
    <w:pPr>
      <w:keepLines w:val="0"/>
      <w:widowControl/>
      <w:tabs>
        <w:tab w:val="left" w:pos="360"/>
        <w:tab w:val="left" w:pos="1800"/>
      </w:tabs>
      <w:autoSpaceDE w:val="0"/>
      <w:autoSpaceDN w:val="0"/>
      <w:adjustRightInd w:val="0"/>
      <w:spacing w:before="240" w:after="36" w:line="312" w:lineRule="auto"/>
      <w:ind w:left="360" w:hanging="360" w:hangingChars="200"/>
    </w:pPr>
    <w:rPr>
      <w:rFonts w:ascii="Tahoma" w:hAnsi="Tahoma" w:eastAsia="华文仿宋" w:cs="Garamond"/>
      <w:b w:val="0"/>
      <w:bCs w:val="0"/>
      <w:color w:val="000000"/>
      <w:kern w:val="0"/>
      <w:szCs w:val="20"/>
    </w:rPr>
  </w:style>
  <w:style w:type="paragraph" w:customStyle="1" w:styleId="2564">
    <w:name w:val="图文框"/>
    <w:basedOn w:val="1"/>
    <w:qFormat/>
    <w:uiPriority w:val="0"/>
    <w:pPr>
      <w:widowControl/>
      <w:spacing w:line="240" w:lineRule="auto"/>
      <w:ind w:left="56" w:leftChars="-45" w:right="-28" w:rightChars="-28" w:hanging="164" w:hangingChars="78"/>
    </w:pPr>
    <w:rPr>
      <w:rFonts w:ascii="宋体" w:hAnsi="宋体" w:cs="Times New Roman"/>
      <w:kern w:val="0"/>
      <w:sz w:val="21"/>
      <w:szCs w:val="20"/>
    </w:rPr>
  </w:style>
  <w:style w:type="paragraph" w:customStyle="1" w:styleId="2565">
    <w:name w:val="样式 宋体 首行缩进:  2 字符 段前: 0.5 行"/>
    <w:basedOn w:val="1"/>
    <w:qFormat/>
    <w:uiPriority w:val="0"/>
    <w:pPr>
      <w:spacing w:beforeLines="50"/>
      <w:ind w:firstLine="480"/>
      <w:jc w:val="left"/>
    </w:pPr>
    <w:rPr>
      <w:rFonts w:ascii="宋体" w:hAnsi="宋体" w:cs="Times New Roman"/>
      <w:spacing w:val="5"/>
      <w:kern w:val="0"/>
      <w:szCs w:val="20"/>
    </w:rPr>
  </w:style>
  <w:style w:type="paragraph" w:customStyle="1" w:styleId="2566">
    <w:name w:val="CM106"/>
    <w:basedOn w:val="157"/>
    <w:next w:val="157"/>
    <w:qFormat/>
    <w:uiPriority w:val="0"/>
    <w:pPr>
      <w:spacing w:after="653"/>
    </w:pPr>
    <w:rPr>
      <w:rFonts w:ascii="华文中宋" w:hAnsi="Chicago" w:eastAsia="华文中宋" w:cs="Chicago"/>
      <w:color w:val="auto"/>
    </w:rPr>
  </w:style>
  <w:style w:type="paragraph" w:customStyle="1" w:styleId="2567">
    <w:name w:val="表蕊"/>
    <w:basedOn w:val="1"/>
    <w:qFormat/>
    <w:uiPriority w:val="0"/>
    <w:pPr>
      <w:adjustRightInd w:val="0"/>
      <w:spacing w:line="320" w:lineRule="atLeast"/>
      <w:ind w:firstLine="480"/>
      <w:jc w:val="left"/>
    </w:pPr>
    <w:rPr>
      <w:rFonts w:eastAsia="楷体_GB2312" w:cs="Times New Roman"/>
      <w:spacing w:val="-10"/>
      <w:kern w:val="0"/>
      <w:szCs w:val="20"/>
    </w:rPr>
  </w:style>
  <w:style w:type="paragraph" w:customStyle="1" w:styleId="2568">
    <w:name w:val="样式 正文标准 + 首行缩进:  2 字符"/>
    <w:basedOn w:val="1"/>
    <w:qFormat/>
    <w:uiPriority w:val="0"/>
    <w:pPr>
      <w:tabs>
        <w:tab w:val="left" w:pos="547"/>
        <w:tab w:val="left" w:pos="1080"/>
      </w:tabs>
      <w:spacing w:line="440" w:lineRule="exact"/>
      <w:ind w:firstLine="560"/>
    </w:pPr>
    <w:rPr>
      <w:rFonts w:ascii="Tahoma" w:hAnsi="Tahoma" w:cs="Garamond"/>
      <w:kern w:val="0"/>
      <w:sz w:val="28"/>
      <w:szCs w:val="24"/>
    </w:rPr>
  </w:style>
  <w:style w:type="paragraph" w:customStyle="1" w:styleId="2569">
    <w:name w:val="样式 标题 2节标题 1.1b2H2BSH-2标题 2 Char节标题 1.1 Charb2 CharH2 Ch..."/>
    <w:basedOn w:val="4"/>
    <w:qFormat/>
    <w:uiPriority w:val="0"/>
    <w:pPr>
      <w:keepLines w:val="0"/>
      <w:spacing w:before="120" w:after="60"/>
      <w:ind w:left="567" w:hanging="567"/>
      <w:jc w:val="left"/>
    </w:pPr>
    <w:rPr>
      <w:rFonts w:ascii="Verdana" w:hAnsi="Verdana" w:eastAsia="宋体" w:cs="宋体"/>
      <w:bCs w:val="0"/>
      <w:kern w:val="0"/>
      <w:sz w:val="28"/>
      <w:szCs w:val="20"/>
    </w:rPr>
  </w:style>
  <w:style w:type="paragraph" w:customStyle="1" w:styleId="2570">
    <w:name w:val="Char Char8 Char"/>
    <w:basedOn w:val="5"/>
    <w:qFormat/>
    <w:uiPriority w:val="0"/>
    <w:pPr>
      <w:tabs>
        <w:tab w:val="left" w:pos="360"/>
        <w:tab w:val="left" w:pos="900"/>
      </w:tabs>
      <w:snapToGrid w:val="0"/>
      <w:spacing w:before="120" w:after="120" w:line="440" w:lineRule="exact"/>
      <w:ind w:left="542" w:leftChars="-12" w:firstLine="200" w:firstLineChars="200"/>
      <w:jc w:val="left"/>
    </w:pPr>
    <w:rPr>
      <w:rFonts w:ascii="FLGPEK+TimesNewRoman,Italic" w:hAnsi="FLGPEK+TimesNewRoman,Italic" w:eastAsia="宋体" w:cs="Garamond"/>
      <w:b w:val="0"/>
      <w:color w:val="000000"/>
      <w:sz w:val="30"/>
      <w:szCs w:val="24"/>
    </w:rPr>
  </w:style>
  <w:style w:type="paragraph" w:customStyle="1" w:styleId="2571">
    <w:name w:val="样式 目录 2 + 左侧:  2 字符"/>
    <w:basedOn w:val="74"/>
    <w:qFormat/>
    <w:uiPriority w:val="0"/>
    <w:pPr>
      <w:tabs>
        <w:tab w:val="left" w:pos="1050"/>
      </w:tabs>
      <w:snapToGrid w:val="0"/>
      <w:spacing w:line="276" w:lineRule="auto"/>
      <w:ind w:firstLine="50" w:firstLineChars="50"/>
    </w:pPr>
    <w:rPr>
      <w:rFonts w:ascii="Vladimir Script" w:hAnsi="Vladimir Script" w:eastAsia="楷体_GB2312" w:cs="宋体"/>
      <w:szCs w:val="24"/>
    </w:rPr>
  </w:style>
  <w:style w:type="paragraph" w:customStyle="1" w:styleId="2572">
    <w:name w:val="可研正文k"/>
    <w:basedOn w:val="1"/>
    <w:next w:val="1"/>
    <w:qFormat/>
    <w:uiPriority w:val="0"/>
    <w:pPr>
      <w:ind w:firstLine="420"/>
    </w:pPr>
    <w:rPr>
      <w:rFonts w:ascii="Batang" w:hAnsi="Batang" w:eastAsia="ˎ̥" w:cs="Batang"/>
      <w:color w:val="000000"/>
      <w:kern w:val="0"/>
      <w:sz w:val="28"/>
      <w:szCs w:val="24"/>
    </w:rPr>
  </w:style>
  <w:style w:type="paragraph" w:customStyle="1" w:styleId="2573">
    <w:name w:val="样式 样式 标题 2 + 段后: 0.5 行 + (西文) Times New Roman (中文) 仿宋_GB2312 段..."/>
    <w:basedOn w:val="2391"/>
    <w:qFormat/>
    <w:uiPriority w:val="0"/>
    <w:pPr>
      <w:tabs>
        <w:tab w:val="left" w:pos="567"/>
        <w:tab w:val="clear" w:pos="576"/>
      </w:tabs>
      <w:ind w:left="567" w:hanging="567"/>
    </w:pPr>
    <w:rPr>
      <w:rFonts w:ascii="Tahoma" w:hAnsi="Tahoma" w:eastAsia="华文仿宋"/>
    </w:rPr>
  </w:style>
  <w:style w:type="paragraph" w:customStyle="1" w:styleId="2574">
    <w:name w:val="样式 题注 + 首行缩进:  2 字符1"/>
    <w:basedOn w:val="22"/>
    <w:qFormat/>
    <w:uiPriority w:val="0"/>
    <w:pPr>
      <w:keepNext/>
      <w:spacing w:before="152" w:after="160" w:line="360" w:lineRule="auto"/>
      <w:ind w:firstLine="200" w:firstLineChars="200"/>
      <w:jc w:val="both"/>
    </w:pPr>
    <w:rPr>
      <w:rFonts w:ascii="Arial" w:eastAsia="黑体" w:cs="Times New Roman"/>
    </w:rPr>
  </w:style>
  <w:style w:type="paragraph" w:customStyle="1" w:styleId="2575">
    <w:name w:val="索引 81"/>
    <w:basedOn w:val="1"/>
    <w:next w:val="1"/>
    <w:qFormat/>
    <w:uiPriority w:val="0"/>
    <w:pPr>
      <w:spacing w:line="440" w:lineRule="exact"/>
      <w:ind w:left="2000" w:hanging="250"/>
      <w:jc w:val="left"/>
    </w:pPr>
    <w:rPr>
      <w:rFonts w:ascii="Batang" w:hAnsi="Batang" w:cs="Batang"/>
      <w:spacing w:val="5"/>
      <w:kern w:val="0"/>
      <w:sz w:val="20"/>
      <w:szCs w:val="24"/>
    </w:rPr>
  </w:style>
  <w:style w:type="paragraph" w:customStyle="1" w:styleId="2576">
    <w:name w:val="修订11"/>
    <w:qFormat/>
    <w:uiPriority w:val="0"/>
    <w:rPr>
      <w:rFonts w:ascii="Batang" w:hAnsi="Batang" w:eastAsia="宋体" w:cs="Times New Roman"/>
      <w:kern w:val="2"/>
      <w:sz w:val="24"/>
      <w:lang w:val="en-US" w:eastAsia="zh-CN" w:bidi="ar-SA"/>
    </w:rPr>
  </w:style>
  <w:style w:type="paragraph" w:customStyle="1" w:styleId="2577">
    <w:name w:val="Char Char Char1 Char Char Char"/>
    <w:basedOn w:val="1"/>
    <w:qFormat/>
    <w:uiPriority w:val="0"/>
    <w:pPr>
      <w:autoSpaceDE w:val="0"/>
      <w:autoSpaceDN w:val="0"/>
      <w:adjustRightInd w:val="0"/>
      <w:snapToGrid w:val="0"/>
      <w:spacing w:before="50" w:after="50"/>
      <w:ind w:firstLine="560"/>
    </w:pPr>
    <w:rPr>
      <w:rFonts w:ascii="宋体" w:hAnsi="宋体" w:eastAsia="仿宋_GB2312" w:cs="Times New Roman"/>
      <w:color w:val="000000"/>
      <w:szCs w:val="20"/>
    </w:rPr>
  </w:style>
  <w:style w:type="paragraph" w:customStyle="1" w:styleId="2578">
    <w:name w:val="样式 标题 2标题2Se节标题 1.11.1标题2条标题h2l22nd levelTitre22Heade..."/>
    <w:basedOn w:val="4"/>
    <w:qFormat/>
    <w:uiPriority w:val="0"/>
    <w:pPr>
      <w:widowControl/>
      <w:snapToGrid w:val="0"/>
      <w:spacing w:before="240" w:after="120" w:line="412" w:lineRule="auto"/>
    </w:pPr>
    <w:rPr>
      <w:rFonts w:ascii="宋体" w:hAnsi="华文中宋" w:eastAsia="宋体"/>
      <w:bCs w:val="0"/>
      <w:kern w:val="28"/>
      <w:sz w:val="28"/>
      <w:szCs w:val="24"/>
    </w:rPr>
  </w:style>
  <w:style w:type="paragraph" w:customStyle="1" w:styleId="2579">
    <w:name w:val="表名称 Char"/>
    <w:basedOn w:val="1"/>
    <w:qFormat/>
    <w:uiPriority w:val="0"/>
    <w:pPr>
      <w:tabs>
        <w:tab w:val="left" w:pos="-120"/>
      </w:tabs>
      <w:overflowPunct w:val="0"/>
      <w:topLinePunct/>
      <w:autoSpaceDE w:val="0"/>
      <w:adjustRightInd w:val="0"/>
      <w:snapToGrid w:val="0"/>
      <w:spacing w:before="120" w:after="120" w:line="440" w:lineRule="exact"/>
      <w:jc w:val="center"/>
    </w:pPr>
    <w:rPr>
      <w:rFonts w:cs="Times New Roman"/>
      <w:b/>
      <w:kern w:val="0"/>
      <w:szCs w:val="24"/>
    </w:rPr>
  </w:style>
  <w:style w:type="paragraph" w:customStyle="1" w:styleId="2580">
    <w:name w:val="Char1 Char Char Char Char Char Char1"/>
    <w:basedOn w:val="5"/>
    <w:qFormat/>
    <w:uiPriority w:val="0"/>
    <w:pPr>
      <w:tabs>
        <w:tab w:val="left" w:pos="360"/>
        <w:tab w:val="left" w:pos="900"/>
      </w:tabs>
      <w:snapToGrid w:val="0"/>
      <w:spacing w:before="120" w:after="120"/>
      <w:ind w:left="-12" w:leftChars="-12" w:firstLine="200" w:firstLineChars="200"/>
      <w:jc w:val="left"/>
    </w:pPr>
    <w:rPr>
      <w:rFonts w:ascii="Verdana" w:hAnsi="Verdana" w:cs="宋体"/>
      <w:b w:val="0"/>
      <w:bCs w:val="0"/>
      <w:kern w:val="0"/>
      <w:sz w:val="24"/>
      <w:szCs w:val="24"/>
    </w:rPr>
  </w:style>
  <w:style w:type="paragraph" w:customStyle="1" w:styleId="2581">
    <w:name w:val="表格名称"/>
    <w:basedOn w:val="1"/>
    <w:next w:val="1"/>
    <w:qFormat/>
    <w:uiPriority w:val="0"/>
    <w:pPr>
      <w:spacing w:line="440" w:lineRule="exact"/>
      <w:jc w:val="center"/>
    </w:pPr>
    <w:rPr>
      <w:rFonts w:eastAsia="黑体" w:cs="Times New Roman"/>
      <w:bCs/>
      <w:szCs w:val="24"/>
    </w:rPr>
  </w:style>
  <w:style w:type="paragraph" w:customStyle="1" w:styleId="2582">
    <w:name w:val="正文文本 32"/>
    <w:basedOn w:val="1"/>
    <w:qFormat/>
    <w:uiPriority w:val="0"/>
    <w:pPr>
      <w:snapToGrid w:val="0"/>
      <w:spacing w:beforeLines="20" w:afterLines="20" w:line="240" w:lineRule="atLeast"/>
      <w:ind w:firstLine="480"/>
      <w:jc w:val="right"/>
    </w:pPr>
    <w:rPr>
      <w:rFonts w:cs="Times New Roman"/>
      <w:szCs w:val="24"/>
    </w:rPr>
  </w:style>
  <w:style w:type="paragraph" w:customStyle="1" w:styleId="2583">
    <w:name w:val="海港-3级标题"/>
    <w:basedOn w:val="1"/>
    <w:qFormat/>
    <w:uiPriority w:val="0"/>
    <w:pPr>
      <w:keepNext/>
      <w:keepLines/>
      <w:spacing w:beforeLines="100"/>
      <w:ind w:firstLine="480"/>
      <w:outlineLvl w:val="2"/>
    </w:pPr>
    <w:rPr>
      <w:rFonts w:cs="Times New Roman"/>
      <w:b/>
      <w:spacing w:val="5"/>
      <w:sz w:val="28"/>
      <w:szCs w:val="20"/>
    </w:rPr>
  </w:style>
  <w:style w:type="paragraph" w:customStyle="1" w:styleId="2584">
    <w:name w:val="工程标题"/>
    <w:qFormat/>
    <w:uiPriority w:val="0"/>
    <w:pPr>
      <w:widowControl w:val="0"/>
      <w:adjustRightInd w:val="0"/>
      <w:spacing w:line="360" w:lineRule="auto"/>
      <w:jc w:val="both"/>
    </w:pPr>
    <w:rPr>
      <w:rFonts w:ascii="Times New Roman" w:hAnsi="宋体" w:eastAsia="宋体" w:cs="Times New Roman"/>
      <w:b/>
      <w:kern w:val="2"/>
      <w:sz w:val="28"/>
      <w:szCs w:val="24"/>
      <w:lang w:val="en-US" w:eastAsia="zh-CN" w:bidi="ar-SA"/>
    </w:rPr>
  </w:style>
  <w:style w:type="paragraph" w:customStyle="1" w:styleId="2585">
    <w:name w:val="Char Char2 Char Char Char1"/>
    <w:basedOn w:val="1"/>
    <w:next w:val="1"/>
    <w:qFormat/>
    <w:uiPriority w:val="0"/>
    <w:pPr>
      <w:spacing w:line="529" w:lineRule="exact"/>
    </w:pPr>
    <w:rPr>
      <w:rFonts w:ascii="宋体" w:hAnsi="宋体" w:cs="宋体"/>
      <w:szCs w:val="24"/>
    </w:rPr>
  </w:style>
  <w:style w:type="paragraph" w:customStyle="1" w:styleId="2586">
    <w:name w:val="9 Char"/>
    <w:basedOn w:val="1"/>
    <w:qFormat/>
    <w:uiPriority w:val="0"/>
    <w:rPr>
      <w:rFonts w:ascii="宋体" w:hAnsi="宋体" w:cs="宋体"/>
      <w:szCs w:val="24"/>
    </w:rPr>
  </w:style>
  <w:style w:type="paragraph" w:customStyle="1" w:styleId="2587">
    <w:name w:val="Char1 Char Char3"/>
    <w:basedOn w:val="1"/>
    <w:qFormat/>
    <w:uiPriority w:val="0"/>
    <w:pPr>
      <w:spacing w:line="240" w:lineRule="auto"/>
      <w:ind w:firstLine="0" w:firstLineChars="0"/>
    </w:pPr>
    <w:rPr>
      <w:rFonts w:cs="Times New Roman"/>
      <w:sz w:val="21"/>
      <w:szCs w:val="24"/>
    </w:rPr>
  </w:style>
  <w:style w:type="character" w:customStyle="1" w:styleId="2588">
    <w:name w:val="h正文 Char Char"/>
    <w:link w:val="2589"/>
    <w:semiHidden/>
    <w:locked/>
    <w:uiPriority w:val="0"/>
    <w:rPr>
      <w:rFonts w:ascii="宋体" w:hAnsi="宋体" w:eastAsia="宋体"/>
      <w:color w:val="000000"/>
      <w:sz w:val="24"/>
      <w:szCs w:val="21"/>
    </w:rPr>
  </w:style>
  <w:style w:type="paragraph" w:customStyle="1" w:styleId="2589">
    <w:name w:val="h正文"/>
    <w:basedOn w:val="1"/>
    <w:link w:val="2588"/>
    <w:semiHidden/>
    <w:qFormat/>
    <w:uiPriority w:val="0"/>
    <w:rPr>
      <w:rFonts w:ascii="宋体" w:hAnsi="宋体"/>
      <w:color w:val="000000"/>
    </w:rPr>
  </w:style>
  <w:style w:type="paragraph" w:customStyle="1" w:styleId="2590">
    <w:name w:val="xl201"/>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left"/>
    </w:pPr>
    <w:rPr>
      <w:rFonts w:ascii="仿宋_GB2312" w:hAnsi="宋体" w:eastAsia="仿宋_GB2312" w:cs="宋体"/>
      <w:color w:val="000000"/>
      <w:kern w:val="0"/>
      <w:sz w:val="21"/>
    </w:rPr>
  </w:style>
  <w:style w:type="character" w:customStyle="1" w:styleId="2591">
    <w:name w:val="样式 宋体 小四 黑色 行距: 1.5 倍行距 Char1"/>
    <w:link w:val="2592"/>
    <w:locked/>
    <w:uiPriority w:val="0"/>
    <w:rPr>
      <w:rFonts w:ascii="宋体" w:hAnsi="宋体" w:eastAsia="宋体"/>
      <w:color w:val="000000"/>
      <w:sz w:val="24"/>
    </w:rPr>
  </w:style>
  <w:style w:type="paragraph" w:customStyle="1" w:styleId="2592">
    <w:name w:val="样式 宋体 小四 黑色 行距: 1.5 倍行距"/>
    <w:basedOn w:val="1"/>
    <w:link w:val="2591"/>
    <w:qFormat/>
    <w:uiPriority w:val="0"/>
    <w:pPr>
      <w:ind w:firstLine="480"/>
    </w:pPr>
    <w:rPr>
      <w:rFonts w:ascii="宋体" w:hAnsi="宋体"/>
      <w:color w:val="000000"/>
    </w:rPr>
  </w:style>
  <w:style w:type="paragraph" w:customStyle="1" w:styleId="2593">
    <w:name w:val="hb311"/>
    <w:basedOn w:val="5"/>
    <w:qFormat/>
    <w:uiPriority w:val="0"/>
    <w:pPr>
      <w:adjustRightInd w:val="0"/>
      <w:spacing w:before="240" w:after="240"/>
      <w:jc w:val="left"/>
    </w:pPr>
    <w:rPr>
      <w:b w:val="0"/>
      <w:bCs w:val="0"/>
      <w:sz w:val="24"/>
      <w:szCs w:val="24"/>
    </w:rPr>
  </w:style>
  <w:style w:type="character" w:customStyle="1" w:styleId="2594">
    <w:name w:val="正常 Char"/>
    <w:basedOn w:val="133"/>
    <w:link w:val="2595"/>
    <w:locked/>
    <w:uiPriority w:val="0"/>
    <w:rPr>
      <w:rFonts w:ascii="Calibri" w:hAnsi="Calibri" w:cs="Calibri"/>
      <w:sz w:val="24"/>
      <w:szCs w:val="24"/>
    </w:rPr>
  </w:style>
  <w:style w:type="paragraph" w:customStyle="1" w:styleId="2595">
    <w:name w:val="正常"/>
    <w:basedOn w:val="1"/>
    <w:link w:val="2594"/>
    <w:qFormat/>
    <w:uiPriority w:val="0"/>
    <w:pPr>
      <w:ind w:firstLine="480"/>
    </w:pPr>
    <w:rPr>
      <w:rFonts w:ascii="Calibri" w:hAnsi="Calibri" w:cs="Calibri" w:eastAsiaTheme="minorEastAsia"/>
      <w:szCs w:val="24"/>
    </w:rPr>
  </w:style>
  <w:style w:type="paragraph" w:customStyle="1" w:styleId="2596">
    <w:name w:val="xl2423"/>
    <w:basedOn w:val="1"/>
    <w:qFormat/>
    <w:uiPriority w:val="0"/>
    <w:pPr>
      <w:widowControl/>
      <w:spacing w:before="100" w:beforeAutospacing="1" w:after="100" w:afterAutospacing="1" w:line="240" w:lineRule="auto"/>
      <w:ind w:firstLine="0" w:firstLineChars="0"/>
      <w:jc w:val="center"/>
    </w:pPr>
    <w:rPr>
      <w:rFonts w:ascii="宋体" w:hAnsi="宋体" w:cs="Times New Roman"/>
      <w:kern w:val="0"/>
      <w:sz w:val="21"/>
    </w:rPr>
  </w:style>
  <w:style w:type="paragraph" w:customStyle="1" w:styleId="2597">
    <w:name w:val="56"/>
    <w:basedOn w:val="1"/>
    <w:next w:val="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Unicode MS" w:hAnsi="Arial Unicode MS" w:eastAsia="Arial Unicode MS" w:cs="Arial Unicode MS"/>
      <w:kern w:val="0"/>
      <w:sz w:val="20"/>
      <w:szCs w:val="20"/>
    </w:rPr>
  </w:style>
  <w:style w:type="character" w:styleId="2598">
    <w:name w:val="Placeholder Text"/>
    <w:semiHidden/>
    <w:uiPriority w:val="0"/>
    <w:rPr>
      <w:color w:val="808080"/>
    </w:rPr>
  </w:style>
  <w:style w:type="character" w:customStyle="1" w:styleId="2599">
    <w:name w:val="不明显强调1"/>
    <w:qFormat/>
    <w:uiPriority w:val="0"/>
    <w:rPr>
      <w:i/>
      <w:color w:val="808080"/>
    </w:rPr>
  </w:style>
  <w:style w:type="character" w:customStyle="1" w:styleId="2600">
    <w:name w:val="明显参考1"/>
    <w:basedOn w:val="133"/>
    <w:qFormat/>
    <w:uiPriority w:val="0"/>
    <w:rPr>
      <w:b/>
      <w:bCs/>
      <w:smallCaps/>
      <w:color w:val="C0504D"/>
      <w:spacing w:val="5"/>
      <w:u w:val="single"/>
    </w:rPr>
  </w:style>
  <w:style w:type="character" w:customStyle="1" w:styleId="2601">
    <w:name w:val="正文缩进41"/>
    <w:uiPriority w:val="0"/>
    <w:rPr>
      <w:rFonts w:hint="eastAsia" w:ascii="宋体" w:hAnsi="宋体" w:eastAsia="宋体"/>
      <w:kern w:val="2"/>
      <w:sz w:val="24"/>
      <w:lang w:val="en-US" w:eastAsia="zh-CN"/>
    </w:rPr>
  </w:style>
  <w:style w:type="character" w:customStyle="1" w:styleId="2602">
    <w:name w:val="标题 2 Char3"/>
    <w:uiPriority w:val="0"/>
    <w:rPr>
      <w:rFonts w:hint="default" w:ascii="Times New Roman" w:hAnsi="Times New Roman" w:eastAsia="宋体" w:cs="Times New Roman"/>
      <w:b/>
      <w:bCs/>
      <w:smallCaps/>
      <w:kern w:val="2"/>
      <w:sz w:val="28"/>
      <w:szCs w:val="21"/>
      <w:lang w:val="en-US" w:eastAsia="zh-CN" w:bidi="ar-SA"/>
    </w:rPr>
  </w:style>
  <w:style w:type="character" w:customStyle="1" w:styleId="2603">
    <w:name w:val="图表注 Char Char"/>
    <w:uiPriority w:val="0"/>
    <w:rPr>
      <w:rFonts w:hint="eastAsia" w:ascii="宋体" w:hAnsi="宋体" w:eastAsia="宋体"/>
      <w:kern w:val="2"/>
      <w:sz w:val="21"/>
      <w:lang w:val="en-US" w:eastAsia="zh-CN" w:bidi="ar-SA"/>
    </w:rPr>
  </w:style>
  <w:style w:type="character" w:customStyle="1" w:styleId="2604">
    <w:name w:val="正 Char"/>
    <w:uiPriority w:val="0"/>
    <w:rPr>
      <w:kern w:val="2"/>
      <w:sz w:val="24"/>
      <w:lang w:bidi="ar-SA"/>
    </w:rPr>
  </w:style>
  <w:style w:type="character" w:customStyle="1" w:styleId="2605">
    <w:name w:val="正文样式1 Char Char"/>
    <w:basedOn w:val="133"/>
    <w:uiPriority w:val="0"/>
    <w:rPr>
      <w:rFonts w:hint="eastAsia" w:ascii="宋体" w:hAnsi="宋体" w:eastAsia="宋体" w:cs="Arial"/>
      <w:b/>
      <w:bCs/>
      <w:color w:val="000000"/>
      <w:kern w:val="2"/>
      <w:sz w:val="24"/>
      <w:szCs w:val="21"/>
      <w:lang w:val="zh-CN" w:eastAsia="zh-CN" w:bidi="ar-SA"/>
    </w:rPr>
  </w:style>
  <w:style w:type="character" w:customStyle="1" w:styleId="2606">
    <w:name w:val="attach-title1"/>
    <w:uiPriority w:val="0"/>
    <w:rPr>
      <w:b/>
      <w:bCs/>
      <w:color w:val="008080"/>
      <w:sz w:val="27"/>
      <w:szCs w:val="27"/>
    </w:rPr>
  </w:style>
  <w:style w:type="character" w:customStyle="1" w:styleId="2607">
    <w:name w:val="珠江啤酒正文 Char Char"/>
    <w:uiPriority w:val="0"/>
    <w:rPr>
      <w:sz w:val="24"/>
      <w:lang w:bidi="ar-SA"/>
    </w:rPr>
  </w:style>
  <w:style w:type="character" w:customStyle="1" w:styleId="2608">
    <w:name w:val="t1 style2"/>
    <w:uiPriority w:val="0"/>
    <w:rPr>
      <w:rFonts w:hint="eastAsia" w:ascii="宋体" w:hAnsi="宋体" w:eastAsia="宋体"/>
      <w:b/>
      <w:szCs w:val="20"/>
    </w:rPr>
  </w:style>
  <w:style w:type="character" w:customStyle="1" w:styleId="2609">
    <w:name w:val="Char Char91"/>
    <w:uiPriority w:val="0"/>
    <w:rPr>
      <w:rFonts w:hint="eastAsia" w:ascii="宋体" w:hAnsi="Batang" w:eastAsia="宋体" w:cs="Batang"/>
      <w:sz w:val="18"/>
      <w:szCs w:val="18"/>
    </w:rPr>
  </w:style>
  <w:style w:type="character" w:customStyle="1" w:styleId="2610">
    <w:name w:val="表头文字 Char Char"/>
    <w:uiPriority w:val="0"/>
    <w:rPr>
      <w:rFonts w:hint="default" w:ascii="Verdana" w:hAnsi="Verdana" w:eastAsia="黑体"/>
      <w:sz w:val="24"/>
    </w:rPr>
  </w:style>
  <w:style w:type="character" w:customStyle="1" w:styleId="2611">
    <w:name w:val="font10pt"/>
    <w:uiPriority w:val="0"/>
    <w:rPr>
      <w:rFonts w:hint="eastAsia" w:ascii="宋体" w:hAnsi="宋体" w:eastAsia="宋体"/>
      <w:b/>
      <w:szCs w:val="20"/>
    </w:rPr>
  </w:style>
  <w:style w:type="character" w:customStyle="1" w:styleId="2612">
    <w:name w:val="仿宋体正文 Char Char"/>
    <w:uiPriority w:val="0"/>
    <w:rPr>
      <w:rFonts w:hint="eastAsia" w:ascii="宋体" w:hAnsi="宋体" w:eastAsia="宋体"/>
      <w:snapToGrid w:val="0"/>
      <w:color w:val="000000"/>
      <w:kern w:val="0"/>
      <w:sz w:val="28"/>
      <w:szCs w:val="28"/>
      <w:lang w:eastAsia="en-US"/>
    </w:rPr>
  </w:style>
  <w:style w:type="character" w:customStyle="1" w:styleId="2613">
    <w:name w:val="样式1 Char Char"/>
    <w:uiPriority w:val="0"/>
    <w:rPr>
      <w:kern w:val="2"/>
      <w:sz w:val="24"/>
    </w:rPr>
  </w:style>
  <w:style w:type="character" w:customStyle="1" w:styleId="2614">
    <w:name w:val="Char Char53"/>
    <w:uiPriority w:val="0"/>
    <w:rPr>
      <w:rFonts w:hint="default" w:ascii="Arial" w:hAnsi="Arial" w:eastAsia="黑体" w:cs="Arial"/>
      <w:b/>
      <w:bCs/>
      <w:kern w:val="2"/>
      <w:sz w:val="24"/>
      <w:szCs w:val="24"/>
      <w:lang w:val="en-US" w:eastAsia="zh-CN" w:bidi="ar-SA"/>
    </w:rPr>
  </w:style>
  <w:style w:type="character" w:customStyle="1" w:styleId="2615">
    <w:name w:val="style150"/>
    <w:uiPriority w:val="0"/>
  </w:style>
  <w:style w:type="character" w:customStyle="1" w:styleId="2616">
    <w:name w:val="Font Style18"/>
    <w:uiPriority w:val="0"/>
    <w:rPr>
      <w:rFonts w:hint="eastAsia" w:ascii="黑体" w:hAnsi="黑体" w:eastAsia="黑体" w:cs="黑体"/>
      <w:sz w:val="22"/>
      <w:szCs w:val="22"/>
    </w:rPr>
  </w:style>
  <w:style w:type="character" w:customStyle="1" w:styleId="2617">
    <w:name w:val="FU4 Char Char"/>
    <w:basedOn w:val="133"/>
    <w:uiPriority w:val="0"/>
    <w:rPr>
      <w:rFonts w:hint="eastAsia" w:ascii="黑体" w:hAnsi="Arial" w:eastAsia="黑体" w:cs="Arial"/>
      <w:b/>
      <w:bCs/>
      <w:color w:val="000000"/>
      <w:kern w:val="2"/>
      <w:sz w:val="24"/>
      <w:szCs w:val="24"/>
      <w:lang w:val="en-US" w:eastAsia="zh-CN" w:bidi="ar-SA"/>
    </w:rPr>
  </w:style>
  <w:style w:type="character" w:customStyle="1" w:styleId="2618">
    <w:name w:val="新标题3 Char Char"/>
    <w:uiPriority w:val="0"/>
    <w:rPr>
      <w:rFonts w:hint="eastAsia" w:ascii="黑体" w:hAnsi="黑体" w:eastAsia="黑体"/>
      <w:b/>
      <w:color w:val="000000"/>
      <w:kern w:val="2"/>
      <w:sz w:val="24"/>
      <w:szCs w:val="24"/>
      <w:lang w:val="en-US" w:eastAsia="zh-CN" w:bidi="ar-SA"/>
    </w:rPr>
  </w:style>
  <w:style w:type="character" w:customStyle="1" w:styleId="2619">
    <w:name w:val="标题5 Char Char"/>
    <w:uiPriority w:val="0"/>
    <w:rPr>
      <w:rFonts w:hint="eastAsia" w:ascii="宋体" w:hAnsi="宋体" w:eastAsia="宋体"/>
      <w:kern w:val="2"/>
      <w:sz w:val="24"/>
      <w:lang w:bidi="ar-SA"/>
    </w:rPr>
  </w:style>
  <w:style w:type="character" w:customStyle="1" w:styleId="2620">
    <w:name w:val="Char Char172"/>
    <w:qFormat/>
    <w:uiPriority w:val="0"/>
    <w:rPr>
      <w:rFonts w:hint="default" w:ascii="ӗԲ" w:hAnsi="ӗԲ" w:eastAsia="Cambria"/>
      <w:kern w:val="2"/>
      <w:sz w:val="24"/>
      <w:lang w:val="en-US" w:eastAsia="zh-CN" w:bidi="ar-SA"/>
    </w:rPr>
  </w:style>
  <w:style w:type="character" w:customStyle="1" w:styleId="2621">
    <w:name w:val="样式11 Char"/>
    <w:uiPriority w:val="0"/>
    <w:rPr>
      <w:rFonts w:hint="eastAsia" w:ascii="宋体" w:hAnsi="宋体" w:eastAsia="宋体"/>
      <w:kern w:val="2"/>
      <w:sz w:val="28"/>
      <w:szCs w:val="28"/>
      <w:lang w:val="en-US" w:eastAsia="zh-CN" w:bidi="ar-SA"/>
    </w:rPr>
  </w:style>
  <w:style w:type="character" w:customStyle="1" w:styleId="2622">
    <w:name w:val="Char Char49"/>
    <w:uiPriority w:val="0"/>
    <w:rPr>
      <w:kern w:val="2"/>
      <w:sz w:val="24"/>
      <w:szCs w:val="24"/>
    </w:rPr>
  </w:style>
  <w:style w:type="character" w:customStyle="1" w:styleId="2623">
    <w:name w:val="样式 首行缩进:  2 字符 Char"/>
    <w:uiPriority w:val="0"/>
    <w:rPr>
      <w:rFonts w:hint="eastAsia" w:ascii="宋体" w:hAnsi="宋体" w:eastAsia="宋体" w:cs="宋体"/>
      <w:kern w:val="2"/>
      <w:sz w:val="28"/>
      <w:szCs w:val="28"/>
      <w:lang w:val="en-US" w:eastAsia="zh-CN" w:bidi="ar-SA"/>
    </w:rPr>
  </w:style>
  <w:style w:type="character" w:customStyle="1" w:styleId="2624">
    <w:name w:val="正文DG Char Char Char"/>
    <w:uiPriority w:val="0"/>
    <w:rPr>
      <w:rFonts w:hint="eastAsia" w:ascii="新宋体" w:hAnsi="新宋体" w:eastAsia="新宋体"/>
      <w:kern w:val="2"/>
      <w:sz w:val="24"/>
      <w:szCs w:val="24"/>
      <w:lang w:val="en-US" w:eastAsia="zh-CN" w:bidi="ar-SA"/>
    </w:rPr>
  </w:style>
  <w:style w:type="character" w:customStyle="1" w:styleId="2625">
    <w:name w:val="mn_school"/>
    <w:uiPriority w:val="0"/>
    <w:rPr>
      <w:rFonts w:hint="eastAsia" w:ascii="FLGPEK+TimesNewRoman,Italic" w:hAnsi="FLGPEK+TimesNewRoman,Italic" w:eastAsia="FLGPEK+TimesNewRoman,Italic" w:cs="FLGPEK+TimesNewRoman,Italic"/>
      <w:sz w:val="24"/>
      <w:szCs w:val="24"/>
    </w:rPr>
  </w:style>
  <w:style w:type="character" w:customStyle="1" w:styleId="2626">
    <w:name w:val="正文样式100 Char Char"/>
    <w:basedOn w:val="133"/>
    <w:uiPriority w:val="0"/>
    <w:rPr>
      <w:rFonts w:hint="eastAsia" w:ascii="宋体" w:hAnsi="宋体" w:eastAsia="宋体" w:cs="Courier New"/>
      <w:kern w:val="2"/>
      <w:sz w:val="24"/>
      <w:szCs w:val="21"/>
      <w:lang w:val="en-US" w:eastAsia="zh-CN" w:bidi="ar-SA"/>
    </w:rPr>
  </w:style>
  <w:style w:type="character" w:customStyle="1" w:styleId="2627">
    <w:name w:val="表 Char1"/>
    <w:uiPriority w:val="0"/>
    <w:rPr>
      <w:rFonts w:hint="eastAsia" w:ascii="华文仿宋" w:hAnsi="华文仿宋" w:eastAsia="华文仿宋"/>
      <w:color w:val="FF0000"/>
      <w:kern w:val="2"/>
      <w:sz w:val="21"/>
      <w:lang w:val="en-US" w:eastAsia="zh-CN"/>
    </w:rPr>
  </w:style>
  <w:style w:type="character" w:customStyle="1" w:styleId="2628">
    <w:name w:val="标题样式3 Char Char"/>
    <w:basedOn w:val="133"/>
    <w:uiPriority w:val="0"/>
    <w:rPr>
      <w:rFonts w:hint="eastAsia" w:ascii="黑体" w:hAnsi="黑体" w:eastAsia="黑体"/>
      <w:b/>
      <w:bCs/>
      <w:color w:val="000000"/>
      <w:sz w:val="24"/>
      <w:szCs w:val="32"/>
      <w:lang w:val="en-US" w:eastAsia="zh-CN" w:bidi="ar-SA"/>
    </w:rPr>
  </w:style>
  <w:style w:type="character" w:customStyle="1" w:styleId="2629">
    <w:name w:val="目录 2 Char1"/>
    <w:uiPriority w:val="0"/>
    <w:rPr>
      <w:smallCaps/>
      <w:kern w:val="2"/>
    </w:rPr>
  </w:style>
  <w:style w:type="character" w:customStyle="1" w:styleId="2630">
    <w:name w:val="链接"/>
    <w:uiPriority w:val="0"/>
    <w:rPr>
      <w:color w:val="0000FF"/>
      <w:u w:val="single" w:color="0000FF"/>
    </w:rPr>
  </w:style>
  <w:style w:type="character" w:customStyle="1" w:styleId="2631">
    <w:name w:val="超链接1"/>
    <w:uiPriority w:val="0"/>
    <w:rPr>
      <w:color w:val="auto"/>
      <w:sz w:val="18"/>
      <w:u w:val="none"/>
    </w:rPr>
  </w:style>
  <w:style w:type="character" w:customStyle="1" w:styleId="2632">
    <w:name w:val="ask-title"/>
    <w:basedOn w:val="133"/>
    <w:uiPriority w:val="0"/>
  </w:style>
  <w:style w:type="character" w:customStyle="1" w:styleId="2633">
    <w:name w:val="style451"/>
    <w:uiPriority w:val="0"/>
    <w:rPr>
      <w:rFonts w:hint="eastAsia" w:ascii="FLGPEK+TimesNewRoman,Italic" w:hAnsi="FLGPEK+TimesNewRoman,Italic" w:eastAsia="FLGPEK+TimesNewRoman,Italic" w:cs="FLGPEK+TimesNewRoman,Italic"/>
      <w:b/>
      <w:bCs/>
      <w:color w:val="006699"/>
      <w:sz w:val="32"/>
      <w:szCs w:val="32"/>
    </w:rPr>
  </w:style>
  <w:style w:type="character" w:customStyle="1" w:styleId="2634">
    <w:name w:val="正文1 Char Char Char"/>
    <w:uiPriority w:val="0"/>
    <w:rPr>
      <w:rFonts w:hint="eastAsia" w:ascii="宋体" w:hAnsi="宋体" w:eastAsia="宋体"/>
      <w:kern w:val="2"/>
      <w:sz w:val="24"/>
      <w:lang w:val="en-US" w:eastAsia="zh-CN"/>
    </w:rPr>
  </w:style>
  <w:style w:type="character" w:customStyle="1" w:styleId="2635">
    <w:name w:val="asg1"/>
    <w:uiPriority w:val="0"/>
    <w:rPr>
      <w:sz w:val="18"/>
      <w:szCs w:val="18"/>
    </w:rPr>
  </w:style>
  <w:style w:type="character" w:customStyle="1" w:styleId="2636">
    <w:name w:val="z-窗体底端 Char Char Char"/>
    <w:uiPriority w:val="0"/>
    <w:rPr>
      <w:rFonts w:hint="default" w:ascii="Arial" w:hAnsi="Arial" w:cs="Arial"/>
      <w:vanish/>
      <w:sz w:val="16"/>
      <w:lang w:bidi="ar-SA"/>
    </w:rPr>
  </w:style>
  <w:style w:type="character" w:customStyle="1" w:styleId="2637">
    <w:name w:val="二 Char Char Char"/>
    <w:uiPriority w:val="0"/>
    <w:rPr>
      <w:rFonts w:hint="eastAsia" w:ascii="黑体" w:hAnsi="黑体" w:eastAsia="黑体"/>
      <w:b/>
      <w:kern w:val="2"/>
      <w:sz w:val="24"/>
      <w:lang w:val="en-US" w:eastAsia="zh-CN" w:bidi="ar-SA"/>
    </w:rPr>
  </w:style>
  <w:style w:type="character" w:customStyle="1" w:styleId="2638">
    <w:name w:val="m2  style8"/>
    <w:uiPriority w:val="0"/>
    <w:rPr>
      <w:rFonts w:hint="eastAsia" w:ascii="宋体" w:hAnsi="宋体" w:eastAsia="宋体"/>
      <w:b/>
      <w:szCs w:val="20"/>
    </w:rPr>
  </w:style>
  <w:style w:type="character" w:customStyle="1" w:styleId="2639">
    <w:name w:val="normalclass1"/>
    <w:uiPriority w:val="0"/>
    <w:rPr>
      <w:rFonts w:hint="eastAsia" w:ascii="宋体" w:hAnsi="宋体" w:eastAsia="宋体"/>
      <w:b/>
      <w:szCs w:val="20"/>
    </w:rPr>
  </w:style>
  <w:style w:type="character" w:customStyle="1" w:styleId="2640">
    <w:name w:val="正文文字缩进 Char Char1"/>
    <w:uiPriority w:val="0"/>
    <w:rPr>
      <w:rFonts w:hint="eastAsia" w:ascii="宋体" w:hAnsi="宋体" w:eastAsia="宋体"/>
      <w:kern w:val="2"/>
      <w:sz w:val="21"/>
      <w:szCs w:val="24"/>
      <w:lang w:val="en-US" w:eastAsia="zh-CN" w:bidi="ar-SA"/>
    </w:rPr>
  </w:style>
  <w:style w:type="character" w:customStyle="1" w:styleId="2641">
    <w:name w:val="nota"/>
    <w:uiPriority w:val="0"/>
    <w:rPr>
      <w:i/>
      <w:iCs/>
      <w:sz w:val="20"/>
    </w:rPr>
  </w:style>
  <w:style w:type="character" w:customStyle="1" w:styleId="2642">
    <w:name w:val="Char Char121"/>
    <w:uiPriority w:val="0"/>
    <w:rPr>
      <w:rFonts w:hint="eastAsia" w:ascii="宋体" w:hAnsi="Times New Roman" w:eastAsia="宋体" w:cs="Times New Roman"/>
      <w:sz w:val="28"/>
      <w:szCs w:val="20"/>
    </w:rPr>
  </w:style>
  <w:style w:type="character" w:customStyle="1" w:styleId="2643">
    <w:name w:val="标题 1 Char1 Char"/>
    <w:uiPriority w:val="0"/>
    <w:rPr>
      <w:rFonts w:hint="eastAsia" w:ascii="宋体" w:hAnsi="宋体" w:eastAsia="宋体"/>
      <w:b/>
      <w:kern w:val="44"/>
      <w:sz w:val="44"/>
      <w:szCs w:val="30"/>
    </w:rPr>
  </w:style>
  <w:style w:type="character" w:customStyle="1" w:styleId="2644">
    <w:name w:val="样式 标题 3 + 宋体 Char"/>
    <w:uiPriority w:val="0"/>
    <w:rPr>
      <w:rFonts w:hint="eastAsia" w:ascii="宋体" w:hAnsi="宋体" w:eastAsia="宋体"/>
      <w:kern w:val="2"/>
      <w:sz w:val="30"/>
      <w:szCs w:val="32"/>
      <w:lang w:val="en-US" w:eastAsia="zh-CN" w:bidi="ar-SA"/>
    </w:rPr>
  </w:style>
  <w:style w:type="character" w:customStyle="1" w:styleId="2645">
    <w:name w:val="四号 正文 Char1"/>
    <w:uiPriority w:val="0"/>
    <w:rPr>
      <w:rFonts w:hint="default" w:ascii="Chicago" w:hAnsi="Chicago" w:eastAsia="Calibri" w:cs="FLGPEK+TimesNewRoman,Italic"/>
      <w:spacing w:val="6"/>
      <w:kern w:val="2"/>
      <w:sz w:val="28"/>
      <w:lang w:val="en-US" w:eastAsia="zh-CN" w:bidi="ar-SA"/>
    </w:rPr>
  </w:style>
  <w:style w:type="character" w:customStyle="1" w:styleId="2646">
    <w:name w:val="样式 正文文本缩进 2正文文字缩进 2 + 四号 蓝色 Char Char Char Char"/>
    <w:uiPriority w:val="0"/>
    <w:rPr>
      <w:rFonts w:hint="eastAsia" w:ascii="宋体" w:hAnsi="宋体" w:eastAsia="宋体"/>
      <w:color w:val="0000FF"/>
      <w:kern w:val="2"/>
      <w:sz w:val="28"/>
      <w:szCs w:val="28"/>
      <w:lang w:val="en-US" w:eastAsia="zh-CN" w:bidi="ar-SA"/>
    </w:rPr>
  </w:style>
  <w:style w:type="character" w:customStyle="1" w:styleId="2647">
    <w:name w:val="style1"/>
    <w:basedOn w:val="133"/>
    <w:uiPriority w:val="0"/>
  </w:style>
  <w:style w:type="character" w:customStyle="1" w:styleId="2648">
    <w:name w:val="样式 样式2 + (符号) 宋体1 Char"/>
    <w:uiPriority w:val="0"/>
    <w:rPr>
      <w:rFonts w:hint="eastAsia" w:ascii="宋体" w:hAnsi="宋体" w:eastAsia="宋体"/>
      <w:kern w:val="2"/>
      <w:sz w:val="28"/>
      <w:szCs w:val="28"/>
      <w:lang w:val="en-US" w:eastAsia="zh-CN" w:bidi="ar-SA"/>
    </w:rPr>
  </w:style>
  <w:style w:type="character" w:customStyle="1" w:styleId="2649">
    <w:name w:val="标题 4。 Char"/>
    <w:uiPriority w:val="0"/>
    <w:rPr>
      <w:rFonts w:hint="default" w:ascii="Times New Roman" w:hAnsi="Times New Roman" w:cs="Times New Roman"/>
      <w:b/>
      <w:bCs/>
      <w:kern w:val="2"/>
      <w:sz w:val="32"/>
      <w:szCs w:val="32"/>
    </w:rPr>
  </w:style>
  <w:style w:type="character" w:customStyle="1" w:styleId="2650">
    <w:name w:val="字体--自建"/>
    <w:uiPriority w:val="0"/>
    <w:rPr>
      <w:rFonts w:hint="eastAsia" w:ascii="宋体" w:hAnsi="宋体" w:eastAsia="宋体" w:cs="Times New Roman"/>
      <w:sz w:val="28"/>
      <w:szCs w:val="28"/>
    </w:rPr>
  </w:style>
  <w:style w:type="character" w:customStyle="1" w:styleId="2651">
    <w:name w:val="列表 Char Char"/>
    <w:basedOn w:val="133"/>
    <w:uiPriority w:val="0"/>
    <w:rPr>
      <w:rFonts w:hint="eastAsia" w:ascii="宋体" w:hAnsi="宋体" w:eastAsia="宋体"/>
      <w:kern w:val="2"/>
      <w:sz w:val="21"/>
      <w:szCs w:val="24"/>
      <w:lang w:val="en-US" w:eastAsia="zh-CN" w:bidi="ar-SA"/>
    </w:rPr>
  </w:style>
  <w:style w:type="character" w:customStyle="1" w:styleId="2652">
    <w:name w:val="t1"/>
    <w:uiPriority w:val="0"/>
    <w:rPr>
      <w:sz w:val="21"/>
      <w:szCs w:val="21"/>
    </w:rPr>
  </w:style>
  <w:style w:type="character" w:customStyle="1" w:styleId="2653">
    <w:name w:val="页眉 Char Char"/>
    <w:basedOn w:val="133"/>
    <w:uiPriority w:val="0"/>
    <w:rPr>
      <w:rFonts w:hint="eastAsia" w:ascii="宋体" w:hAnsi="宋体" w:eastAsia="宋体"/>
      <w:kern w:val="2"/>
      <w:sz w:val="18"/>
      <w:szCs w:val="18"/>
      <w:lang w:val="en-US" w:eastAsia="zh-CN" w:bidi="ar-SA"/>
    </w:rPr>
  </w:style>
  <w:style w:type="character" w:customStyle="1" w:styleId="2654">
    <w:name w:val="正文1 Char Char Char Char Char Char"/>
    <w:uiPriority w:val="0"/>
    <w:rPr>
      <w:rFonts w:hint="default" w:ascii="Times New Roman" w:hAnsi="Times New Roman" w:eastAsia="宋体" w:cs="Times New Roman"/>
      <w:sz w:val="24"/>
      <w:szCs w:val="20"/>
    </w:rPr>
  </w:style>
  <w:style w:type="character" w:customStyle="1" w:styleId="2655">
    <w:name w:val="章标题 Char"/>
    <w:uiPriority w:val="0"/>
    <w:rPr>
      <w:rFonts w:hint="eastAsia" w:ascii="宋体" w:hAnsi="Arial" w:eastAsia="宋体"/>
      <w:b/>
      <w:bCs/>
      <w:kern w:val="44"/>
      <w:sz w:val="30"/>
      <w:szCs w:val="20"/>
      <w:lang w:val="en-US" w:eastAsia="zh-CN" w:bidi="ar-SA"/>
    </w:rPr>
  </w:style>
  <w:style w:type="character" w:customStyle="1" w:styleId="2656">
    <w:name w:val="new-title1"/>
    <w:uiPriority w:val="0"/>
    <w:rPr>
      <w:b/>
      <w:color w:val="FF0000"/>
      <w:sz w:val="24"/>
    </w:rPr>
  </w:style>
  <w:style w:type="character" w:customStyle="1" w:styleId="2657">
    <w:name w:val="不同e"/>
    <w:uiPriority w:val="0"/>
    <w:rPr>
      <w:rFonts w:hint="eastAsia" w:ascii="宋体" w:hAnsi="宋体" w:eastAsia="宋体"/>
      <w:color w:val="FF0000"/>
      <w:kern w:val="22"/>
      <w:sz w:val="22"/>
      <w:szCs w:val="24"/>
      <w:lang w:val="en-US" w:eastAsia="zh-CN" w:bidi="ar-SA"/>
    </w:rPr>
  </w:style>
  <w:style w:type="character" w:customStyle="1" w:styleId="2658">
    <w:name w:val="热电厂正文 Char Char Char Char Char"/>
    <w:uiPriority w:val="0"/>
    <w:rPr>
      <w:rFonts w:hint="eastAsia" w:ascii="宋体" w:hAnsi="宋体" w:eastAsia="宋体"/>
      <w:kern w:val="2"/>
      <w:sz w:val="24"/>
      <w:szCs w:val="24"/>
      <w:lang w:val="en-US" w:eastAsia="zh-CN" w:bidi="ar-SA"/>
    </w:rPr>
  </w:style>
  <w:style w:type="character" w:customStyle="1" w:styleId="2659">
    <w:name w:val="样式 样式 首行缩进:  2 字符 行距: 最小值 24 磅 + 首行缩进:  2 字符 Char Char Char Char"/>
    <w:uiPriority w:val="0"/>
    <w:rPr>
      <w:rFonts w:hint="eastAsia" w:ascii="宋体" w:hAnsi="宋体" w:eastAsia="宋体" w:cs="宋体"/>
      <w:kern w:val="2"/>
      <w:sz w:val="24"/>
      <w:szCs w:val="24"/>
      <w:lang w:val="en-US" w:eastAsia="zh-CN" w:bidi="ar-SA"/>
    </w:rPr>
  </w:style>
  <w:style w:type="character" w:customStyle="1" w:styleId="2660">
    <w:name w:val="Char Char8"/>
    <w:uiPriority w:val="0"/>
    <w:rPr>
      <w:rFonts w:hint="eastAsia" w:ascii="宋体" w:hAnsi="宋体" w:eastAsia="宋体"/>
      <w:b/>
      <w:bCs/>
      <w:kern w:val="2"/>
      <w:sz w:val="24"/>
      <w:szCs w:val="28"/>
      <w:lang w:val="en-US" w:eastAsia="zh-CN" w:bidi="ar-SA"/>
    </w:rPr>
  </w:style>
  <w:style w:type="character" w:customStyle="1" w:styleId="2661">
    <w:name w:val="hang1"/>
    <w:uiPriority w:val="0"/>
    <w:rPr>
      <w:rFonts w:hint="eastAsia" w:ascii="宋体" w:hAnsi="宋体" w:eastAsia="宋体"/>
      <w:spacing w:val="384"/>
      <w:kern w:val="2"/>
      <w:sz w:val="20"/>
      <w:szCs w:val="20"/>
      <w:lang w:val="en-US" w:eastAsia="zh-CN" w:bidi="ar-SA"/>
    </w:rPr>
  </w:style>
  <w:style w:type="character" w:customStyle="1" w:styleId="2662">
    <w:name w:val="题注+ Char Char"/>
    <w:uiPriority w:val="0"/>
    <w:rPr>
      <w:rFonts w:hint="eastAsia" w:ascii="黑体" w:hAnsi="Arial" w:eastAsia="黑体"/>
      <w:sz w:val="24"/>
      <w:szCs w:val="24"/>
      <w:lang w:val="en-US" w:eastAsia="zh-CN"/>
    </w:rPr>
  </w:style>
  <w:style w:type="character" w:customStyle="1" w:styleId="2663">
    <w:name w:val="脚注文本 Char2"/>
    <w:semiHidden/>
    <w:locked/>
    <w:uiPriority w:val="0"/>
    <w:rPr>
      <w:kern w:val="2"/>
      <w:sz w:val="18"/>
    </w:rPr>
  </w:style>
  <w:style w:type="character" w:customStyle="1" w:styleId="2664">
    <w:name w:val="Char Char36"/>
    <w:semiHidden/>
    <w:uiPriority w:val="0"/>
    <w:rPr>
      <w:kern w:val="2"/>
      <w:sz w:val="24"/>
      <w:szCs w:val="24"/>
      <w:shd w:val="clear" w:color="auto" w:fill="000080"/>
    </w:rPr>
  </w:style>
  <w:style w:type="character" w:customStyle="1" w:styleId="2665">
    <w:name w:val="apple-converted-space"/>
    <w:basedOn w:val="133"/>
    <w:uiPriority w:val="0"/>
  </w:style>
  <w:style w:type="character" w:customStyle="1" w:styleId="2666">
    <w:name w:val="Body Text Char1"/>
    <w:uiPriority w:val="0"/>
    <w:rPr>
      <w:kern w:val="2"/>
      <w:sz w:val="21"/>
      <w:szCs w:val="24"/>
    </w:rPr>
  </w:style>
  <w:style w:type="character" w:customStyle="1" w:styleId="2667">
    <w:name w:val="td71"/>
    <w:uiPriority w:val="0"/>
    <w:rPr>
      <w:color w:val="3B3B3B"/>
      <w:sz w:val="21"/>
      <w:szCs w:val="21"/>
    </w:rPr>
  </w:style>
  <w:style w:type="character" w:customStyle="1" w:styleId="2668">
    <w:name w:val="updatebodytest1"/>
    <w:uiPriority w:val="0"/>
    <w:rPr>
      <w:rFonts w:hint="default" w:ascii="Arial" w:hAnsi="Arial" w:cs="Arial"/>
      <w:sz w:val="18"/>
      <w:szCs w:val="18"/>
    </w:rPr>
  </w:style>
  <w:style w:type="character" w:customStyle="1" w:styleId="2669">
    <w:name w:val="Char Char30"/>
    <w:uiPriority w:val="0"/>
    <w:rPr>
      <w:rFonts w:hint="default" w:ascii="Arial" w:hAnsi="Arial" w:eastAsia="宋体" w:cs="Times New Roman"/>
      <w:sz w:val="24"/>
      <w:szCs w:val="24"/>
    </w:rPr>
  </w:style>
  <w:style w:type="character" w:customStyle="1" w:styleId="2670">
    <w:name w:val="Char Char35"/>
    <w:uiPriority w:val="0"/>
    <w:rPr>
      <w:rFonts w:hint="eastAsia" w:ascii="黑体" w:hAnsi="黑体" w:eastAsia="黑体" w:cs="Times New Roman"/>
      <w:b/>
      <w:bCs/>
      <w:color w:val="000000"/>
      <w:kern w:val="20"/>
      <w:sz w:val="24"/>
      <w:szCs w:val="32"/>
    </w:rPr>
  </w:style>
  <w:style w:type="character" w:customStyle="1" w:styleId="2671">
    <w:name w:val="ww1"/>
    <w:qFormat/>
    <w:uiPriority w:val="0"/>
  </w:style>
  <w:style w:type="character" w:customStyle="1" w:styleId="2672">
    <w:name w:val="页码1"/>
    <w:basedOn w:val="133"/>
    <w:uiPriority w:val="0"/>
  </w:style>
  <w:style w:type="character" w:customStyle="1" w:styleId="2673">
    <w:name w:val="Char Char34"/>
    <w:uiPriority w:val="0"/>
    <w:rPr>
      <w:rFonts w:hint="eastAsia" w:ascii="黑体" w:hAnsi="Times New Roman" w:eastAsia="黑体" w:cs="Times New Roman"/>
      <w:b/>
      <w:bCs/>
      <w:color w:val="000000"/>
      <w:sz w:val="24"/>
      <w:szCs w:val="28"/>
    </w:rPr>
  </w:style>
  <w:style w:type="character" w:customStyle="1" w:styleId="2674">
    <w:name w:val="Char Char22"/>
    <w:basedOn w:val="133"/>
    <w:uiPriority w:val="0"/>
    <w:rPr>
      <w:rFonts w:hint="default" w:ascii="Calibri" w:hAnsi="Calibri" w:eastAsia="宋体" w:cs="Times New Roman"/>
      <w:sz w:val="18"/>
      <w:szCs w:val="18"/>
    </w:rPr>
  </w:style>
  <w:style w:type="character" w:customStyle="1" w:styleId="2675">
    <w:name w:val="Superscript"/>
    <w:uiPriority w:val="0"/>
    <w:rPr>
      <w:vertAlign w:val="superscript"/>
    </w:rPr>
  </w:style>
  <w:style w:type="character" w:customStyle="1" w:styleId="2676">
    <w:name w:val="页脚 Char Char1"/>
    <w:uiPriority w:val="0"/>
    <w:rPr>
      <w:rFonts w:hint="eastAsia" w:ascii="宋体" w:hAnsi="宋体" w:eastAsia="宋体"/>
      <w:kern w:val="2"/>
      <w:sz w:val="18"/>
      <w:lang w:val="en-US" w:eastAsia="zh-CN" w:bidi="ar-SA"/>
    </w:rPr>
  </w:style>
  <w:style w:type="character" w:customStyle="1" w:styleId="2677">
    <w:name w:val="Char Char24"/>
    <w:uiPriority w:val="0"/>
    <w:rPr>
      <w:rFonts w:hint="default" w:ascii="Times New Roman" w:hAnsi="Times New Roman" w:eastAsia="宋体" w:cs="Times New Roman"/>
      <w:sz w:val="24"/>
      <w:szCs w:val="24"/>
    </w:rPr>
  </w:style>
  <w:style w:type="character" w:customStyle="1" w:styleId="2678">
    <w:name w:val="Char Char25"/>
    <w:uiPriority w:val="0"/>
    <w:rPr>
      <w:rFonts w:hint="default" w:ascii="Times New Roman" w:hAnsi="Times New Roman" w:eastAsia="宋体" w:cs="Times New Roman"/>
      <w:b/>
      <w:bCs/>
      <w:sz w:val="24"/>
      <w:szCs w:val="24"/>
    </w:rPr>
  </w:style>
  <w:style w:type="character" w:customStyle="1" w:styleId="2679">
    <w:name w:val="标题三 Char Char"/>
    <w:uiPriority w:val="0"/>
    <w:rPr>
      <w:rFonts w:hint="default" w:ascii="Times New Roman" w:hAnsi="Times New Roman" w:cs="Times New Roman"/>
      <w:b/>
      <w:bCs/>
      <w:sz w:val="24"/>
      <w:szCs w:val="32"/>
    </w:rPr>
  </w:style>
  <w:style w:type="character" w:customStyle="1" w:styleId="2680">
    <w:name w:val="副标题 Char3"/>
    <w:locked/>
    <w:uiPriority w:val="0"/>
    <w:rPr>
      <w:rFonts w:hint="default" w:ascii="Arial" w:hAnsi="Arial" w:cs="Arial"/>
      <w:b/>
      <w:bCs/>
      <w:kern w:val="28"/>
      <w:sz w:val="32"/>
      <w:szCs w:val="32"/>
    </w:rPr>
  </w:style>
  <w:style w:type="character" w:customStyle="1" w:styleId="2681">
    <w:name w:val="Char Char32"/>
    <w:uiPriority w:val="0"/>
    <w:rPr>
      <w:rFonts w:hint="default" w:ascii="Arial" w:hAnsi="Arial" w:eastAsia="宋体" w:cs="Times New Roman"/>
      <w:b/>
      <w:bCs/>
      <w:sz w:val="24"/>
      <w:szCs w:val="24"/>
    </w:rPr>
  </w:style>
  <w:style w:type="character" w:customStyle="1" w:styleId="2682">
    <w:name w:val="wz2"/>
    <w:uiPriority w:val="0"/>
    <w:rPr>
      <w:rFonts w:hint="eastAsia" w:ascii="宋体" w:hAnsi="宋体" w:eastAsia="宋体"/>
      <w:sz w:val="18"/>
      <w:u w:val="none"/>
    </w:rPr>
  </w:style>
  <w:style w:type="character" w:customStyle="1" w:styleId="2683">
    <w:name w:val="EmailStyle4391"/>
    <w:basedOn w:val="133"/>
    <w:semiHidden/>
    <w:uiPriority w:val="0"/>
    <w:rPr>
      <w:rFonts w:hint="default" w:ascii="Arial" w:hAnsi="Arial" w:eastAsia="宋体" w:cs="Arial"/>
      <w:color w:val="auto"/>
      <w:sz w:val="18"/>
      <w:szCs w:val="20"/>
    </w:rPr>
  </w:style>
  <w:style w:type="character" w:customStyle="1" w:styleId="2684">
    <w:name w:val="headline-content2"/>
    <w:uiPriority w:val="0"/>
    <w:rPr>
      <w:rFonts w:hint="eastAsia" w:ascii="FLGPEK+TimesNewRoman,Italic" w:hAnsi="FLGPEK+TimesNewRoman,Italic" w:eastAsia="FLGPEK+TimesNewRoman,Italic" w:cs="FLGPEK+TimesNewRoman,Italic"/>
      <w:sz w:val="24"/>
      <w:szCs w:val="24"/>
    </w:rPr>
  </w:style>
  <w:style w:type="character" w:customStyle="1" w:styleId="2685">
    <w:name w:val="word221"/>
    <w:uiPriority w:val="0"/>
    <w:rPr>
      <w:rFonts w:hint="eastAsia" w:ascii="FLGPEK+TimesNewRoman,Italic" w:hAnsi="FLGPEK+TimesNewRoman,Italic" w:eastAsia="FLGPEK+TimesNewRoman,Italic" w:cs="FLGPEK+TimesNewRoman,Italic"/>
      <w:sz w:val="24"/>
      <w:szCs w:val="24"/>
    </w:rPr>
  </w:style>
  <w:style w:type="character" w:customStyle="1" w:styleId="2686">
    <w:name w:val="表粗 Char Char"/>
    <w:uiPriority w:val="0"/>
    <w:rPr>
      <w:rFonts w:hint="eastAsia" w:ascii="Batang" w:hAnsi="Batang" w:eastAsia="华文仿宋"/>
      <w:b/>
      <w:kern w:val="2"/>
      <w:sz w:val="21"/>
      <w:lang w:val="en-US" w:eastAsia="zh-CN"/>
    </w:rPr>
  </w:style>
  <w:style w:type="character" w:customStyle="1" w:styleId="2687">
    <w:name w:val="Font Style38"/>
    <w:uiPriority w:val="0"/>
    <w:rPr>
      <w:rFonts w:hint="default" w:ascii="Times New Roman" w:hAnsi="Times New Roman" w:cs="Times New Roman"/>
      <w:sz w:val="22"/>
      <w:szCs w:val="22"/>
    </w:rPr>
  </w:style>
  <w:style w:type="character" w:customStyle="1" w:styleId="2688">
    <w:name w:val="图表标题 Char Char"/>
    <w:uiPriority w:val="0"/>
    <w:rPr>
      <w:rFonts w:hint="eastAsia" w:ascii="黑体" w:hAnsi="黑体" w:eastAsia="黑体"/>
      <w:szCs w:val="21"/>
      <w:lang w:bidi="ar-SA"/>
    </w:rPr>
  </w:style>
  <w:style w:type="character" w:customStyle="1" w:styleId="2689">
    <w:name w:val="Char Char46"/>
    <w:uiPriority w:val="0"/>
    <w:rPr>
      <w:rFonts w:hint="default" w:ascii="Arial" w:hAnsi="Arial" w:eastAsia="宋体" w:cs="Arial"/>
      <w:b/>
      <w:kern w:val="2"/>
      <w:sz w:val="32"/>
      <w:lang w:val="en-US" w:eastAsia="zh-CN" w:bidi="ar-SA"/>
    </w:rPr>
  </w:style>
  <w:style w:type="character" w:customStyle="1" w:styleId="2690">
    <w:name w:val="正文文字缩进 3 Char Char"/>
    <w:basedOn w:val="133"/>
    <w:semiHidden/>
    <w:uiPriority w:val="0"/>
    <w:rPr>
      <w:rFonts w:hint="eastAsia" w:ascii="宋体" w:hAnsi="宋体" w:eastAsia="宋体"/>
      <w:kern w:val="2"/>
      <w:sz w:val="16"/>
      <w:lang w:val="en-US" w:eastAsia="zh-CN" w:bidi="ar-SA"/>
    </w:rPr>
  </w:style>
  <w:style w:type="character" w:customStyle="1" w:styleId="2691">
    <w:name w:val="样式 黑色"/>
    <w:uiPriority w:val="0"/>
    <w:rPr>
      <w:color w:val="auto"/>
    </w:rPr>
  </w:style>
  <w:style w:type="character" w:customStyle="1" w:styleId="2692">
    <w:name w:val="Char Char54"/>
    <w:uiPriority w:val="0"/>
    <w:rPr>
      <w:rFonts w:hint="eastAsia" w:ascii="宋体" w:hAnsi="宋体" w:eastAsia="宋体"/>
      <w:b/>
      <w:bCs/>
      <w:kern w:val="2"/>
      <w:sz w:val="24"/>
      <w:szCs w:val="28"/>
      <w:lang w:val="en-US" w:eastAsia="zh-CN" w:bidi="ar-SA"/>
    </w:rPr>
  </w:style>
  <w:style w:type="character" w:customStyle="1" w:styleId="2693">
    <w:name w:val="css-text3"/>
    <w:basedOn w:val="133"/>
    <w:semiHidden/>
    <w:uiPriority w:val="0"/>
  </w:style>
  <w:style w:type="character" w:customStyle="1" w:styleId="2694">
    <w:name w:val="样式 正文文字缩进 + 左侧:  -0.05 字符 悬挂缩进: 0.05 字符"/>
    <w:uiPriority w:val="0"/>
    <w:rPr>
      <w:rFonts w:hint="eastAsia" w:ascii="宋体" w:hAnsi="宋体" w:eastAsia="宋体"/>
      <w:b/>
      <w:kern w:val="2"/>
      <w:sz w:val="24"/>
      <w:szCs w:val="24"/>
      <w:lang w:val="en-US" w:eastAsia="zh-CN" w:bidi="ar-SA"/>
    </w:rPr>
  </w:style>
  <w:style w:type="character" w:customStyle="1" w:styleId="2695">
    <w:name w:val="Char Char Char Char Char Char Char Char Char Char Char Char Char Char Char1"/>
    <w:basedOn w:val="133"/>
    <w:uiPriority w:val="0"/>
    <w:rPr>
      <w:rFonts w:hint="eastAsia" w:ascii="宋体" w:hAnsi="宋体" w:eastAsia="宋体" w:cs="宋体"/>
      <w:kern w:val="2"/>
      <w:sz w:val="24"/>
      <w:szCs w:val="24"/>
      <w:lang w:val="en-US" w:eastAsia="zh-CN" w:bidi="ar-SA"/>
    </w:rPr>
  </w:style>
  <w:style w:type="character" w:customStyle="1" w:styleId="2696">
    <w:name w:val="文档结构图 Char1"/>
    <w:basedOn w:val="133"/>
    <w:semiHidden/>
    <w:locked/>
    <w:uiPriority w:val="0"/>
    <w:rPr>
      <w:kern w:val="2"/>
      <w:sz w:val="21"/>
      <w:shd w:val="clear" w:color="auto" w:fill="000080"/>
    </w:rPr>
  </w:style>
  <w:style w:type="character" w:customStyle="1" w:styleId="2697">
    <w:name w:val="Char Char191"/>
    <w:uiPriority w:val="0"/>
    <w:rPr>
      <w:rFonts w:hint="eastAsia" w:ascii="宋体" w:hAnsi="宋体" w:eastAsia="宋体"/>
      <w:b/>
      <w:kern w:val="2"/>
      <w:sz w:val="28"/>
      <w:lang w:val="en-US" w:eastAsia="zh-CN"/>
    </w:rPr>
  </w:style>
  <w:style w:type="character" w:customStyle="1" w:styleId="2698">
    <w:name w:val="bt2"/>
    <w:basedOn w:val="133"/>
    <w:semiHidden/>
    <w:uiPriority w:val="0"/>
    <w:rPr>
      <w:sz w:val="24"/>
    </w:rPr>
  </w:style>
  <w:style w:type="character" w:customStyle="1" w:styleId="2699">
    <w:name w:val="Char Char2"/>
    <w:basedOn w:val="133"/>
    <w:uiPriority w:val="0"/>
    <w:rPr>
      <w:rFonts w:hint="eastAsia" w:ascii="宋体" w:hAnsi="宋体" w:eastAsia="宋体"/>
      <w:kern w:val="2"/>
      <w:sz w:val="16"/>
      <w:lang w:val="en-US" w:eastAsia="zh-CN"/>
    </w:rPr>
  </w:style>
  <w:style w:type="character" w:customStyle="1" w:styleId="2700">
    <w:name w:val="标题 Char2"/>
    <w:uiPriority w:val="0"/>
    <w:rPr>
      <w:rFonts w:hint="default" w:ascii="Cambria" w:hAnsi="Cambria" w:cs="Times New Roman"/>
      <w:b/>
      <w:bCs/>
      <w:kern w:val="2"/>
      <w:sz w:val="32"/>
      <w:szCs w:val="32"/>
    </w:rPr>
  </w:style>
  <w:style w:type="character" w:customStyle="1" w:styleId="2701">
    <w:name w:val="Footer1 Char Char"/>
    <w:basedOn w:val="133"/>
    <w:semiHidden/>
    <w:uiPriority w:val="0"/>
    <w:rPr>
      <w:rFonts w:hint="eastAsia" w:ascii="宋体" w:hAnsi="宋体" w:eastAsia="宋体"/>
      <w:kern w:val="2"/>
      <w:sz w:val="21"/>
      <w:szCs w:val="21"/>
      <w:lang w:val="en-US" w:eastAsia="zh-CN" w:bidi="ar-SA"/>
    </w:rPr>
  </w:style>
  <w:style w:type="character" w:customStyle="1" w:styleId="2702">
    <w:name w:val="style131"/>
    <w:uiPriority w:val="0"/>
    <w:rPr>
      <w:color w:val="2977C1"/>
      <w:sz w:val="18"/>
      <w:szCs w:val="18"/>
    </w:rPr>
  </w:style>
  <w:style w:type="character" w:customStyle="1" w:styleId="2703">
    <w:name w:val="表1 Char Char"/>
    <w:uiPriority w:val="0"/>
    <w:rPr>
      <w:sz w:val="21"/>
    </w:rPr>
  </w:style>
  <w:style w:type="character" w:customStyle="1" w:styleId="2704">
    <w:name w:val="表格 Char Char Char Char Char"/>
    <w:uiPriority w:val="0"/>
    <w:rPr>
      <w:rFonts w:hint="eastAsia" w:ascii="Batang" w:hAnsi="Batang" w:eastAsia="ˎ̥" w:cs="Batang"/>
      <w:kern w:val="2"/>
      <w:sz w:val="21"/>
      <w:szCs w:val="21"/>
      <w:lang w:val="en-US" w:eastAsia="zh-CN" w:bidi="ar-SA"/>
    </w:rPr>
  </w:style>
  <w:style w:type="paragraph" w:customStyle="1" w:styleId="2705">
    <w:name w:val="标题4x"/>
    <w:basedOn w:val="1"/>
    <w:link w:val="2706"/>
    <w:qFormat/>
    <w:uiPriority w:val="0"/>
    <w:pPr>
      <w:spacing w:line="240" w:lineRule="auto"/>
      <w:ind w:firstLine="0" w:firstLineChars="0"/>
    </w:pPr>
    <w:rPr>
      <w:rFonts w:cs="Times New Roman"/>
      <w:sz w:val="21"/>
      <w:szCs w:val="20"/>
    </w:rPr>
  </w:style>
  <w:style w:type="character" w:customStyle="1" w:styleId="2706">
    <w:name w:val="新标题4x Char"/>
    <w:basedOn w:val="852"/>
    <w:link w:val="2705"/>
    <w:locked/>
    <w:uiPriority w:val="0"/>
    <w:rPr>
      <w:rFonts w:ascii="Times New Roman" w:hAnsi="Times New Roman" w:eastAsia="宋体" w:cs="Times New Roman"/>
      <w:szCs w:val="20"/>
    </w:rPr>
  </w:style>
  <w:style w:type="character" w:customStyle="1" w:styleId="2707">
    <w:name w:val="cn1"/>
    <w:basedOn w:val="133"/>
    <w:semiHidden/>
    <w:uiPriority w:val="0"/>
    <w:rPr>
      <w:spacing w:val="360"/>
      <w:sz w:val="21"/>
      <w:szCs w:val="21"/>
    </w:rPr>
  </w:style>
  <w:style w:type="character" w:customStyle="1" w:styleId="2708">
    <w:name w:val="正文不缩进 Char1"/>
    <w:basedOn w:val="133"/>
    <w:uiPriority w:val="0"/>
    <w:rPr>
      <w:sz w:val="24"/>
      <w:lang w:val="en-US" w:eastAsia="zh-CN" w:bidi="ar-SA"/>
    </w:rPr>
  </w:style>
  <w:style w:type="character" w:customStyle="1" w:styleId="2709">
    <w:name w:val="Char Char19"/>
    <w:basedOn w:val="133"/>
    <w:semiHidden/>
    <w:uiPriority w:val="0"/>
    <w:rPr>
      <w:rFonts w:hint="default" w:ascii="Calibri" w:hAnsi="Calibri" w:eastAsia="宋体" w:cs="Times New Roman"/>
    </w:rPr>
  </w:style>
  <w:style w:type="character" w:customStyle="1" w:styleId="2710">
    <w:name w:val="Char Char11"/>
    <w:basedOn w:val="133"/>
    <w:semiHidden/>
    <w:uiPriority w:val="0"/>
    <w:rPr>
      <w:rFonts w:hint="eastAsia" w:ascii="宋体" w:hAnsi="宋体" w:eastAsia="宋体"/>
      <w:kern w:val="2"/>
      <w:sz w:val="18"/>
      <w:szCs w:val="18"/>
      <w:lang w:val="en-US" w:eastAsia="zh-CN" w:bidi="ar-SA"/>
    </w:rPr>
  </w:style>
  <w:style w:type="character" w:customStyle="1" w:styleId="2711">
    <w:name w:val="14bv11"/>
    <w:uiPriority w:val="0"/>
    <w:rPr>
      <w:b/>
      <w:color w:val="6595D6"/>
      <w:sz w:val="21"/>
      <w:u w:val="none"/>
    </w:rPr>
  </w:style>
  <w:style w:type="character" w:customStyle="1" w:styleId="2712">
    <w:name w:val="Char Char29"/>
    <w:uiPriority w:val="0"/>
    <w:rPr>
      <w:rFonts w:hint="default" w:ascii="Arial" w:hAnsi="Arial" w:eastAsia="宋体" w:cs="Times New Roman"/>
      <w:szCs w:val="21"/>
    </w:rPr>
  </w:style>
  <w:style w:type="character" w:customStyle="1" w:styleId="2713">
    <w:name w:val="样式 正文文本缩进 2正文文字缩进 2 + 四号 蓝色 Char Char Char Char Char Char Char Char Char"/>
    <w:uiPriority w:val="0"/>
    <w:rPr>
      <w:rFonts w:hint="default" w:ascii="Tahoma" w:hAnsi="Tahoma" w:cs="Tahoma"/>
      <w:color w:val="0000FF"/>
      <w:sz w:val="24"/>
      <w:szCs w:val="24"/>
      <w:lang w:bidi="ar-SA"/>
    </w:rPr>
  </w:style>
  <w:style w:type="character" w:customStyle="1" w:styleId="2714">
    <w:name w:val="g Char Char"/>
    <w:uiPriority w:val="0"/>
    <w:rPr>
      <w:rFonts w:hint="eastAsia" w:ascii="宋体" w:hAnsi="宋体" w:eastAsia="宋体"/>
      <w:kern w:val="2"/>
      <w:sz w:val="18"/>
      <w:szCs w:val="18"/>
      <w:lang w:val="en-US" w:eastAsia="zh-CN" w:bidi="ar-SA"/>
    </w:rPr>
  </w:style>
  <w:style w:type="character" w:customStyle="1" w:styleId="2715">
    <w:name w:val="contents1"/>
    <w:basedOn w:val="133"/>
    <w:semiHidden/>
    <w:uiPriority w:val="0"/>
    <w:rPr>
      <w:color w:val="000000"/>
      <w:spacing w:val="220"/>
      <w:sz w:val="14"/>
      <w:szCs w:val="14"/>
      <w:u w:val="none"/>
    </w:rPr>
  </w:style>
  <w:style w:type="character" w:customStyle="1" w:styleId="2716">
    <w:name w:val="正文文本 2 Char2"/>
    <w:basedOn w:val="133"/>
    <w:qFormat/>
    <w:locked/>
    <w:uiPriority w:val="0"/>
    <w:rPr>
      <w:rFonts w:hint="eastAsia" w:ascii="宋体" w:hAnsi="宋体" w:eastAsia="宋体"/>
      <w:color w:val="0000FF"/>
      <w:kern w:val="2"/>
      <w:sz w:val="24"/>
      <w:lang w:val="zh-CN"/>
    </w:rPr>
  </w:style>
  <w:style w:type="character" w:customStyle="1" w:styleId="2717">
    <w:name w:val="标题4-自建 Char Char Char"/>
    <w:qFormat/>
    <w:uiPriority w:val="0"/>
    <w:rPr>
      <w:rFonts w:hint="default" w:ascii="Arial" w:hAnsi="Arial" w:eastAsia="宋体" w:cs="Arial"/>
      <w:b/>
      <w:kern w:val="2"/>
      <w:sz w:val="28"/>
      <w:lang w:val="en-US" w:eastAsia="zh-CN"/>
    </w:rPr>
  </w:style>
  <w:style w:type="character" w:customStyle="1" w:styleId="2718">
    <w:name w:val="样式3 Char Char Char"/>
    <w:uiPriority w:val="0"/>
    <w:rPr>
      <w:rFonts w:hint="default" w:ascii="Arial" w:hAnsi="Arial" w:eastAsia="宋体" w:cs="Arial"/>
      <w:kern w:val="2"/>
      <w:sz w:val="24"/>
      <w:lang w:val="en-US" w:eastAsia="zh-CN"/>
    </w:rPr>
  </w:style>
  <w:style w:type="character" w:customStyle="1" w:styleId="2719">
    <w:name w:val="正文 Char"/>
    <w:qFormat/>
    <w:uiPriority w:val="0"/>
    <w:rPr>
      <w:rFonts w:hint="eastAsia" w:ascii="FLGPEK+TimesNewRoman,Italic" w:hAnsi="FLGPEK+TimesNewRoman,Italic" w:eastAsia="宋体" w:cs="FLGPEK+TimesNewRoman,Italic"/>
      <w:kern w:val="2"/>
      <w:sz w:val="24"/>
      <w:szCs w:val="24"/>
      <w:lang w:val="en-US" w:eastAsia="zh-CN" w:bidi="ar-SA"/>
    </w:rPr>
  </w:style>
  <w:style w:type="character" w:customStyle="1" w:styleId="2720">
    <w:name w:val="样式1 Char Char Char"/>
    <w:qFormat/>
    <w:uiPriority w:val="0"/>
    <w:rPr>
      <w:rFonts w:hint="default" w:ascii="Arial" w:hAnsi="Arial" w:cs="Arial"/>
      <w:snapToGrid w:val="0"/>
      <w:sz w:val="24"/>
    </w:rPr>
  </w:style>
  <w:style w:type="character" w:customStyle="1" w:styleId="2721">
    <w:name w:val="col_41"/>
    <w:qFormat/>
    <w:uiPriority w:val="0"/>
    <w:rPr>
      <w:rFonts w:hint="default" w:ascii="Verdana" w:hAnsi="Verdana"/>
      <w:color w:val="999999"/>
      <w:kern w:val="0"/>
      <w:szCs w:val="20"/>
      <w:lang w:eastAsia="en-US"/>
    </w:rPr>
  </w:style>
  <w:style w:type="character" w:customStyle="1" w:styleId="2722">
    <w:name w:val="正文文本 Char2"/>
    <w:qFormat/>
    <w:uiPriority w:val="0"/>
    <w:rPr>
      <w:kern w:val="2"/>
      <w:sz w:val="24"/>
    </w:rPr>
  </w:style>
  <w:style w:type="character" w:customStyle="1" w:styleId="2723">
    <w:name w:val="表头1 Char Char"/>
    <w:qFormat/>
    <w:uiPriority w:val="0"/>
    <w:rPr>
      <w:rFonts w:hint="eastAsia" w:ascii="黑体" w:hAnsi="黑体" w:eastAsia="黑体"/>
      <w:sz w:val="21"/>
    </w:rPr>
  </w:style>
  <w:style w:type="character" w:customStyle="1" w:styleId="2724">
    <w:name w:val="正文文本缩进 2 Char2"/>
    <w:basedOn w:val="133"/>
    <w:qFormat/>
    <w:locked/>
    <w:uiPriority w:val="0"/>
    <w:rPr>
      <w:rFonts w:hint="eastAsia" w:ascii="宋体" w:hAnsi="宋体" w:eastAsia="宋体"/>
      <w:kern w:val="2"/>
      <w:sz w:val="28"/>
    </w:rPr>
  </w:style>
  <w:style w:type="character" w:customStyle="1" w:styleId="2725">
    <w:name w:val="项标题(1) Char"/>
    <w:basedOn w:val="133"/>
    <w:semiHidden/>
    <w:qFormat/>
    <w:uiPriority w:val="0"/>
    <w:rPr>
      <w:rFonts w:hint="eastAsia" w:ascii="宋体" w:hAnsi="宋体" w:eastAsia="宋体"/>
      <w:b/>
      <w:sz w:val="24"/>
      <w:lang w:val="en-US" w:eastAsia="zh-CN" w:bidi="ar-SA"/>
    </w:rPr>
  </w:style>
  <w:style w:type="character" w:customStyle="1" w:styleId="2726">
    <w:name w:val="zhenwen141"/>
    <w:basedOn w:val="133"/>
    <w:semiHidden/>
    <w:qFormat/>
    <w:uiPriority w:val="0"/>
    <w:rPr>
      <w:rFonts w:hint="default" w:ascii="ˎ̥" w:hAnsi="ˎ̥"/>
      <w:sz w:val="21"/>
      <w:szCs w:val="21"/>
    </w:rPr>
  </w:style>
  <w:style w:type="character" w:customStyle="1" w:styleId="2727">
    <w:name w:val="日期 Char2"/>
    <w:qFormat/>
    <w:uiPriority w:val="0"/>
    <w:rPr>
      <w:kern w:val="2"/>
      <w:sz w:val="24"/>
      <w:szCs w:val="24"/>
    </w:rPr>
  </w:style>
  <w:style w:type="character" w:customStyle="1" w:styleId="2728">
    <w:name w:val="标题内蒙4 Char Char"/>
    <w:basedOn w:val="133"/>
    <w:uiPriority w:val="0"/>
    <w:rPr>
      <w:rFonts w:hint="default" w:ascii="Arial" w:hAnsi="Arial" w:eastAsia="黑体" w:cs="Arial"/>
      <w:b/>
      <w:bCs/>
      <w:kern w:val="2"/>
      <w:sz w:val="28"/>
      <w:szCs w:val="28"/>
      <w:lang w:val="en-US" w:eastAsia="zh-CN" w:bidi="ar-SA"/>
    </w:rPr>
  </w:style>
  <w:style w:type="character" w:customStyle="1" w:styleId="2729">
    <w:name w:val="标题 4＋小四 Char Char"/>
    <w:qFormat/>
    <w:uiPriority w:val="0"/>
    <w:rPr>
      <w:rFonts w:hint="eastAsia" w:ascii="宋体" w:hAnsi="宋体" w:eastAsia="宋体"/>
      <w:b/>
      <w:bCs/>
      <w:kern w:val="2"/>
      <w:sz w:val="21"/>
      <w:szCs w:val="24"/>
      <w:lang w:val="en-US" w:eastAsia="zh-CN" w:bidi="ar-SA"/>
    </w:rPr>
  </w:style>
  <w:style w:type="character" w:customStyle="1" w:styleId="2730">
    <w:name w:val="javascript"/>
    <w:basedOn w:val="133"/>
    <w:semiHidden/>
    <w:uiPriority w:val="0"/>
  </w:style>
  <w:style w:type="character" w:customStyle="1" w:styleId="2731">
    <w:name w:val="Char Char3"/>
    <w:basedOn w:val="133"/>
    <w:semiHidden/>
    <w:uiPriority w:val="0"/>
    <w:rPr>
      <w:rFonts w:hint="eastAsia" w:ascii="宋体" w:hAnsi="宋体" w:eastAsia="宋体"/>
      <w:b/>
      <w:kern w:val="2"/>
      <w:sz w:val="28"/>
      <w:lang w:val="zh-CN" w:eastAsia="zh-CN"/>
    </w:rPr>
  </w:style>
  <w:style w:type="character" w:customStyle="1" w:styleId="2732">
    <w:name w:val="样式5 Char2"/>
    <w:basedOn w:val="133"/>
    <w:qFormat/>
    <w:uiPriority w:val="0"/>
    <w:rPr>
      <w:rFonts w:hint="eastAsia" w:ascii="宋体" w:hAnsi="宋体" w:eastAsia="宋体"/>
      <w:kern w:val="2"/>
      <w:sz w:val="24"/>
      <w:szCs w:val="24"/>
      <w:lang w:val="en-US" w:eastAsia="zh-CN" w:bidi="ar-SA"/>
    </w:rPr>
  </w:style>
  <w:style w:type="character" w:customStyle="1" w:styleId="2733">
    <w:name w:val="jianjie_index"/>
    <w:qFormat/>
    <w:uiPriority w:val="0"/>
    <w:rPr>
      <w:rFonts w:hint="eastAsia" w:ascii="FLGPEK+TimesNewRoman,Italic" w:hAnsi="FLGPEK+TimesNewRoman,Italic" w:eastAsia="FLGPEK+TimesNewRoman,Italic" w:cs="FLGPEK+TimesNewRoman,Italic"/>
      <w:sz w:val="24"/>
      <w:szCs w:val="24"/>
    </w:rPr>
  </w:style>
  <w:style w:type="character" w:customStyle="1" w:styleId="2734">
    <w:name w:val="样式 居中 段前: 1.55 磅 段后: 1.55 磅 底端: (单实线 自动设置  0.75 磅 行宽)"/>
    <w:qFormat/>
    <w:uiPriority w:val="0"/>
    <w:rPr>
      <w:sz w:val="18"/>
    </w:rPr>
  </w:style>
  <w:style w:type="character" w:customStyle="1" w:styleId="2735">
    <w:name w:val="正文样式1 Char1"/>
    <w:basedOn w:val="133"/>
    <w:qFormat/>
    <w:uiPriority w:val="0"/>
    <w:rPr>
      <w:rFonts w:hint="eastAsia" w:ascii="宋体" w:hAnsi="宋体" w:eastAsia="宋体"/>
      <w:sz w:val="28"/>
      <w:lang w:val="en-US" w:eastAsia="zh-CN" w:bidi="ar-SA"/>
    </w:rPr>
  </w:style>
  <w:style w:type="character" w:customStyle="1" w:styleId="2736">
    <w:name w:val="fu正文 Char Char"/>
    <w:basedOn w:val="133"/>
    <w:qFormat/>
    <w:uiPriority w:val="0"/>
    <w:rPr>
      <w:rFonts w:hint="eastAsia" w:ascii="宋体" w:hAnsi="宋体" w:eastAsia="宋体"/>
      <w:color w:val="000000"/>
      <w:kern w:val="2"/>
      <w:sz w:val="24"/>
      <w:szCs w:val="24"/>
      <w:lang w:val="en-US" w:eastAsia="zh-CN" w:bidi="ar-SA"/>
    </w:rPr>
  </w:style>
  <w:style w:type="character" w:customStyle="1" w:styleId="2737">
    <w:name w:val="font61"/>
    <w:qFormat/>
    <w:uiPriority w:val="0"/>
    <w:rPr>
      <w:rFonts w:hint="default" w:ascii="Times New Roman" w:hAnsi="Times New Roman" w:cs="Times New Roman"/>
      <w:color w:val="auto"/>
      <w:sz w:val="24"/>
      <w:szCs w:val="24"/>
      <w:u w:val="none"/>
    </w:rPr>
  </w:style>
  <w:style w:type="character" w:customStyle="1" w:styleId="2738">
    <w:name w:val="样式5 Char Char Char Char Char"/>
    <w:basedOn w:val="133"/>
    <w:qFormat/>
    <w:uiPriority w:val="0"/>
    <w:rPr>
      <w:rFonts w:hint="eastAsia" w:ascii="宋体" w:hAnsi="宋体" w:eastAsia="宋体"/>
      <w:kern w:val="2"/>
      <w:sz w:val="24"/>
      <w:szCs w:val="24"/>
      <w:lang w:val="en-US" w:eastAsia="zh-CN" w:bidi="ar-SA"/>
    </w:rPr>
  </w:style>
  <w:style w:type="character" w:customStyle="1" w:styleId="2739">
    <w:name w:val="尾注文本 Char1"/>
    <w:qFormat/>
    <w:uiPriority w:val="0"/>
    <w:rPr>
      <w:sz w:val="24"/>
      <w:szCs w:val="24"/>
    </w:rPr>
  </w:style>
  <w:style w:type="character" w:customStyle="1" w:styleId="2740">
    <w:name w:val="正文 Char Char"/>
    <w:qFormat/>
    <w:uiPriority w:val="0"/>
    <w:rPr>
      <w:rFonts w:hint="eastAsia" w:ascii="宋体" w:hAnsi="宋体" w:eastAsia="宋体"/>
      <w:sz w:val="24"/>
      <w:lang w:val="en-US" w:eastAsia="zh-CN" w:bidi="ar-SA"/>
    </w:rPr>
  </w:style>
  <w:style w:type="character" w:customStyle="1" w:styleId="2741">
    <w:name w:val="正文样式1111 Char Char"/>
    <w:basedOn w:val="133"/>
    <w:qFormat/>
    <w:uiPriority w:val="0"/>
    <w:rPr>
      <w:rFonts w:hint="eastAsia" w:ascii="宋体" w:hAnsi="宋体" w:eastAsia="宋体"/>
      <w:color w:val="000000"/>
      <w:kern w:val="2"/>
      <w:sz w:val="24"/>
      <w:lang w:val="en-US" w:eastAsia="zh-CN"/>
    </w:rPr>
  </w:style>
  <w:style w:type="character" w:customStyle="1" w:styleId="2742">
    <w:name w:val="a11"/>
    <w:basedOn w:val="133"/>
    <w:semiHidden/>
    <w:qFormat/>
    <w:uiPriority w:val="0"/>
    <w:rPr>
      <w:spacing w:val="330"/>
      <w:sz w:val="20"/>
      <w:szCs w:val="20"/>
    </w:rPr>
  </w:style>
  <w:style w:type="character" w:customStyle="1" w:styleId="2743">
    <w:name w:val="z-窗体顶端 Char Char Char"/>
    <w:qFormat/>
    <w:uiPriority w:val="0"/>
    <w:rPr>
      <w:rFonts w:hint="default" w:ascii="Arial" w:hAnsi="Arial" w:cs="Arial"/>
      <w:vanish/>
      <w:sz w:val="16"/>
      <w:lang w:bidi="ar-SA"/>
    </w:rPr>
  </w:style>
  <w:style w:type="character" w:customStyle="1" w:styleId="2744">
    <w:name w:val="Char Char23"/>
    <w:basedOn w:val="133"/>
    <w:semiHidden/>
    <w:qFormat/>
    <w:uiPriority w:val="0"/>
    <w:rPr>
      <w:rFonts w:hint="eastAsia" w:ascii="宋体" w:hAnsi="Calibri" w:eastAsia="宋体" w:cs="Times New Roman"/>
      <w:sz w:val="18"/>
      <w:szCs w:val="18"/>
    </w:rPr>
  </w:style>
  <w:style w:type="character" w:customStyle="1" w:styleId="2745">
    <w:name w:val="Char Char47"/>
    <w:basedOn w:val="133"/>
    <w:qFormat/>
    <w:uiPriority w:val="0"/>
    <w:rPr>
      <w:rFonts w:hint="eastAsia" w:ascii="宋体" w:hAnsi="宋体" w:eastAsia="宋体"/>
      <w:kern w:val="2"/>
      <w:sz w:val="21"/>
      <w:szCs w:val="24"/>
      <w:lang w:val="en-US" w:eastAsia="zh-CN" w:bidi="ar-SA"/>
    </w:rPr>
  </w:style>
  <w:style w:type="character" w:customStyle="1" w:styleId="2746">
    <w:name w:val="postbody1"/>
    <w:basedOn w:val="133"/>
    <w:semiHidden/>
    <w:qFormat/>
    <w:uiPriority w:val="0"/>
    <w:rPr>
      <w:spacing w:val="301"/>
      <w:sz w:val="20"/>
      <w:szCs w:val="20"/>
    </w:rPr>
  </w:style>
  <w:style w:type="character" w:customStyle="1" w:styleId="2747">
    <w:name w:val="正正文 Char"/>
    <w:basedOn w:val="133"/>
    <w:qFormat/>
    <w:uiPriority w:val="0"/>
    <w:rPr>
      <w:rFonts w:hint="eastAsia" w:ascii="仿宋_GB2312" w:eastAsia="仿宋_GB2312"/>
      <w:kern w:val="2"/>
      <w:sz w:val="24"/>
      <w:szCs w:val="24"/>
      <w:lang w:val="en-US" w:eastAsia="zh-CN" w:bidi="ar-SA"/>
    </w:rPr>
  </w:style>
  <w:style w:type="character" w:customStyle="1" w:styleId="2748">
    <w:name w:val="正文(首行缩进) Char Char"/>
    <w:uiPriority w:val="0"/>
    <w:rPr>
      <w:snapToGrid/>
      <w:sz w:val="24"/>
    </w:rPr>
  </w:style>
  <w:style w:type="paragraph" w:customStyle="1" w:styleId="2749">
    <w:name w:val="样式7"/>
    <w:basedOn w:val="1"/>
    <w:link w:val="2750"/>
    <w:qFormat/>
    <w:uiPriority w:val="0"/>
    <w:pPr>
      <w:spacing w:line="240" w:lineRule="auto"/>
      <w:ind w:firstLine="0" w:firstLineChars="0"/>
    </w:pPr>
    <w:rPr>
      <w:rFonts w:cs="Times New Roman"/>
      <w:sz w:val="21"/>
      <w:szCs w:val="20"/>
    </w:rPr>
  </w:style>
  <w:style w:type="character" w:customStyle="1" w:styleId="2750">
    <w:name w:val="样式7 Char"/>
    <w:basedOn w:val="742"/>
    <w:link w:val="2749"/>
    <w:locked/>
    <w:uiPriority w:val="0"/>
    <w:rPr>
      <w:rFonts w:ascii="Times New Roman" w:hAnsi="Times New Roman" w:eastAsia="宋体" w:cs="Times New Roman"/>
      <w:szCs w:val="20"/>
    </w:rPr>
  </w:style>
  <w:style w:type="character" w:customStyle="1" w:styleId="2751">
    <w:name w:val="highlight1"/>
    <w:uiPriority w:val="0"/>
    <w:rPr>
      <w:sz w:val="21"/>
      <w:szCs w:val="21"/>
    </w:rPr>
  </w:style>
  <w:style w:type="character" w:customStyle="1" w:styleId="2752">
    <w:name w:val="Char Char1"/>
    <w:basedOn w:val="133"/>
    <w:uiPriority w:val="0"/>
    <w:rPr>
      <w:rFonts w:hint="eastAsia" w:ascii="宋体" w:hAnsi="宋体" w:eastAsia="宋体"/>
      <w:kern w:val="2"/>
      <w:sz w:val="21"/>
      <w:lang w:val="en-US" w:eastAsia="zh-CN"/>
    </w:rPr>
  </w:style>
  <w:style w:type="character" w:customStyle="1" w:styleId="2753">
    <w:name w:val="表格头 Char Char Char"/>
    <w:uiPriority w:val="0"/>
    <w:rPr>
      <w:rFonts w:hint="default" w:ascii="Tahoma" w:hAnsi="Tahoma" w:eastAsia="黑体" w:cs="Tahoma"/>
      <w:b/>
      <w:snapToGrid w:val="0"/>
      <w:color w:val="000000"/>
      <w:spacing w:val="-4"/>
      <w:sz w:val="24"/>
      <w:szCs w:val="22"/>
      <w:lang w:bidi="ar-SA"/>
    </w:rPr>
  </w:style>
  <w:style w:type="character" w:customStyle="1" w:styleId="2754">
    <w:name w:val="表格文字 Char1"/>
    <w:uiPriority w:val="0"/>
    <w:rPr>
      <w:rFonts w:hint="eastAsia" w:ascii="FLGPEK+TimesNewRoman,Italic" w:hAnsi="Vladimir Script" w:eastAsia="FLGPEK+TimesNewRoman,Italic" w:cs="Vladimir Script"/>
      <w:kern w:val="2"/>
      <w:sz w:val="21"/>
      <w:szCs w:val="21"/>
      <w:lang w:val="en-US" w:eastAsia="zh-CN" w:bidi="ar-SA"/>
    </w:rPr>
  </w:style>
  <w:style w:type="character" w:customStyle="1" w:styleId="2755">
    <w:name w:val="Char Char17"/>
    <w:basedOn w:val="133"/>
    <w:semiHidden/>
    <w:uiPriority w:val="0"/>
    <w:rPr>
      <w:rFonts w:hint="default" w:ascii="Calibri" w:hAnsi="Calibri" w:eastAsia="宋体" w:cs="Times New Roman"/>
      <w:sz w:val="18"/>
      <w:szCs w:val="18"/>
    </w:rPr>
  </w:style>
  <w:style w:type="character" w:customStyle="1" w:styleId="2756">
    <w:name w:val="标题 Char3"/>
    <w:basedOn w:val="133"/>
    <w:locked/>
    <w:uiPriority w:val="0"/>
    <w:rPr>
      <w:rFonts w:hint="default" w:ascii="Arial" w:hAnsi="Arial" w:cs="Arial"/>
      <w:b/>
      <w:kern w:val="2"/>
      <w:sz w:val="32"/>
    </w:rPr>
  </w:style>
  <w:style w:type="character" w:customStyle="1" w:styleId="2757">
    <w:name w:val="样式 (符号) 宋体 粗波浪线"/>
    <w:uiPriority w:val="0"/>
    <w:rPr>
      <w:rFonts w:hint="default" w:ascii="Verdana" w:hAnsi="Verdana" w:eastAsia="宋体"/>
      <w:kern w:val="0"/>
      <w:sz w:val="25"/>
      <w:szCs w:val="20"/>
      <w:u w:val="wavyHeavy"/>
      <w:lang w:eastAsia="en-US"/>
    </w:rPr>
  </w:style>
  <w:style w:type="character" w:customStyle="1" w:styleId="2758">
    <w:name w:val="目录 2 Char2"/>
    <w:uiPriority w:val="0"/>
    <w:rPr>
      <w:rFonts w:hint="eastAsia" w:ascii="宋体" w:hAnsi="宋体" w:eastAsia="宋体"/>
      <w:bCs/>
      <w:smallCaps/>
      <w:kern w:val="2"/>
      <w:sz w:val="24"/>
      <w:szCs w:val="21"/>
      <w:lang w:val="en-US" w:eastAsia="zh-CN" w:bidi="ar-SA"/>
    </w:rPr>
  </w:style>
  <w:style w:type="character" w:customStyle="1" w:styleId="2759">
    <w:name w:val="Char Char152"/>
    <w:uiPriority w:val="0"/>
    <w:rPr>
      <w:rFonts w:hint="eastAsia" w:ascii="Batang" w:hAnsi="Batang" w:eastAsia="ˎ̥" w:cs="Batang"/>
      <w:sz w:val="20"/>
      <w:szCs w:val="20"/>
    </w:rPr>
  </w:style>
  <w:style w:type="character" w:customStyle="1" w:styleId="2760">
    <w:name w:val="样式7 Char Char"/>
    <w:basedOn w:val="133"/>
    <w:semiHidden/>
    <w:uiPriority w:val="0"/>
    <w:rPr>
      <w:rFonts w:hint="eastAsia" w:ascii="宋体" w:hAnsi="宋体" w:eastAsia="宋体"/>
      <w:kern w:val="2"/>
      <w:sz w:val="24"/>
      <w:szCs w:val="24"/>
      <w:lang w:val="en-US" w:eastAsia="zh-CN" w:bidi="ar-SA"/>
    </w:rPr>
  </w:style>
  <w:style w:type="character" w:customStyle="1" w:styleId="2761">
    <w:name w:val="样式 宋体 小四 Char"/>
    <w:uiPriority w:val="0"/>
    <w:rPr>
      <w:rFonts w:hint="eastAsia" w:ascii="宋体" w:hAnsi="宋体" w:eastAsia="宋体"/>
      <w:kern w:val="2"/>
      <w:sz w:val="24"/>
      <w:lang w:val="en-US" w:eastAsia="zh-CN"/>
    </w:rPr>
  </w:style>
  <w:style w:type="character" w:customStyle="1" w:styleId="2762">
    <w:name w:val="标题3-自建 Char Char"/>
    <w:uiPriority w:val="0"/>
    <w:rPr>
      <w:rFonts w:hint="eastAsia" w:ascii="宋体" w:hAnsi="宋体" w:eastAsia="宋体"/>
      <w:b/>
      <w:kern w:val="2"/>
      <w:sz w:val="28"/>
      <w:lang w:val="en-US" w:eastAsia="zh-CN"/>
    </w:rPr>
  </w:style>
  <w:style w:type="character" w:customStyle="1" w:styleId="2763">
    <w:name w:val="line11"/>
    <w:basedOn w:val="133"/>
    <w:semiHidden/>
    <w:uiPriority w:val="0"/>
    <w:rPr>
      <w:color w:val="993333"/>
    </w:rPr>
  </w:style>
  <w:style w:type="character" w:customStyle="1" w:styleId="2764">
    <w:name w:val="题注 Char Char"/>
    <w:uiPriority w:val="0"/>
    <w:rPr>
      <w:rFonts w:hint="default" w:ascii="Times New Roman" w:hAnsi="Times New Roman" w:eastAsia="宋体" w:cs="Times New Roman"/>
      <w:sz w:val="21"/>
    </w:rPr>
  </w:style>
  <w:style w:type="character" w:customStyle="1" w:styleId="2765">
    <w:name w:val="样式5 Char1"/>
    <w:basedOn w:val="133"/>
    <w:semiHidden/>
    <w:uiPriority w:val="0"/>
    <w:rPr>
      <w:rFonts w:hint="eastAsia" w:ascii="宋体" w:hAnsi="宋体" w:eastAsia="宋体"/>
      <w:kern w:val="2"/>
      <w:sz w:val="24"/>
      <w:szCs w:val="24"/>
      <w:lang w:val="en-US" w:eastAsia="zh-CN" w:bidi="ar-SA"/>
    </w:rPr>
  </w:style>
  <w:style w:type="character" w:customStyle="1" w:styleId="2766">
    <w:name w:val="样式 标题 1 + 宋体 小四 加粗 Char"/>
    <w:basedOn w:val="2699"/>
    <w:semiHidden/>
    <w:uiPriority w:val="0"/>
    <w:rPr>
      <w:rFonts w:ascii="Gungsuh" w:hAnsi="Gungsuh" w:eastAsia="黑体" w:cs="宋体"/>
      <w:b/>
      <w:bCs/>
      <w:sz w:val="30"/>
      <w:szCs w:val="28"/>
      <w:lang w:bidi="ar-SA"/>
    </w:rPr>
  </w:style>
  <w:style w:type="character" w:customStyle="1" w:styleId="2767">
    <w:name w:val="px141"/>
    <w:basedOn w:val="133"/>
    <w:semiHidden/>
    <w:uiPriority w:val="0"/>
    <w:rPr>
      <w:rFonts w:hint="default" w:ascii="ˎ̥" w:hAnsi="ˎ̥"/>
      <w:sz w:val="21"/>
      <w:szCs w:val="21"/>
    </w:rPr>
  </w:style>
  <w:style w:type="character" w:customStyle="1" w:styleId="2768">
    <w:name w:val="small_12px1"/>
    <w:uiPriority w:val="0"/>
    <w:rPr>
      <w:rFonts w:hint="default" w:ascii="Verdana" w:hAnsi="Verdana"/>
      <w:kern w:val="0"/>
      <w:sz w:val="18"/>
      <w:szCs w:val="18"/>
      <w:lang w:eastAsia="en-US"/>
    </w:rPr>
  </w:style>
  <w:style w:type="character" w:customStyle="1" w:styleId="2769">
    <w:name w:val="标题1.1.1.1.1.1 Char Char"/>
    <w:uiPriority w:val="0"/>
    <w:rPr>
      <w:rFonts w:hint="default" w:ascii="Arial" w:hAnsi="Arial" w:eastAsia="黑体" w:cs="Arial"/>
      <w:b/>
      <w:bCs/>
      <w:spacing w:val="5"/>
      <w:kern w:val="2"/>
      <w:sz w:val="24"/>
      <w:szCs w:val="24"/>
      <w:lang w:val="en-US" w:eastAsia="zh-CN" w:bidi="ar-SA"/>
    </w:rPr>
  </w:style>
  <w:style w:type="character" w:customStyle="1" w:styleId="2770">
    <w:name w:val="页眉 Char2"/>
    <w:uiPriority w:val="0"/>
    <w:rPr>
      <w:sz w:val="18"/>
      <w:szCs w:val="18"/>
    </w:rPr>
  </w:style>
  <w:style w:type="character" w:customStyle="1" w:styleId="2771">
    <w:name w:val="款标题1.1.1.1 Char1"/>
    <w:basedOn w:val="133"/>
    <w:semiHidden/>
    <w:uiPriority w:val="0"/>
    <w:rPr>
      <w:rFonts w:hint="eastAsia" w:ascii="楷体_GB2312" w:eastAsia="楷体_GB2312"/>
      <w:b/>
      <w:bCs/>
      <w:kern w:val="2"/>
      <w:sz w:val="24"/>
      <w:szCs w:val="24"/>
      <w:lang w:val="en-US" w:eastAsia="zh-CN" w:bidi="ar-SA"/>
    </w:rPr>
  </w:style>
  <w:style w:type="character" w:customStyle="1" w:styleId="2772">
    <w:name w:val="正文文字 2 Char Char"/>
    <w:basedOn w:val="133"/>
    <w:semiHidden/>
    <w:uiPriority w:val="0"/>
    <w:rPr>
      <w:rFonts w:hint="eastAsia" w:ascii="宋体" w:hAnsi="宋体" w:eastAsia="宋体" w:cs="Times New Roman"/>
      <w:sz w:val="18"/>
      <w:szCs w:val="21"/>
    </w:rPr>
  </w:style>
  <w:style w:type="character" w:customStyle="1" w:styleId="2773">
    <w:name w:val="正文 首行缩进:  2 字符 Char"/>
    <w:basedOn w:val="133"/>
    <w:semiHidden/>
    <w:uiPriority w:val="0"/>
    <w:rPr>
      <w:rFonts w:hint="eastAsia" w:ascii="宋体" w:hAnsi="宋体" w:eastAsia="宋体" w:cs="宋体"/>
      <w:b/>
      <w:bCs/>
      <w:kern w:val="2"/>
      <w:sz w:val="28"/>
      <w:szCs w:val="28"/>
      <w:lang w:val="en-US" w:eastAsia="zh-CN" w:bidi="ar-SA"/>
    </w:rPr>
  </w:style>
  <w:style w:type="character" w:customStyle="1" w:styleId="2774">
    <w:name w:val="style41"/>
    <w:basedOn w:val="133"/>
    <w:semiHidden/>
    <w:uiPriority w:val="0"/>
    <w:rPr>
      <w:color w:val="000000"/>
    </w:rPr>
  </w:style>
  <w:style w:type="character" w:customStyle="1" w:styleId="2775">
    <w:name w:val="标题内蒙 2 Char Char"/>
    <w:basedOn w:val="133"/>
    <w:semiHidden/>
    <w:uiPriority w:val="0"/>
    <w:rPr>
      <w:rFonts w:hint="default" w:ascii="Arial" w:hAnsi="Arial" w:eastAsia="黑体" w:cs="Arial"/>
      <w:b/>
      <w:bCs/>
      <w:kern w:val="2"/>
      <w:sz w:val="24"/>
      <w:szCs w:val="32"/>
      <w:lang w:val="en-US" w:eastAsia="zh-CN" w:bidi="ar-SA"/>
    </w:rPr>
  </w:style>
  <w:style w:type="character" w:customStyle="1" w:styleId="2776">
    <w:name w:val="14fz1"/>
    <w:basedOn w:val="133"/>
    <w:semiHidden/>
    <w:uiPriority w:val="0"/>
    <w:rPr>
      <w:rFonts w:hint="default"/>
      <w:color w:val="000000"/>
      <w:sz w:val="32"/>
      <w:szCs w:val="32"/>
    </w:rPr>
  </w:style>
  <w:style w:type="character" w:customStyle="1" w:styleId="2777">
    <w:name w:val="da1"/>
    <w:uiPriority w:val="0"/>
    <w:rPr>
      <w:rFonts w:hint="default"/>
      <w:color w:val="000000"/>
      <w:sz w:val="21"/>
      <w:u w:val="none"/>
    </w:rPr>
  </w:style>
  <w:style w:type="character" w:customStyle="1" w:styleId="2778">
    <w:name w:val="style281"/>
    <w:uiPriority w:val="0"/>
    <w:rPr>
      <w:rFonts w:hint="eastAsia" w:ascii="新宋体" w:hAnsi="新宋体" w:eastAsia="新宋体"/>
      <w:kern w:val="0"/>
      <w:szCs w:val="20"/>
      <w:lang w:eastAsia="en-US"/>
    </w:rPr>
  </w:style>
  <w:style w:type="character" w:customStyle="1" w:styleId="2779">
    <w:name w:val="日期 Char3"/>
    <w:uiPriority w:val="0"/>
    <w:rPr>
      <w:rFonts w:hint="eastAsia" w:ascii="FLGPEK+TimesNewRoman,Italic" w:hAnsi="Chicago" w:eastAsia="Calibri" w:cs="Chicago"/>
      <w:kern w:val="2"/>
      <w:sz w:val="28"/>
      <w:lang w:val="en-US" w:eastAsia="zh-CN" w:bidi="ar-SA"/>
    </w:rPr>
  </w:style>
  <w:style w:type="character" w:customStyle="1" w:styleId="2780">
    <w:name w:val="13-b-yellow1"/>
    <w:basedOn w:val="133"/>
    <w:semiHidden/>
    <w:qFormat/>
    <w:uiPriority w:val="0"/>
    <w:rPr>
      <w:rFonts w:hint="eastAsia" w:ascii="宋体" w:hAnsi="宋体" w:eastAsia="宋体" w:cs="宋体"/>
      <w:b/>
      <w:bCs/>
      <w:color w:val="DD8500"/>
      <w:sz w:val="26"/>
      <w:szCs w:val="28"/>
      <w:lang w:val="en-US" w:eastAsia="zh-CN" w:bidi="ar-SA"/>
    </w:rPr>
  </w:style>
  <w:style w:type="character" w:customStyle="1" w:styleId="2781">
    <w:name w:val="p131"/>
    <w:qFormat/>
    <w:uiPriority w:val="0"/>
    <w:rPr>
      <w:b/>
      <w:color w:val="FF6600"/>
      <w:sz w:val="28"/>
    </w:rPr>
  </w:style>
  <w:style w:type="character" w:customStyle="1" w:styleId="2782">
    <w:name w:val="L4 Char Char Char Char Char"/>
    <w:basedOn w:val="133"/>
    <w:semiHidden/>
    <w:uiPriority w:val="0"/>
    <w:rPr>
      <w:rFonts w:hint="default" w:ascii="Arial" w:hAnsi="Arial" w:cs="Arial"/>
      <w:kern w:val="2"/>
      <w:sz w:val="24"/>
    </w:rPr>
  </w:style>
  <w:style w:type="character" w:customStyle="1" w:styleId="2783">
    <w:name w:val="标题 1 Char Char Char Char Char"/>
    <w:basedOn w:val="133"/>
    <w:uiPriority w:val="0"/>
    <w:rPr>
      <w:rFonts w:hint="eastAsia" w:ascii="宋体" w:hAnsi="宋体" w:eastAsia="宋体"/>
      <w:b/>
      <w:kern w:val="44"/>
      <w:sz w:val="44"/>
      <w:lang w:val="en-US" w:eastAsia="zh-CN" w:bidi="ar-SA"/>
    </w:rPr>
  </w:style>
  <w:style w:type="character" w:customStyle="1" w:styleId="2784">
    <w:name w:val="style51"/>
    <w:basedOn w:val="133"/>
    <w:semiHidden/>
    <w:qFormat/>
    <w:uiPriority w:val="0"/>
    <w:rPr>
      <w:rFonts w:hint="eastAsia" w:ascii="宋体" w:hAnsi="宋体" w:eastAsia="宋体"/>
      <w:b/>
      <w:bCs/>
      <w:color w:val="CC0000"/>
      <w:sz w:val="27"/>
      <w:szCs w:val="27"/>
    </w:rPr>
  </w:style>
  <w:style w:type="character" w:customStyle="1" w:styleId="2785">
    <w:name w:val="Char Char Char Char Char"/>
    <w:qFormat/>
    <w:uiPriority w:val="0"/>
    <w:rPr>
      <w:rFonts w:hint="eastAsia" w:ascii="宋体" w:hAnsi="宋体" w:eastAsia="宋体"/>
      <w:kern w:val="2"/>
      <w:sz w:val="24"/>
      <w:lang w:val="en-US" w:eastAsia="zh-CN" w:bidi="ar-SA"/>
    </w:rPr>
  </w:style>
  <w:style w:type="character" w:customStyle="1" w:styleId="2786">
    <w:name w:val="标题 1 Char1"/>
    <w:qFormat/>
    <w:uiPriority w:val="0"/>
    <w:rPr>
      <w:rFonts w:hint="eastAsia" w:ascii="FLGPEK+TimesNewRoman,Italic" w:hAnsi="FLGPEK+TimesNewRoman,Italic" w:eastAsia="宋体" w:cs="FLGPEK+TimesNewRoman,Italic"/>
      <w:b/>
      <w:kern w:val="44"/>
      <w:sz w:val="44"/>
      <w:szCs w:val="24"/>
      <w:lang w:val="en-US" w:eastAsia="zh-CN"/>
    </w:rPr>
  </w:style>
  <w:style w:type="character" w:customStyle="1" w:styleId="2787">
    <w:name w:val="鲍三级标题 Char"/>
    <w:basedOn w:val="133"/>
    <w:semiHidden/>
    <w:qFormat/>
    <w:uiPriority w:val="0"/>
    <w:rPr>
      <w:rFonts w:hint="eastAsia" w:ascii="黑体" w:hAnsi="宋体" w:eastAsia="黑体"/>
      <w:bCs/>
      <w:kern w:val="2"/>
      <w:sz w:val="28"/>
      <w:szCs w:val="24"/>
      <w:lang w:val="en-US" w:eastAsia="zh-CN" w:bidi="ar-SA"/>
    </w:rPr>
  </w:style>
  <w:style w:type="character" w:customStyle="1" w:styleId="2788">
    <w:name w:val="标题 1 Char1 Char Char"/>
    <w:uiPriority w:val="0"/>
    <w:rPr>
      <w:rFonts w:hint="eastAsia" w:ascii="宋体" w:hAnsi="宋体" w:eastAsia="宋体"/>
      <w:b/>
      <w:kern w:val="44"/>
      <w:sz w:val="44"/>
      <w:lang w:val="en-US" w:eastAsia="zh-CN"/>
    </w:rPr>
  </w:style>
  <w:style w:type="character" w:customStyle="1" w:styleId="2789">
    <w:name w:val="普通 (Web) Char Char"/>
    <w:qFormat/>
    <w:uiPriority w:val="0"/>
    <w:rPr>
      <w:rFonts w:hint="eastAsia" w:ascii="宋体" w:hAnsi="宋体" w:eastAsia="宋体"/>
      <w:sz w:val="24"/>
      <w:lang w:val="en-US" w:eastAsia="zh-CN" w:bidi="ar-SA"/>
    </w:rPr>
  </w:style>
  <w:style w:type="character" w:customStyle="1" w:styleId="2790">
    <w:name w:val="3zw1"/>
    <w:qFormat/>
    <w:uiPriority w:val="0"/>
    <w:rPr>
      <w:color w:val="000000"/>
      <w:sz w:val="21"/>
      <w:szCs w:val="21"/>
    </w:rPr>
  </w:style>
  <w:style w:type="character" w:customStyle="1" w:styleId="2791">
    <w:name w:val="表号 Char Char"/>
    <w:basedOn w:val="133"/>
    <w:uiPriority w:val="0"/>
    <w:rPr>
      <w:rFonts w:hint="eastAsia" w:ascii="宋体" w:hAnsi="宋体" w:eastAsia="宋体"/>
      <w:kern w:val="32"/>
      <w:sz w:val="24"/>
      <w:lang w:val="en-US" w:eastAsia="zh-CN"/>
    </w:rPr>
  </w:style>
  <w:style w:type="character" w:customStyle="1" w:styleId="2792">
    <w:name w:val="zt41"/>
    <w:basedOn w:val="133"/>
    <w:qFormat/>
    <w:uiPriority w:val="0"/>
    <w:rPr>
      <w:sz w:val="18"/>
      <w:szCs w:val="18"/>
    </w:rPr>
  </w:style>
  <w:style w:type="character" w:customStyle="1" w:styleId="2793">
    <w:name w:val="正文文本缩进 2 Char Char Char Char"/>
    <w:qFormat/>
    <w:uiPriority w:val="0"/>
    <w:rPr>
      <w:rFonts w:hint="default" w:ascii="Arial" w:hAnsi="Arial" w:eastAsia="宋体" w:cs="Arial"/>
      <w:kern w:val="2"/>
      <w:sz w:val="24"/>
      <w:lang w:val="en-US" w:eastAsia="zh-CN"/>
    </w:rPr>
  </w:style>
  <w:style w:type="character" w:customStyle="1" w:styleId="2794">
    <w:name w:val="hb3 Char1"/>
    <w:basedOn w:val="133"/>
    <w:uiPriority w:val="0"/>
    <w:rPr>
      <w:rFonts w:hint="eastAsia" w:ascii="宋体" w:hAnsi="宋体" w:eastAsia="宋体"/>
      <w:b/>
      <w:sz w:val="28"/>
      <w:lang w:val="en-US" w:eastAsia="zh-CN"/>
    </w:rPr>
  </w:style>
  <w:style w:type="character" w:customStyle="1" w:styleId="2795">
    <w:name w:val="正文样式 Char1"/>
    <w:basedOn w:val="133"/>
    <w:uiPriority w:val="0"/>
    <w:rPr>
      <w:rFonts w:hint="eastAsia" w:ascii="宋体" w:hAnsi="宋体" w:eastAsia="宋体"/>
      <w:kern w:val="2"/>
      <w:sz w:val="24"/>
      <w:szCs w:val="24"/>
      <w:lang w:val="en-US" w:eastAsia="zh-CN" w:bidi="ar-SA"/>
    </w:rPr>
  </w:style>
  <w:style w:type="character" w:customStyle="1" w:styleId="2796">
    <w:name w:val="WW8Num1456z0"/>
    <w:qFormat/>
    <w:uiPriority w:val="0"/>
    <w:rPr>
      <w:rFonts w:hint="default" w:ascii="Wingdings" w:hAnsi="Wingdings"/>
      <w:sz w:val="24"/>
    </w:rPr>
  </w:style>
  <w:style w:type="character" w:customStyle="1" w:styleId="2797">
    <w:name w:val="标题 2 Char Char Char"/>
    <w:basedOn w:val="133"/>
    <w:qFormat/>
    <w:uiPriority w:val="0"/>
    <w:rPr>
      <w:rFonts w:hint="eastAsia" w:ascii="黑体" w:hAnsi="黑体" w:eastAsia="黑体"/>
      <w:color w:val="000000"/>
      <w:kern w:val="2"/>
      <w:sz w:val="28"/>
      <w:szCs w:val="24"/>
      <w:lang w:val="zh-CN" w:eastAsia="zh-CN" w:bidi="ar-SA"/>
    </w:rPr>
  </w:style>
  <w:style w:type="character" w:customStyle="1" w:styleId="2798">
    <w:name w:val="表文字 Char1"/>
    <w:basedOn w:val="133"/>
    <w:qFormat/>
    <w:uiPriority w:val="0"/>
    <w:rPr>
      <w:rFonts w:hint="eastAsia" w:ascii="宋体" w:hAnsi="宋体" w:eastAsia="宋体"/>
      <w:sz w:val="24"/>
      <w:lang w:val="en-US" w:eastAsia="zh-CN" w:bidi="ar-SA"/>
    </w:rPr>
  </w:style>
  <w:style w:type="character" w:customStyle="1" w:styleId="2799">
    <w:name w:val="hui141"/>
    <w:qFormat/>
    <w:uiPriority w:val="0"/>
    <w:rPr>
      <w:color w:val="B3B2B2"/>
      <w:sz w:val="21"/>
      <w:szCs w:val="21"/>
    </w:rPr>
  </w:style>
  <w:style w:type="character" w:customStyle="1" w:styleId="2800">
    <w:name w:val="正文文本缩进 Char1"/>
    <w:basedOn w:val="133"/>
    <w:qFormat/>
    <w:locked/>
    <w:uiPriority w:val="0"/>
    <w:rPr>
      <w:rFonts w:hint="eastAsia" w:ascii="宋体" w:hAnsi="宋体" w:eastAsia="宋体"/>
      <w:color w:val="0000FF"/>
      <w:kern w:val="2"/>
      <w:sz w:val="24"/>
      <w:lang w:val="zh-CN"/>
    </w:rPr>
  </w:style>
  <w:style w:type="character" w:customStyle="1" w:styleId="2801">
    <w:name w:val="标题 Char Char"/>
    <w:basedOn w:val="133"/>
    <w:qFormat/>
    <w:uiPriority w:val="0"/>
    <w:rPr>
      <w:rFonts w:hint="default" w:ascii="Arial" w:hAnsi="Arial" w:eastAsia="宋体" w:cs="Arial"/>
      <w:b/>
      <w:bCs/>
      <w:kern w:val="2"/>
      <w:sz w:val="32"/>
      <w:szCs w:val="32"/>
      <w:lang w:val="en-US" w:eastAsia="zh-CN" w:bidi="ar-SA"/>
    </w:rPr>
  </w:style>
  <w:style w:type="character" w:customStyle="1" w:styleId="2802">
    <w:name w:val="样式2 Char1"/>
    <w:qFormat/>
    <w:uiPriority w:val="0"/>
    <w:rPr>
      <w:rFonts w:hint="default" w:ascii="Arial" w:hAnsi="Arial" w:eastAsia="楷体_GB2312" w:cs="Arial"/>
      <w:snapToGrid w:val="0"/>
      <w:sz w:val="24"/>
      <w:lang w:val="en-US" w:eastAsia="zh-CN" w:bidi="ar-SA"/>
    </w:rPr>
  </w:style>
  <w:style w:type="character" w:customStyle="1" w:styleId="2803">
    <w:name w:val="z-窗体顶端 Char1"/>
    <w:qFormat/>
    <w:uiPriority w:val="0"/>
    <w:rPr>
      <w:rFonts w:hint="default" w:ascii="Arial" w:hAnsi="Arial" w:cs="Arial"/>
      <w:vanish/>
      <w:kern w:val="2"/>
      <w:sz w:val="16"/>
      <w:szCs w:val="16"/>
    </w:rPr>
  </w:style>
  <w:style w:type="character" w:customStyle="1" w:styleId="2804">
    <w:name w:val="题注 Char1 Char1"/>
    <w:qFormat/>
    <w:uiPriority w:val="0"/>
    <w:rPr>
      <w:rFonts w:hint="eastAsia" w:ascii="宋体" w:hAnsi="宋体" w:eastAsia="宋体" w:cs="Arial"/>
      <w:kern w:val="2"/>
      <w:sz w:val="24"/>
      <w:lang w:val="en-US" w:eastAsia="zh-CN" w:bidi="ar-SA"/>
    </w:rPr>
  </w:style>
  <w:style w:type="character" w:customStyle="1" w:styleId="2805">
    <w:name w:val="样式2 Char Char Char"/>
    <w:qFormat/>
    <w:uiPriority w:val="0"/>
    <w:rPr>
      <w:rFonts w:hint="eastAsia" w:ascii="宋体" w:hAnsi="宋体" w:eastAsia="宋体"/>
      <w:sz w:val="24"/>
      <w:szCs w:val="24"/>
      <w:lang w:val="en-US" w:eastAsia="zh-CN"/>
    </w:rPr>
  </w:style>
  <w:style w:type="character" w:customStyle="1" w:styleId="2806">
    <w:name w:val="3级标题 Char Char"/>
    <w:qFormat/>
    <w:uiPriority w:val="0"/>
    <w:rPr>
      <w:rFonts w:hint="eastAsia" w:ascii="黑体" w:hAnsi="黑体" w:eastAsia="黑体"/>
      <w:kern w:val="2"/>
      <w:sz w:val="25"/>
    </w:rPr>
  </w:style>
  <w:style w:type="character" w:customStyle="1" w:styleId="2807">
    <w:name w:val="节标题 1.1 Char1"/>
    <w:basedOn w:val="133"/>
    <w:qFormat/>
    <w:uiPriority w:val="0"/>
    <w:rPr>
      <w:rFonts w:hint="default" w:ascii="Arial" w:hAnsi="Arial" w:eastAsia="黑体" w:cs="Times New Roman"/>
      <w:b/>
      <w:bCs/>
      <w:sz w:val="32"/>
      <w:szCs w:val="32"/>
    </w:rPr>
  </w:style>
  <w:style w:type="character" w:customStyle="1" w:styleId="2808">
    <w:name w:val="mainheader1"/>
    <w:qFormat/>
    <w:uiPriority w:val="0"/>
    <w:rPr>
      <w:b/>
      <w:bCs/>
      <w:sz w:val="31"/>
      <w:szCs w:val="31"/>
    </w:rPr>
  </w:style>
  <w:style w:type="character" w:customStyle="1" w:styleId="2809">
    <w:name w:val="contentfont"/>
    <w:basedOn w:val="133"/>
    <w:qFormat/>
    <w:uiPriority w:val="0"/>
  </w:style>
  <w:style w:type="character" w:customStyle="1" w:styleId="2810">
    <w:name w:val="title"/>
    <w:basedOn w:val="133"/>
    <w:qFormat/>
    <w:uiPriority w:val="0"/>
  </w:style>
  <w:style w:type="character" w:customStyle="1" w:styleId="2811">
    <w:name w:val="Char Char81"/>
    <w:qFormat/>
    <w:uiPriority w:val="0"/>
    <w:rPr>
      <w:rFonts w:hint="eastAsia" w:ascii="宋体" w:hAnsi="宋体" w:eastAsia="宋体"/>
      <w:b/>
      <w:bCs/>
      <w:kern w:val="2"/>
      <w:sz w:val="24"/>
      <w:szCs w:val="28"/>
      <w:lang w:val="en-US" w:eastAsia="zh-CN" w:bidi="ar-SA"/>
    </w:rPr>
  </w:style>
  <w:style w:type="character" w:customStyle="1" w:styleId="2812">
    <w:name w:val="text31"/>
    <w:qFormat/>
    <w:uiPriority w:val="0"/>
    <w:rPr>
      <w:sz w:val="18"/>
    </w:rPr>
  </w:style>
  <w:style w:type="character" w:customStyle="1" w:styleId="2813">
    <w:name w:val="表题注 Char"/>
    <w:qFormat/>
    <w:uiPriority w:val="0"/>
    <w:rPr>
      <w:rFonts w:hint="eastAsia" w:ascii="宋体" w:hAnsi="Arial" w:eastAsia="宋体" w:cs="Arial"/>
      <w:kern w:val="2"/>
      <w:sz w:val="21"/>
      <w:lang w:val="en-US" w:eastAsia="zh-CN" w:bidi="ar-SA"/>
    </w:rPr>
  </w:style>
  <w:style w:type="character" w:customStyle="1" w:styleId="2814">
    <w:name w:val="表格用字 +  六号 Char"/>
    <w:qFormat/>
    <w:uiPriority w:val="0"/>
    <w:rPr>
      <w:rFonts w:hint="eastAsia" w:ascii="宋体" w:hAnsi="宋体" w:eastAsia="仿宋_GB2312"/>
      <w:kern w:val="2"/>
      <w:sz w:val="15"/>
      <w:lang w:val="en-US" w:eastAsia="zh-CN"/>
    </w:rPr>
  </w:style>
  <w:style w:type="character" w:customStyle="1" w:styleId="2815">
    <w:name w:val="日期 Char1"/>
    <w:qFormat/>
    <w:uiPriority w:val="0"/>
    <w:rPr>
      <w:rFonts w:hint="eastAsia" w:ascii="宋体" w:hAnsi="宋体" w:eastAsia="宋体"/>
      <w:kern w:val="2"/>
      <w:sz w:val="21"/>
      <w:lang w:val="en-US" w:eastAsia="zh-CN" w:bidi="ar-SA"/>
    </w:rPr>
  </w:style>
  <w:style w:type="character" w:customStyle="1" w:styleId="2816">
    <w:name w:val="样式 标题 3 + Times New Roman 四号 加粗 Char"/>
    <w:qFormat/>
    <w:uiPriority w:val="0"/>
    <w:rPr>
      <w:rFonts w:hint="eastAsia" w:ascii="楷体_GB2312" w:hAnsi="宋体" w:eastAsia="楷体_GB2312"/>
      <w:b/>
      <w:bCs/>
      <w:iCs/>
      <w:kern w:val="2"/>
      <w:sz w:val="28"/>
      <w:szCs w:val="28"/>
      <w:lang w:val="en-US" w:eastAsia="zh-CN" w:bidi="ar-SA"/>
    </w:rPr>
  </w:style>
  <w:style w:type="character" w:customStyle="1" w:styleId="2817">
    <w:name w:val="正文01 Char Char Char Char Char"/>
    <w:qFormat/>
    <w:uiPriority w:val="0"/>
    <w:rPr>
      <w:rFonts w:hint="eastAsia" w:ascii="宋体" w:hAnsi="宋体" w:eastAsia="宋体"/>
      <w:snapToGrid w:val="0"/>
      <w:color w:val="000000"/>
      <w:sz w:val="24"/>
      <w:lang w:val="en-US" w:eastAsia="zh-CN" w:bidi="ar-SA"/>
    </w:rPr>
  </w:style>
  <w:style w:type="character" w:customStyle="1" w:styleId="2818">
    <w:name w:val="正文2 Char Char"/>
    <w:qFormat/>
    <w:uiPriority w:val="0"/>
    <w:rPr>
      <w:rFonts w:hint="eastAsia" w:ascii="宋体" w:hAnsi="宋体" w:eastAsia="宋体"/>
      <w:kern w:val="2"/>
      <w:sz w:val="24"/>
    </w:rPr>
  </w:style>
  <w:style w:type="character" w:customStyle="1" w:styleId="2819">
    <w:name w:val="style12"/>
    <w:qFormat/>
    <w:uiPriority w:val="0"/>
    <w:rPr>
      <w:rFonts w:hint="eastAsia" w:ascii="FLGPEK+TimesNewRoman,Italic" w:hAnsi="FLGPEK+TimesNewRoman,Italic" w:eastAsia="FLGPEK+TimesNewRoman,Italic" w:cs="FLGPEK+TimesNewRoman,Italic"/>
      <w:sz w:val="24"/>
      <w:szCs w:val="24"/>
    </w:rPr>
  </w:style>
  <w:style w:type="character" w:customStyle="1" w:styleId="2820">
    <w:name w:val="样式 首行缩进:  2 字符 行距: 最小值 24 磅 Char Char Char Char"/>
    <w:qFormat/>
    <w:uiPriority w:val="0"/>
    <w:rPr>
      <w:rFonts w:hint="eastAsia" w:ascii="宋体" w:hAnsi="宋体" w:eastAsia="宋体" w:cs="宋体"/>
      <w:kern w:val="2"/>
      <w:sz w:val="24"/>
      <w:szCs w:val="24"/>
      <w:lang w:val="en-US" w:eastAsia="zh-CN" w:bidi="ar-SA"/>
    </w:rPr>
  </w:style>
  <w:style w:type="character" w:customStyle="1" w:styleId="2821">
    <w:name w:val="样式 首行缩进:  2 字符 行距: 最小值 24 磅 Char Char Char Char Char"/>
    <w:qFormat/>
    <w:uiPriority w:val="0"/>
    <w:rPr>
      <w:rFonts w:hint="eastAsia" w:ascii="FLGPEK+TimesNewRoman,Italic" w:eastAsia="FLGPEK+TimesNewRoman,Italic"/>
      <w:spacing w:val="6"/>
      <w:sz w:val="24"/>
    </w:rPr>
  </w:style>
  <w:style w:type="character" w:customStyle="1" w:styleId="2822">
    <w:name w:val="model11"/>
    <w:qFormat/>
    <w:uiPriority w:val="0"/>
    <w:rPr>
      <w:rFonts w:hint="eastAsia" w:ascii="宋体" w:hAnsi="宋体" w:eastAsia="宋体"/>
      <w:sz w:val="18"/>
      <w:szCs w:val="18"/>
      <w:u w:val="none"/>
    </w:rPr>
  </w:style>
  <w:style w:type="character" w:customStyle="1" w:styleId="2823">
    <w:name w:val="表格 Char Char"/>
    <w:basedOn w:val="133"/>
    <w:qFormat/>
    <w:uiPriority w:val="0"/>
    <w:rPr>
      <w:rFonts w:hint="eastAsia" w:ascii="宋体" w:hAnsi="宋体" w:eastAsia="宋体"/>
      <w:sz w:val="21"/>
      <w:szCs w:val="21"/>
      <w:lang w:val="en-US" w:eastAsia="zh-CN" w:bidi="ar-SA"/>
    </w:rPr>
  </w:style>
  <w:style w:type="character" w:customStyle="1" w:styleId="2824">
    <w:name w:val="Char Char44"/>
    <w:qFormat/>
    <w:uiPriority w:val="0"/>
    <w:rPr>
      <w:rFonts w:hint="eastAsia" w:ascii="宋体" w:hAnsi="宋体" w:eastAsia="宋体"/>
      <w:kern w:val="2"/>
      <w:sz w:val="18"/>
      <w:szCs w:val="18"/>
      <w:lang w:val="en-US" w:eastAsia="zh-CN" w:bidi="ar-SA"/>
    </w:rPr>
  </w:style>
  <w:style w:type="character" w:customStyle="1" w:styleId="2825">
    <w:name w:val="样式 正文 +"/>
    <w:qFormat/>
    <w:uiPriority w:val="0"/>
    <w:rPr>
      <w:kern w:val="0"/>
      <w:sz w:val="24"/>
    </w:rPr>
  </w:style>
  <w:style w:type="character" w:customStyle="1" w:styleId="2826">
    <w:name w:val="亚行正文 Char"/>
    <w:qFormat/>
    <w:uiPriority w:val="0"/>
    <w:rPr>
      <w:rFonts w:hint="eastAsia" w:ascii="宋体" w:hAnsi="宋体" w:eastAsia="宋体"/>
      <w:kern w:val="2"/>
      <w:sz w:val="24"/>
      <w:szCs w:val="24"/>
      <w:lang w:val="en-US" w:eastAsia="zh-CN" w:bidi="ar-SA"/>
    </w:rPr>
  </w:style>
  <w:style w:type="character" w:customStyle="1" w:styleId="2827">
    <w:name w:val="newsf1"/>
    <w:qFormat/>
    <w:uiPriority w:val="0"/>
    <w:rPr>
      <w:sz w:val="21"/>
      <w:szCs w:val="21"/>
    </w:rPr>
  </w:style>
  <w:style w:type="character" w:customStyle="1" w:styleId="2828">
    <w:name w:val="正文文本 Char1"/>
    <w:basedOn w:val="133"/>
    <w:qFormat/>
    <w:uiPriority w:val="0"/>
    <w:rPr>
      <w:rFonts w:hint="eastAsia" w:ascii="宋体" w:hAnsi="宋体" w:eastAsia="宋体"/>
      <w:kern w:val="2"/>
      <w:sz w:val="21"/>
      <w:szCs w:val="24"/>
      <w:lang w:val="en-US" w:eastAsia="zh-CN" w:bidi="ar-SA"/>
    </w:rPr>
  </w:style>
  <w:style w:type="character" w:customStyle="1" w:styleId="2829">
    <w:name w:val="hg21"/>
    <w:qFormat/>
    <w:uiPriority w:val="0"/>
    <w:rPr>
      <w:color w:val="000000"/>
      <w:sz w:val="28"/>
      <w:szCs w:val="28"/>
    </w:rPr>
  </w:style>
  <w:style w:type="character" w:customStyle="1" w:styleId="2830">
    <w:name w:val="样式 qqq正文 + 新宋体 Char"/>
    <w:qFormat/>
    <w:uiPriority w:val="0"/>
    <w:rPr>
      <w:rFonts w:hint="eastAsia" w:ascii="新宋体" w:hAnsi="新宋体" w:eastAsia="新宋体" w:cs="宋体"/>
      <w:kern w:val="2"/>
      <w:sz w:val="24"/>
      <w:szCs w:val="24"/>
      <w:lang w:val="en-US" w:eastAsia="zh-CN" w:bidi="ar-SA"/>
    </w:rPr>
  </w:style>
  <w:style w:type="character" w:customStyle="1" w:styleId="2831">
    <w:name w:val="Char Char48"/>
    <w:qFormat/>
    <w:uiPriority w:val="0"/>
    <w:rPr>
      <w:kern w:val="2"/>
      <w:sz w:val="18"/>
      <w:szCs w:val="18"/>
    </w:rPr>
  </w:style>
  <w:style w:type="character" w:customStyle="1" w:styleId="2832">
    <w:name w:val="red_f30_12"/>
    <w:qFormat/>
    <w:uiPriority w:val="0"/>
    <w:rPr>
      <w:rFonts w:hint="eastAsia" w:ascii="宋体" w:hAnsi="宋体" w:eastAsia="宋体"/>
      <w:b/>
      <w:szCs w:val="20"/>
    </w:rPr>
  </w:style>
  <w:style w:type="character" w:customStyle="1" w:styleId="2833">
    <w:name w:val="Char Char42"/>
    <w:qFormat/>
    <w:uiPriority w:val="0"/>
    <w:rPr>
      <w:kern w:val="2"/>
      <w:sz w:val="24"/>
      <w:szCs w:val="24"/>
    </w:rPr>
  </w:style>
  <w:style w:type="character" w:customStyle="1" w:styleId="2834">
    <w:name w:val="消息标题号"/>
    <w:semiHidden/>
    <w:qFormat/>
    <w:uiPriority w:val="0"/>
    <w:rPr>
      <w:rFonts w:hint="default" w:ascii="Arial Black" w:hAnsi="Arial Black" w:eastAsia="黑体"/>
      <w:b/>
      <w:sz w:val="21"/>
      <w:lang w:eastAsia="zh-CN"/>
    </w:rPr>
  </w:style>
  <w:style w:type="character" w:customStyle="1" w:styleId="2835">
    <w:name w:val="p11"/>
    <w:qFormat/>
    <w:uiPriority w:val="0"/>
    <w:rPr>
      <w:rFonts w:hint="default" w:ascii="Verdana" w:hAnsi="Verdana"/>
      <w:color w:val="666666"/>
      <w:kern w:val="0"/>
      <w:sz w:val="18"/>
      <w:szCs w:val="18"/>
      <w:lang w:eastAsia="en-US"/>
    </w:rPr>
  </w:style>
  <w:style w:type="character" w:customStyle="1" w:styleId="2836">
    <w:name w:val="pt91"/>
    <w:qFormat/>
    <w:uiPriority w:val="0"/>
    <w:rPr>
      <w:rFonts w:hint="eastAsia" w:ascii="宋体" w:hAnsi="宋体" w:eastAsia="宋体"/>
      <w:color w:val="000000"/>
      <w:sz w:val="18"/>
      <w:szCs w:val="18"/>
      <w:u w:val="none"/>
    </w:rPr>
  </w:style>
  <w:style w:type="character" w:customStyle="1" w:styleId="2837">
    <w:name w:val="表格文字 Char Char Char Char"/>
    <w:qFormat/>
    <w:uiPriority w:val="0"/>
    <w:rPr>
      <w:rFonts w:hint="default" w:ascii="Verdana" w:hAnsi="Verdana" w:eastAsia="宋体"/>
      <w:kern w:val="0"/>
      <w:sz w:val="24"/>
      <w:szCs w:val="20"/>
      <w:lang w:val="en-US" w:eastAsia="zh-CN" w:bidi="ar-SA"/>
    </w:rPr>
  </w:style>
  <w:style w:type="character" w:customStyle="1" w:styleId="2838">
    <w:name w:val="style14"/>
    <w:basedOn w:val="133"/>
    <w:qFormat/>
    <w:uiPriority w:val="0"/>
  </w:style>
  <w:style w:type="character" w:customStyle="1" w:styleId="2839">
    <w:name w:val="textcontents"/>
    <w:qFormat/>
    <w:uiPriority w:val="0"/>
    <w:rPr>
      <w:rFonts w:hint="eastAsia" w:ascii="宋体" w:hAnsi="宋体" w:eastAsia="宋体"/>
      <w:b/>
      <w:szCs w:val="20"/>
    </w:rPr>
  </w:style>
  <w:style w:type="character" w:customStyle="1" w:styleId="2840">
    <w:name w:val="样式 正文文本正文文字 + 仿宋_GB2312 四号 红色 Char"/>
    <w:qFormat/>
    <w:uiPriority w:val="0"/>
    <w:rPr>
      <w:rFonts w:hint="eastAsia" w:ascii="华文仿宋" w:hAnsi="华文仿宋" w:eastAsia="华文仿宋"/>
      <w:snapToGrid/>
      <w:color w:val="FF0000"/>
      <w:kern w:val="2"/>
      <w:sz w:val="24"/>
      <w:lang w:val="en-US" w:eastAsia="zh-CN"/>
    </w:rPr>
  </w:style>
  <w:style w:type="character" w:customStyle="1" w:styleId="2841">
    <w:name w:val="标题 6，图标题 Char"/>
    <w:basedOn w:val="133"/>
    <w:qFormat/>
    <w:uiPriority w:val="0"/>
    <w:rPr>
      <w:rFonts w:hint="default" w:ascii="Arial" w:hAnsi="Arial" w:eastAsia="黑体" w:cs="Arial"/>
      <w:b/>
      <w:kern w:val="2"/>
      <w:sz w:val="21"/>
      <w:lang w:val="en-US" w:eastAsia="zh-CN" w:bidi="ar-SA"/>
    </w:rPr>
  </w:style>
  <w:style w:type="character" w:customStyle="1" w:styleId="2842">
    <w:name w:val="图表注 Char"/>
    <w:qFormat/>
    <w:uiPriority w:val="0"/>
    <w:rPr>
      <w:rFonts w:hint="eastAsia" w:ascii="宋体" w:hAnsi="Arial" w:eastAsia="宋体" w:cs="Arial"/>
      <w:kern w:val="2"/>
      <w:sz w:val="24"/>
      <w:szCs w:val="24"/>
      <w:lang w:val="en-US" w:eastAsia="zh-CN" w:bidi="ar-SA"/>
    </w:rPr>
  </w:style>
  <w:style w:type="character" w:customStyle="1" w:styleId="2843">
    <w:name w:val="样式 正文文字 + Char1"/>
    <w:qFormat/>
    <w:uiPriority w:val="0"/>
    <w:rPr>
      <w:rFonts w:hint="eastAsia" w:ascii="华文仿宋" w:hAnsi="华文仿宋" w:eastAsia="华文仿宋"/>
      <w:sz w:val="24"/>
      <w:lang w:val="en-US" w:eastAsia="zh-CN"/>
    </w:rPr>
  </w:style>
  <w:style w:type="character" w:customStyle="1" w:styleId="2844">
    <w:name w:val="td2"/>
    <w:basedOn w:val="133"/>
    <w:qFormat/>
    <w:uiPriority w:val="0"/>
  </w:style>
  <w:style w:type="character" w:customStyle="1" w:styleId="2845">
    <w:name w:val="un1"/>
    <w:qFormat/>
    <w:uiPriority w:val="0"/>
    <w:rPr>
      <w:rFonts w:hint="eastAsia" w:ascii="宋体" w:hAnsi="宋体" w:eastAsia="宋体"/>
      <w:spacing w:val="440"/>
      <w:kern w:val="2"/>
      <w:sz w:val="26"/>
      <w:szCs w:val="26"/>
      <w:lang w:val="en-US" w:eastAsia="zh-CN" w:bidi="ar-SA"/>
    </w:rPr>
  </w:style>
  <w:style w:type="character" w:customStyle="1" w:styleId="2846">
    <w:name w:val="批注文字 Char Char"/>
    <w:qFormat/>
    <w:uiPriority w:val="0"/>
    <w:rPr>
      <w:rFonts w:hint="eastAsia" w:ascii="华文中宋" w:hAnsi="华文中宋" w:eastAsia="FLGPEK+TimesNewRoman,Italic"/>
      <w:szCs w:val="22"/>
      <w:lang w:bidi="ar-SA"/>
    </w:rPr>
  </w:style>
  <w:style w:type="character" w:customStyle="1" w:styleId="2847">
    <w:name w:val="Char Char56"/>
    <w:qFormat/>
    <w:uiPriority w:val="0"/>
    <w:rPr>
      <w:rFonts w:hint="default" w:ascii="Arial" w:hAnsi="Arial" w:eastAsia="宋体" w:cs="Arial"/>
      <w:b/>
      <w:bCs/>
      <w:kern w:val="2"/>
      <w:sz w:val="30"/>
      <w:szCs w:val="32"/>
      <w:lang w:val="en-US" w:eastAsia="zh-CN" w:bidi="ar-SA"/>
    </w:rPr>
  </w:style>
  <w:style w:type="character" w:customStyle="1" w:styleId="2848">
    <w:name w:val="sbody1"/>
    <w:qFormat/>
    <w:uiPriority w:val="0"/>
    <w:rPr>
      <w:spacing w:val="360"/>
      <w:sz w:val="14"/>
      <w:szCs w:val="14"/>
    </w:rPr>
  </w:style>
  <w:style w:type="character" w:customStyle="1" w:styleId="2849">
    <w:name w:val="lh171"/>
    <w:qFormat/>
    <w:uiPriority w:val="0"/>
    <w:rPr>
      <w:rFonts w:hint="eastAsia" w:ascii="宋体" w:hAnsi="宋体" w:eastAsia="宋体"/>
      <w:b/>
      <w:szCs w:val="20"/>
    </w:rPr>
  </w:style>
  <w:style w:type="character" w:customStyle="1" w:styleId="2850">
    <w:name w:val="zhei1"/>
    <w:qFormat/>
    <w:uiPriority w:val="0"/>
    <w:rPr>
      <w:color w:val="4C4545"/>
      <w:sz w:val="28"/>
      <w:u w:val="none"/>
    </w:rPr>
  </w:style>
  <w:style w:type="character" w:customStyle="1" w:styleId="2851">
    <w:name w:val="r1"/>
    <w:qFormat/>
    <w:uiPriority w:val="0"/>
    <w:rPr>
      <w:spacing w:val="300"/>
      <w:sz w:val="20"/>
    </w:rPr>
  </w:style>
  <w:style w:type="character" w:customStyle="1" w:styleId="2852">
    <w:name w:val="正文样式 Char Char"/>
    <w:basedOn w:val="133"/>
    <w:qFormat/>
    <w:uiPriority w:val="0"/>
    <w:rPr>
      <w:rFonts w:hint="eastAsia" w:ascii="宋体" w:hAnsi="宋体" w:eastAsia="宋体"/>
      <w:color w:val="000000"/>
      <w:kern w:val="2"/>
      <w:sz w:val="24"/>
      <w:szCs w:val="24"/>
      <w:lang w:val="en-US" w:eastAsia="zh-CN" w:bidi="ar-SA"/>
    </w:rPr>
  </w:style>
  <w:style w:type="character" w:customStyle="1" w:styleId="2853">
    <w:name w:val="表头文字 Char1"/>
    <w:basedOn w:val="133"/>
    <w:qFormat/>
    <w:uiPriority w:val="0"/>
    <w:rPr>
      <w:rFonts w:hint="default" w:ascii="Times" w:hAnsi="Times" w:eastAsia="宋体" w:cs="Times"/>
      <w:b/>
      <w:bCs/>
      <w:kern w:val="2"/>
      <w:sz w:val="24"/>
      <w:szCs w:val="28"/>
      <w:lang w:val="en-US" w:eastAsia="zh-CN" w:bidi="ar-SA"/>
    </w:rPr>
  </w:style>
  <w:style w:type="character" w:customStyle="1" w:styleId="2854">
    <w:name w:val="text_l1"/>
    <w:qFormat/>
    <w:uiPriority w:val="0"/>
    <w:rPr>
      <w:color w:val="000066"/>
      <w:sz w:val="18"/>
      <w:szCs w:val="18"/>
    </w:rPr>
  </w:style>
  <w:style w:type="character" w:customStyle="1" w:styleId="2855">
    <w:name w:val="正文文本 3 Char2"/>
    <w:basedOn w:val="133"/>
    <w:qFormat/>
    <w:locked/>
    <w:uiPriority w:val="0"/>
    <w:rPr>
      <w:rFonts w:hint="eastAsia" w:ascii="宋体" w:hAnsi="宋体" w:eastAsia="宋体"/>
      <w:color w:val="000000"/>
      <w:sz w:val="21"/>
    </w:rPr>
  </w:style>
  <w:style w:type="character" w:customStyle="1" w:styleId="2856">
    <w:name w:val="tpc_content"/>
    <w:qFormat/>
    <w:uiPriority w:val="0"/>
    <w:rPr>
      <w:rFonts w:hint="eastAsia" w:ascii="宋体" w:hAnsi="宋体" w:eastAsia="宋体"/>
      <w:b/>
      <w:szCs w:val="20"/>
    </w:rPr>
  </w:style>
  <w:style w:type="character" w:customStyle="1" w:styleId="2857">
    <w:name w:val="Char Char9"/>
    <w:basedOn w:val="133"/>
    <w:semiHidden/>
    <w:qFormat/>
    <w:uiPriority w:val="0"/>
    <w:rPr>
      <w:rFonts w:hint="eastAsia" w:ascii="宋体" w:hAnsi="宋体" w:eastAsia="宋体"/>
      <w:kern w:val="2"/>
      <w:sz w:val="18"/>
      <w:szCs w:val="18"/>
      <w:lang w:val="en-US" w:eastAsia="zh-CN" w:bidi="ar-SA"/>
    </w:rPr>
  </w:style>
  <w:style w:type="character" w:customStyle="1" w:styleId="2858">
    <w:name w:val="Char Char50"/>
    <w:qFormat/>
    <w:uiPriority w:val="0"/>
    <w:rPr>
      <w:rFonts w:hint="default" w:ascii="Arial" w:hAnsi="Arial" w:eastAsia="宋体" w:cs="Arial"/>
      <w:b/>
      <w:i/>
      <w:sz w:val="18"/>
      <w:lang w:val="fr-FR" w:eastAsia="zh-CN" w:bidi="ar-SA"/>
    </w:rPr>
  </w:style>
  <w:style w:type="character" w:customStyle="1" w:styleId="2859">
    <w:name w:val="style11"/>
    <w:qFormat/>
    <w:uiPriority w:val="0"/>
    <w:rPr>
      <w:b/>
      <w:bCs/>
      <w:color w:val="3366CC"/>
      <w:sz w:val="24"/>
      <w:szCs w:val="24"/>
    </w:rPr>
  </w:style>
  <w:style w:type="character" w:customStyle="1" w:styleId="2860">
    <w:name w:val="text51"/>
    <w:qFormat/>
    <w:uiPriority w:val="0"/>
    <w:rPr>
      <w:rFonts w:hint="eastAsia" w:ascii="宋体" w:hAnsi="宋体" w:eastAsia="宋体" w:cs="FLGPEK+TimesNewRoman,Italic"/>
      <w:color w:val="auto"/>
      <w:sz w:val="24"/>
      <w:szCs w:val="18"/>
      <w:u w:val="none"/>
    </w:rPr>
  </w:style>
  <w:style w:type="character" w:customStyle="1" w:styleId="2861">
    <w:name w:val="样式6 Char Char"/>
    <w:basedOn w:val="133"/>
    <w:semiHidden/>
    <w:qFormat/>
    <w:uiPriority w:val="0"/>
    <w:rPr>
      <w:rFonts w:hint="eastAsia" w:ascii="宋体" w:hAnsi="宋体" w:eastAsia="宋体"/>
      <w:kern w:val="2"/>
      <w:sz w:val="24"/>
      <w:szCs w:val="24"/>
      <w:lang w:val="en-US" w:eastAsia="zh-CN" w:bidi="ar-SA"/>
    </w:rPr>
  </w:style>
  <w:style w:type="character" w:customStyle="1" w:styleId="2862">
    <w:name w:val="Body Text Indent 3 Char Char"/>
    <w:qFormat/>
    <w:uiPriority w:val="0"/>
    <w:rPr>
      <w:rFonts w:hint="eastAsia" w:ascii="宋体" w:hAnsi="宋体" w:eastAsia="宋体"/>
      <w:kern w:val="2"/>
      <w:sz w:val="16"/>
      <w:szCs w:val="16"/>
      <w:lang w:val="en-US" w:eastAsia="zh-CN" w:bidi="ar-SA"/>
    </w:rPr>
  </w:style>
  <w:style w:type="character" w:customStyle="1" w:styleId="2863">
    <w:name w:val="表格内容新 Char Char"/>
    <w:basedOn w:val="133"/>
    <w:qFormat/>
    <w:uiPriority w:val="0"/>
    <w:rPr>
      <w:rFonts w:hint="eastAsia" w:ascii="宋体" w:hAnsi="宋体" w:eastAsia="宋体" w:cs="宋体"/>
      <w:spacing w:val="-2"/>
      <w:kern w:val="2"/>
      <w:sz w:val="18"/>
      <w:szCs w:val="18"/>
      <w:lang w:val="en-US" w:eastAsia="zh-CN" w:bidi="ar-SA"/>
    </w:rPr>
  </w:style>
  <w:style w:type="character" w:customStyle="1" w:styleId="2864">
    <w:name w:val="Char Char18"/>
    <w:qFormat/>
    <w:locked/>
    <w:uiPriority w:val="0"/>
    <w:rPr>
      <w:rFonts w:hint="eastAsia" w:ascii="宋体" w:hAnsi="宋体" w:eastAsia="宋体"/>
      <w:b/>
      <w:kern w:val="2"/>
      <w:sz w:val="24"/>
      <w:lang w:val="en-US" w:eastAsia="zh-CN" w:bidi="ar-SA"/>
    </w:rPr>
  </w:style>
  <w:style w:type="character" w:customStyle="1" w:styleId="2865">
    <w:name w:val="text_he1"/>
    <w:qFormat/>
    <w:uiPriority w:val="0"/>
    <w:rPr>
      <w:sz w:val="24"/>
      <w:szCs w:val="24"/>
    </w:rPr>
  </w:style>
  <w:style w:type="character" w:customStyle="1" w:styleId="2866">
    <w:name w:val="正正文 Char Char"/>
    <w:basedOn w:val="133"/>
    <w:qFormat/>
    <w:uiPriority w:val="0"/>
    <w:rPr>
      <w:rFonts w:hint="eastAsia" w:ascii="仿宋_GB2312" w:eastAsia="仿宋_GB2312"/>
      <w:kern w:val="2"/>
      <w:sz w:val="24"/>
      <w:szCs w:val="24"/>
      <w:lang w:val="en-US" w:eastAsia="zh-CN" w:bidi="ar-SA"/>
    </w:rPr>
  </w:style>
  <w:style w:type="character" w:customStyle="1" w:styleId="2867">
    <w:name w:val="批注主题 Char2"/>
    <w:semiHidden/>
    <w:qFormat/>
    <w:locked/>
    <w:uiPriority w:val="0"/>
    <w:rPr>
      <w:b/>
      <w:bCs/>
      <w:kern w:val="2"/>
      <w:sz w:val="21"/>
    </w:rPr>
  </w:style>
  <w:style w:type="character" w:customStyle="1" w:styleId="2868">
    <w:name w:val="表头文字 Char"/>
    <w:basedOn w:val="133"/>
    <w:qFormat/>
    <w:uiPriority w:val="0"/>
    <w:rPr>
      <w:rFonts w:hint="eastAsia" w:ascii="宋体" w:hAnsi="宋体" w:eastAsia="宋体"/>
      <w:b/>
      <w:kern w:val="2"/>
      <w:sz w:val="28"/>
      <w:lang w:val="zh-CN" w:eastAsia="zh-CN" w:bidi="ar-SA"/>
    </w:rPr>
  </w:style>
  <w:style w:type="character" w:customStyle="1" w:styleId="2869">
    <w:name w:val="main1"/>
    <w:qFormat/>
    <w:uiPriority w:val="0"/>
    <w:rPr>
      <w:color w:val="0033CC"/>
      <w:spacing w:val="240"/>
      <w:sz w:val="18"/>
      <w:szCs w:val="18"/>
    </w:rPr>
  </w:style>
  <w:style w:type="character" w:customStyle="1" w:styleId="2870">
    <w:name w:val="heading1"/>
    <w:qFormat/>
    <w:uiPriority w:val="0"/>
    <w:rPr>
      <w:rFonts w:hint="default" w:ascii="ӗԲ" w:hAnsi="ӗԲ"/>
      <w:b/>
      <w:bCs/>
      <w:i/>
      <w:iCs/>
      <w:color w:val="000000"/>
      <w:sz w:val="32"/>
      <w:szCs w:val="32"/>
    </w:rPr>
  </w:style>
  <w:style w:type="character" w:customStyle="1" w:styleId="2871">
    <w:name w:val="nfont14black"/>
    <w:qFormat/>
    <w:uiPriority w:val="0"/>
    <w:rPr>
      <w:rFonts w:hint="eastAsia" w:ascii="宋体" w:hAnsi="宋体" w:eastAsia="宋体"/>
      <w:b/>
      <w:szCs w:val="20"/>
    </w:rPr>
  </w:style>
  <w:style w:type="character" w:customStyle="1" w:styleId="2872">
    <w:name w:val="p121"/>
    <w:qFormat/>
    <w:uiPriority w:val="0"/>
    <w:rPr>
      <w:rFonts w:hint="eastAsia" w:ascii="宋体" w:hAnsi="宋体" w:eastAsia="宋体"/>
      <w:kern w:val="2"/>
      <w:sz w:val="18"/>
      <w:szCs w:val="18"/>
      <w:lang w:val="en-US" w:eastAsia="zh-CN" w:bidi="ar-SA"/>
    </w:rPr>
  </w:style>
  <w:style w:type="character" w:customStyle="1" w:styleId="2873">
    <w:name w:val="Char Char82"/>
    <w:qFormat/>
    <w:uiPriority w:val="0"/>
    <w:rPr>
      <w:rFonts w:hint="eastAsia" w:ascii="SimSun-Identity-H" w:hAnsi="SimSun-Identity-H" w:eastAsia="ˎ̥"/>
      <w:kern w:val="2"/>
      <w:sz w:val="21"/>
      <w:szCs w:val="22"/>
      <w:lang w:val="en-US" w:eastAsia="zh-CN" w:bidi="ar-SA"/>
    </w:rPr>
  </w:style>
  <w:style w:type="character" w:customStyle="1" w:styleId="2874">
    <w:name w:val="正文文字 Char Char Char Char"/>
    <w:qFormat/>
    <w:uiPriority w:val="0"/>
    <w:rPr>
      <w:rFonts w:hint="eastAsia" w:ascii="宋体" w:hAnsi="宋体" w:eastAsia="宋体"/>
      <w:kern w:val="2"/>
      <w:sz w:val="18"/>
      <w:szCs w:val="24"/>
      <w:lang w:val="en-US" w:eastAsia="zh-CN" w:bidi="ar-SA"/>
    </w:rPr>
  </w:style>
  <w:style w:type="character" w:customStyle="1" w:styleId="2875">
    <w:name w:val="Char Char6"/>
    <w:qFormat/>
    <w:locked/>
    <w:uiPriority w:val="0"/>
    <w:rPr>
      <w:rFonts w:hint="eastAsia" w:ascii="宋体" w:hAnsi="宋体" w:eastAsia="宋体"/>
      <w:b/>
      <w:kern w:val="2"/>
      <w:sz w:val="30"/>
      <w:lang w:val="en-US" w:eastAsia="zh-CN" w:bidi="ar-SA"/>
    </w:rPr>
  </w:style>
  <w:style w:type="character" w:customStyle="1" w:styleId="2876">
    <w:name w:val="zt"/>
    <w:basedOn w:val="133"/>
    <w:semiHidden/>
    <w:qFormat/>
    <w:uiPriority w:val="0"/>
  </w:style>
  <w:style w:type="character" w:customStyle="1" w:styleId="2877">
    <w:name w:val="表格 Char Char Char"/>
    <w:qFormat/>
    <w:uiPriority w:val="0"/>
    <w:rPr>
      <w:rFonts w:hint="eastAsia" w:ascii="宋体" w:hAnsi="宋体" w:eastAsia="宋体"/>
      <w:sz w:val="21"/>
      <w:lang w:val="en-US" w:eastAsia="zh-CN"/>
    </w:rPr>
  </w:style>
  <w:style w:type="character" w:customStyle="1" w:styleId="2878">
    <w:name w:val="标1 Char"/>
    <w:basedOn w:val="133"/>
    <w:semiHidden/>
    <w:qFormat/>
    <w:uiPriority w:val="0"/>
    <w:rPr>
      <w:rFonts w:hint="eastAsia" w:ascii="黑体" w:hAnsi="Arial" w:eastAsia="黑体" w:cs="Arial"/>
      <w:color w:val="000000"/>
      <w:kern w:val="44"/>
      <w:sz w:val="28"/>
      <w:szCs w:val="28"/>
      <w:lang w:val="en-US" w:eastAsia="zh-CN" w:bidi="ar-SA"/>
    </w:rPr>
  </w:style>
  <w:style w:type="character" w:customStyle="1" w:styleId="2879">
    <w:name w:val="content3"/>
    <w:basedOn w:val="133"/>
    <w:qFormat/>
    <w:uiPriority w:val="0"/>
  </w:style>
  <w:style w:type="character" w:customStyle="1" w:styleId="2880">
    <w:name w:val="正文缩进1 Char Char"/>
    <w:qFormat/>
    <w:uiPriority w:val="0"/>
    <w:rPr>
      <w:rFonts w:hint="default" w:ascii="Verdana" w:hAnsi="Verdana" w:eastAsia="宋体"/>
      <w:kern w:val="2"/>
      <w:sz w:val="28"/>
      <w:szCs w:val="24"/>
      <w:lang w:val="en-US" w:eastAsia="zh-CN" w:bidi="ar-SA"/>
    </w:rPr>
  </w:style>
  <w:style w:type="character" w:customStyle="1" w:styleId="2881">
    <w:name w:val="Char Char71"/>
    <w:semiHidden/>
    <w:qFormat/>
    <w:uiPriority w:val="0"/>
    <w:rPr>
      <w:rFonts w:hint="default" w:ascii="Arial" w:hAnsi="Arial" w:eastAsia="宋体" w:cs="Arial"/>
      <w:b/>
      <w:bCs/>
      <w:kern w:val="2"/>
      <w:sz w:val="24"/>
      <w:szCs w:val="24"/>
      <w:lang w:val="en-US" w:eastAsia="zh-CN" w:bidi="ar-SA"/>
    </w:rPr>
  </w:style>
  <w:style w:type="character" w:customStyle="1" w:styleId="2882">
    <w:name w:val="zytxtzy1"/>
    <w:basedOn w:val="133"/>
    <w:semiHidden/>
    <w:qFormat/>
    <w:uiPriority w:val="0"/>
    <w:rPr>
      <w:color w:val="003399"/>
      <w:spacing w:val="360"/>
      <w:sz w:val="18"/>
      <w:szCs w:val="18"/>
      <w:u w:val="none"/>
    </w:rPr>
  </w:style>
  <w:style w:type="character" w:customStyle="1" w:styleId="2883">
    <w:name w:val="tit02"/>
    <w:basedOn w:val="133"/>
    <w:qFormat/>
    <w:uiPriority w:val="0"/>
  </w:style>
  <w:style w:type="character" w:customStyle="1" w:styleId="2884">
    <w:name w:val="text_edit editable-title"/>
    <w:qFormat/>
    <w:uiPriority w:val="0"/>
    <w:rPr>
      <w:rFonts w:hint="eastAsia" w:ascii="FLGPEK+TimesNewRoman,Italic" w:hAnsi="FLGPEK+TimesNewRoman,Italic" w:eastAsia="FLGPEK+TimesNewRoman,Italic" w:cs="FLGPEK+TimesNewRoman,Italic"/>
      <w:sz w:val="24"/>
      <w:szCs w:val="24"/>
    </w:rPr>
  </w:style>
  <w:style w:type="character" w:customStyle="1" w:styleId="2885">
    <w:name w:val="样式3 Char Char"/>
    <w:basedOn w:val="2605"/>
    <w:qFormat/>
    <w:uiPriority w:val="0"/>
    <w:rPr>
      <w:sz w:val="21"/>
      <w:szCs w:val="24"/>
      <w:lang w:val="en-US"/>
    </w:rPr>
  </w:style>
  <w:style w:type="character" w:customStyle="1" w:styleId="2886">
    <w:name w:val="页脚 Char3"/>
    <w:qFormat/>
    <w:uiPriority w:val="0"/>
    <w:rPr>
      <w:sz w:val="18"/>
      <w:szCs w:val="18"/>
    </w:rPr>
  </w:style>
  <w:style w:type="character" w:customStyle="1" w:styleId="2887">
    <w:name w:val="红正文 Char"/>
    <w:qFormat/>
    <w:uiPriority w:val="0"/>
    <w:rPr>
      <w:rFonts w:hint="eastAsia" w:ascii="新宋体" w:hAnsi="新宋体" w:eastAsia="新宋体" w:cs="宋体"/>
      <w:kern w:val="2"/>
      <w:sz w:val="24"/>
      <w:szCs w:val="28"/>
      <w:lang w:val="en-US" w:eastAsia="zh-CN" w:bidi="ar-SA"/>
    </w:rPr>
  </w:style>
  <w:style w:type="character" w:customStyle="1" w:styleId="2888">
    <w:name w:val="正式 Char"/>
    <w:basedOn w:val="133"/>
    <w:semiHidden/>
    <w:qFormat/>
    <w:uiPriority w:val="0"/>
    <w:rPr>
      <w:rFonts w:hint="eastAsia" w:ascii="宋体" w:hAnsi="宋体" w:eastAsia="宋体"/>
      <w:kern w:val="2"/>
      <w:sz w:val="24"/>
      <w:szCs w:val="24"/>
      <w:lang w:val="en-US" w:eastAsia="zh-CN" w:bidi="ar-SA"/>
    </w:rPr>
  </w:style>
  <w:style w:type="character" w:customStyle="1" w:styleId="2889">
    <w:name w:val="新正文 Char Char"/>
    <w:basedOn w:val="133"/>
    <w:qFormat/>
    <w:uiPriority w:val="0"/>
    <w:rPr>
      <w:rFonts w:hint="eastAsia" w:ascii="宋体" w:hAnsi="宋体" w:eastAsia="宋体"/>
      <w:kern w:val="2"/>
      <w:sz w:val="24"/>
      <w:szCs w:val="24"/>
      <w:lang w:val="en-US" w:eastAsia="zh-CN" w:bidi="ar-SA"/>
    </w:rPr>
  </w:style>
  <w:style w:type="character" w:customStyle="1" w:styleId="2890">
    <w:name w:val="1.1标题 3 Char"/>
    <w:basedOn w:val="133"/>
    <w:semiHidden/>
    <w:qFormat/>
    <w:uiPriority w:val="0"/>
    <w:rPr>
      <w:rFonts w:hint="eastAsia" w:ascii="黑体" w:hAnsi="黑体" w:eastAsia="黑体"/>
      <w:b/>
      <w:bCs/>
      <w:kern w:val="2"/>
      <w:sz w:val="24"/>
      <w:szCs w:val="32"/>
      <w:lang w:val="en-US" w:eastAsia="zh-CN" w:bidi="ar-SA"/>
    </w:rPr>
  </w:style>
  <w:style w:type="character" w:customStyle="1" w:styleId="2891">
    <w:name w:val="font01"/>
    <w:qFormat/>
    <w:uiPriority w:val="0"/>
    <w:rPr>
      <w:rFonts w:hint="eastAsia" w:ascii="宋体" w:hAnsi="宋体" w:eastAsia="宋体"/>
      <w:color w:val="000000"/>
      <w:sz w:val="24"/>
      <w:szCs w:val="24"/>
      <w:u w:val="none"/>
    </w:rPr>
  </w:style>
  <w:style w:type="character" w:customStyle="1" w:styleId="2892">
    <w:name w:val="表格内容 Char1"/>
    <w:qFormat/>
    <w:uiPriority w:val="0"/>
    <w:rPr>
      <w:rFonts w:hint="eastAsia" w:ascii="宋体" w:hAnsi="宋体" w:eastAsia="宋体"/>
      <w:kern w:val="2"/>
      <w:sz w:val="21"/>
      <w:szCs w:val="24"/>
      <w:lang w:val="en-US" w:eastAsia="zh-CN" w:bidi="ar-SA"/>
    </w:rPr>
  </w:style>
  <w:style w:type="character" w:customStyle="1" w:styleId="2893">
    <w:name w:val="样式 正文文本缩进 2正文文字缩进 2 + 四号 蓝色 Char Char Char"/>
    <w:qFormat/>
    <w:uiPriority w:val="0"/>
    <w:rPr>
      <w:rFonts w:hint="eastAsia" w:ascii="宋体" w:hAnsi="宋体" w:eastAsia="宋体"/>
      <w:color w:val="0000FF"/>
      <w:sz w:val="24"/>
      <w:szCs w:val="24"/>
      <w:lang w:val="en-US" w:eastAsia="zh-CN" w:bidi="ar-SA"/>
    </w:rPr>
  </w:style>
  <w:style w:type="character" w:customStyle="1" w:styleId="2894">
    <w:name w:val="a121"/>
    <w:qFormat/>
    <w:uiPriority w:val="0"/>
    <w:rPr>
      <w:rFonts w:hint="default" w:ascii="ˎ̥" w:hAnsi="ˎ̥"/>
      <w:color w:val="004891"/>
      <w:sz w:val="18"/>
      <w:szCs w:val="18"/>
      <w:u w:val="none"/>
    </w:rPr>
  </w:style>
  <w:style w:type="character" w:customStyle="1" w:styleId="2895">
    <w:name w:val="正文首行缩进 Char1"/>
    <w:qFormat/>
    <w:uiPriority w:val="0"/>
    <w:rPr>
      <w:rFonts w:hint="eastAsia" w:ascii="宋体" w:hAnsi="宋体" w:eastAsia="宋体"/>
      <w:kern w:val="28"/>
      <w:sz w:val="28"/>
      <w:lang w:val="en-US" w:eastAsia="zh-CN" w:bidi="ar-SA"/>
    </w:rPr>
  </w:style>
  <w:style w:type="character" w:customStyle="1" w:styleId="2896">
    <w:name w:val="珠江啤酒正文 Char Char Char"/>
    <w:qFormat/>
    <w:uiPriority w:val="0"/>
    <w:rPr>
      <w:sz w:val="24"/>
      <w:lang w:bidi="ar-SA"/>
    </w:rPr>
  </w:style>
  <w:style w:type="character" w:customStyle="1" w:styleId="2897">
    <w:name w:val="Char Char52"/>
    <w:qFormat/>
    <w:uiPriority w:val="0"/>
    <w:rPr>
      <w:rFonts w:hint="default" w:ascii="Arial" w:hAnsi="Arial" w:eastAsia="宋体" w:cs="Arial"/>
      <w:lang w:val="fr-FR" w:eastAsia="zh-CN" w:bidi="ar-SA"/>
    </w:rPr>
  </w:style>
  <w:style w:type="character" w:customStyle="1" w:styleId="2898">
    <w:name w:val="px14"/>
    <w:basedOn w:val="133"/>
    <w:semiHidden/>
    <w:qFormat/>
    <w:uiPriority w:val="0"/>
  </w:style>
  <w:style w:type="character" w:customStyle="1" w:styleId="2899">
    <w:name w:val="font9black"/>
    <w:qFormat/>
    <w:uiPriority w:val="0"/>
    <w:rPr>
      <w:rFonts w:hint="eastAsia" w:ascii="宋体" w:hAnsi="宋体" w:eastAsia="宋体"/>
      <w:b/>
      <w:szCs w:val="20"/>
    </w:rPr>
  </w:style>
  <w:style w:type="character" w:customStyle="1" w:styleId="2900">
    <w:name w:val="Char Char10"/>
    <w:qFormat/>
    <w:uiPriority w:val="0"/>
    <w:rPr>
      <w:rFonts w:hint="eastAsia" w:ascii="黑体" w:hAnsi="黑体" w:eastAsia="黑体"/>
      <w:kern w:val="2"/>
      <w:sz w:val="24"/>
      <w:lang w:val="en-US" w:eastAsia="zh-CN"/>
    </w:rPr>
  </w:style>
  <w:style w:type="character" w:customStyle="1" w:styleId="2901">
    <w:name w:val="标题 内蒙3 Char Char"/>
    <w:basedOn w:val="133"/>
    <w:semiHidden/>
    <w:qFormat/>
    <w:uiPriority w:val="0"/>
    <w:rPr>
      <w:rFonts w:hint="eastAsia" w:ascii="黑体" w:hAnsi="黑体" w:eastAsia="黑体"/>
      <w:b/>
      <w:bCs/>
      <w:kern w:val="2"/>
      <w:sz w:val="24"/>
      <w:szCs w:val="32"/>
      <w:lang w:val="en-US" w:eastAsia="zh-CN" w:bidi="ar-SA"/>
    </w:rPr>
  </w:style>
  <w:style w:type="character" w:customStyle="1" w:styleId="2902">
    <w:name w:val="标题 5 Char1"/>
    <w:qFormat/>
    <w:uiPriority w:val="0"/>
    <w:rPr>
      <w:rFonts w:hint="eastAsia" w:ascii="宋体" w:hAnsi="宋体" w:eastAsia="宋体"/>
      <w:b/>
      <w:kern w:val="2"/>
      <w:sz w:val="28"/>
      <w:lang w:val="en-US" w:eastAsia="zh-CN" w:bidi="ar-SA"/>
    </w:rPr>
  </w:style>
  <w:style w:type="character" w:customStyle="1" w:styleId="2903">
    <w:name w:val="表格内容 Char Char"/>
    <w:link w:val="2904"/>
    <w:qFormat/>
    <w:uiPriority w:val="0"/>
    <w:rPr>
      <w:bCs/>
      <w:kern w:val="44"/>
      <w:sz w:val="21"/>
      <w:szCs w:val="21"/>
    </w:rPr>
  </w:style>
  <w:style w:type="paragraph" w:customStyle="1" w:styleId="2904">
    <w:name w:val="表格内容"/>
    <w:basedOn w:val="1"/>
    <w:link w:val="2903"/>
    <w:qFormat/>
    <w:uiPriority w:val="0"/>
    <w:pPr>
      <w:overflowPunct w:val="0"/>
      <w:adjustRightInd w:val="0"/>
      <w:spacing w:beforeLines="20" w:afterLines="20" w:line="200" w:lineRule="atLeast"/>
      <w:ind w:firstLine="0" w:firstLineChars="0"/>
      <w:jc w:val="center"/>
    </w:pPr>
    <w:rPr>
      <w:rFonts w:asciiTheme="minorHAnsi" w:hAnsiTheme="minorHAnsi" w:eastAsiaTheme="minorEastAsia"/>
      <w:bCs/>
      <w:kern w:val="44"/>
      <w:sz w:val="21"/>
    </w:rPr>
  </w:style>
  <w:style w:type="character" w:customStyle="1" w:styleId="2905">
    <w:name w:val="表格右"/>
    <w:basedOn w:val="133"/>
    <w:semiHidden/>
    <w:qFormat/>
    <w:uiPriority w:val="0"/>
    <w:rPr>
      <w:rFonts w:hint="eastAsia" w:ascii="宋体" w:hAnsi="宋体" w:eastAsia="宋体"/>
      <w:color w:val="000080"/>
      <w:kern w:val="2"/>
      <w:sz w:val="18"/>
      <w:szCs w:val="24"/>
      <w:lang w:val="en-US" w:eastAsia="zh-CN"/>
    </w:rPr>
  </w:style>
  <w:style w:type="character" w:customStyle="1" w:styleId="2906">
    <w:name w:val="Char Char182"/>
    <w:qFormat/>
    <w:uiPriority w:val="0"/>
    <w:rPr>
      <w:rFonts w:hint="default" w:ascii="ˎ̥" w:hAnsi="ˎ̥" w:eastAsia="ˎ̥"/>
      <w:b/>
      <w:kern w:val="2"/>
      <w:sz w:val="24"/>
      <w:lang w:val="en-US" w:eastAsia="zh-CN" w:bidi="ar-SA"/>
    </w:rPr>
  </w:style>
  <w:style w:type="character" w:customStyle="1" w:styleId="2907">
    <w:name w:val="表头 Char Char"/>
    <w:basedOn w:val="133"/>
    <w:semiHidden/>
    <w:qFormat/>
    <w:uiPriority w:val="0"/>
    <w:rPr>
      <w:rFonts w:hint="eastAsia" w:ascii="宋体" w:hAnsi="宋体" w:eastAsia="宋体" w:cs="宋体"/>
      <w:b/>
      <w:bCs/>
      <w:sz w:val="24"/>
      <w:szCs w:val="24"/>
      <w:lang w:val="en-US" w:eastAsia="zh-CN" w:bidi="ar-SA"/>
    </w:rPr>
  </w:style>
  <w:style w:type="character" w:customStyle="1" w:styleId="2908">
    <w:name w:val="新正文付 Char Char"/>
    <w:basedOn w:val="2889"/>
    <w:qFormat/>
    <w:uiPriority w:val="0"/>
    <w:rPr>
      <w:color w:val="000000"/>
    </w:rPr>
  </w:style>
  <w:style w:type="character" w:customStyle="1" w:styleId="2909">
    <w:name w:val="Char Char39"/>
    <w:qFormat/>
    <w:uiPriority w:val="0"/>
    <w:rPr>
      <w:rFonts w:hint="default" w:ascii="Arial" w:hAnsi="Arial" w:cs="Arial"/>
      <w:kern w:val="2"/>
    </w:rPr>
  </w:style>
  <w:style w:type="character" w:customStyle="1" w:styleId="2910">
    <w:name w:val="xl35 Char Char"/>
    <w:qFormat/>
    <w:uiPriority w:val="0"/>
    <w:rPr>
      <w:rFonts w:hint="eastAsia" w:ascii="Arial Unicode MS" w:hAnsi="Arial Unicode MS" w:eastAsia="Arial Unicode MS" w:cs="Arial Unicode MS"/>
      <w:sz w:val="24"/>
    </w:rPr>
  </w:style>
  <w:style w:type="character" w:customStyle="1" w:styleId="2911">
    <w:name w:val="正文-自建 Char Char"/>
    <w:qFormat/>
    <w:uiPriority w:val="0"/>
    <w:rPr>
      <w:sz w:val="28"/>
      <w:lang w:bidi="ar-SA"/>
    </w:rPr>
  </w:style>
  <w:style w:type="character" w:customStyle="1" w:styleId="2912">
    <w:name w:val="fliesstext1"/>
    <w:qFormat/>
    <w:uiPriority w:val="0"/>
    <w:rPr>
      <w:rFonts w:hint="default" w:ascii="Arial" w:hAnsi="Arial" w:cs="Arial"/>
      <w:color w:val="000000"/>
      <w:sz w:val="18"/>
      <w:szCs w:val="18"/>
    </w:rPr>
  </w:style>
  <w:style w:type="character" w:customStyle="1" w:styleId="2913">
    <w:name w:val="unnamed11"/>
    <w:basedOn w:val="133"/>
    <w:semiHidden/>
    <w:qFormat/>
    <w:uiPriority w:val="0"/>
    <w:rPr>
      <w:rFonts w:hint="eastAsia" w:ascii="宋体" w:hAnsi="宋体" w:eastAsia="宋体"/>
      <w:spacing w:val="330"/>
      <w:sz w:val="21"/>
      <w:szCs w:val="21"/>
    </w:rPr>
  </w:style>
  <w:style w:type="character" w:customStyle="1" w:styleId="2914">
    <w:name w:val="type1"/>
    <w:basedOn w:val="133"/>
    <w:semiHidden/>
    <w:qFormat/>
    <w:uiPriority w:val="0"/>
    <w:rPr>
      <w:b/>
      <w:bCs/>
      <w:color w:val="223973"/>
    </w:rPr>
  </w:style>
  <w:style w:type="character" w:customStyle="1" w:styleId="2915">
    <w:name w:val="正文文字缩进 3 Char Char2"/>
    <w:qFormat/>
    <w:uiPriority w:val="0"/>
    <w:rPr>
      <w:rFonts w:hint="default" w:ascii="Times New Roman" w:hAnsi="Times New Roman" w:cs="Times New Roman"/>
      <w:kern w:val="2"/>
      <w:sz w:val="28"/>
    </w:rPr>
  </w:style>
  <w:style w:type="character" w:customStyle="1" w:styleId="2916">
    <w:name w:val="标题 2 Char Char Char Char Char Char Char Char Char Char Char Char Char Char Char Char Char Char Char"/>
    <w:qFormat/>
    <w:uiPriority w:val="0"/>
    <w:rPr>
      <w:rFonts w:hint="default" w:ascii="Arial" w:hAnsi="Arial" w:eastAsia="黑体" w:cs="Arial"/>
      <w:b/>
      <w:kern w:val="2"/>
      <w:sz w:val="32"/>
      <w:lang w:val="en-US" w:eastAsia="zh-CN"/>
    </w:rPr>
  </w:style>
  <w:style w:type="character" w:customStyle="1" w:styleId="2917">
    <w:name w:val="articlebody"/>
    <w:qFormat/>
    <w:uiPriority w:val="0"/>
    <w:rPr>
      <w:rFonts w:hint="eastAsia" w:ascii="宋体" w:hAnsi="宋体" w:eastAsia="宋体"/>
      <w:kern w:val="2"/>
      <w:sz w:val="30"/>
      <w:szCs w:val="24"/>
      <w:lang w:val="en-US" w:eastAsia="zh-CN" w:bidi="ar-SA"/>
    </w:rPr>
  </w:style>
  <w:style w:type="character" w:customStyle="1" w:styleId="2918">
    <w:name w:val="文本 Char Char"/>
    <w:qFormat/>
    <w:uiPriority w:val="0"/>
    <w:rPr>
      <w:rFonts w:hint="eastAsia" w:ascii="宋体" w:hAnsi="宋体" w:eastAsia="宋体" w:cs="宋体"/>
      <w:spacing w:val="-10"/>
      <w:sz w:val="24"/>
      <w:lang w:val="en-GB"/>
    </w:rPr>
  </w:style>
  <w:style w:type="character" w:customStyle="1" w:styleId="2919">
    <w:name w:val="文档结构图 Char Char"/>
    <w:basedOn w:val="133"/>
    <w:qFormat/>
    <w:uiPriority w:val="0"/>
    <w:rPr>
      <w:rFonts w:hint="eastAsia" w:ascii="宋体" w:hAnsi="宋体" w:eastAsia="宋体"/>
      <w:kern w:val="2"/>
      <w:sz w:val="21"/>
      <w:szCs w:val="24"/>
      <w:lang w:val="en-US" w:eastAsia="zh-CN" w:bidi="ar-SA"/>
    </w:rPr>
  </w:style>
  <w:style w:type="character" w:customStyle="1" w:styleId="2920">
    <w:name w:val="f241"/>
    <w:qFormat/>
    <w:uiPriority w:val="0"/>
    <w:rPr>
      <w:sz w:val="36"/>
      <w:szCs w:val="36"/>
    </w:rPr>
  </w:style>
  <w:style w:type="character" w:customStyle="1" w:styleId="2921">
    <w:name w:val="表头 Char Char Char Char"/>
    <w:qFormat/>
    <w:uiPriority w:val="0"/>
    <w:rPr>
      <w:rFonts w:hint="eastAsia" w:ascii="黑体" w:hAnsi="黑体" w:eastAsia="黑体"/>
      <w:kern w:val="2"/>
      <w:sz w:val="25"/>
      <w:lang w:val="en-US" w:eastAsia="zh-CN"/>
    </w:rPr>
  </w:style>
  <w:style w:type="character" w:customStyle="1" w:styleId="2922">
    <w:name w:val="linkred02 m0"/>
    <w:qFormat/>
    <w:uiPriority w:val="0"/>
    <w:rPr>
      <w:rFonts w:hint="eastAsia" w:ascii="宋体" w:hAnsi="宋体" w:eastAsia="宋体"/>
      <w:b/>
      <w:szCs w:val="20"/>
    </w:rPr>
  </w:style>
  <w:style w:type="character" w:customStyle="1" w:styleId="2923">
    <w:name w:val="word1"/>
    <w:qFormat/>
    <w:uiPriority w:val="0"/>
    <w:rPr>
      <w:rFonts w:hint="eastAsia" w:ascii="宋体" w:hAnsi="宋体" w:eastAsia="宋体"/>
      <w:b/>
      <w:szCs w:val="20"/>
    </w:rPr>
  </w:style>
  <w:style w:type="character" w:customStyle="1" w:styleId="2924">
    <w:name w:val="正文缩进 Char Char"/>
    <w:qFormat/>
    <w:uiPriority w:val="0"/>
    <w:rPr>
      <w:rFonts w:hint="eastAsia" w:ascii="宋体" w:hAnsi="宋体" w:eastAsia="宋体"/>
      <w:kern w:val="2"/>
      <w:sz w:val="24"/>
      <w:lang w:val="en-US" w:eastAsia="zh-CN"/>
    </w:rPr>
  </w:style>
  <w:style w:type="character" w:customStyle="1" w:styleId="2925">
    <w:name w:val="页码2"/>
    <w:basedOn w:val="133"/>
    <w:qFormat/>
    <w:uiPriority w:val="0"/>
  </w:style>
  <w:style w:type="character" w:customStyle="1" w:styleId="2926">
    <w:name w:val="content_size_131"/>
    <w:basedOn w:val="133"/>
    <w:semiHidden/>
    <w:qFormat/>
    <w:uiPriority w:val="0"/>
    <w:rPr>
      <w:rFonts w:hint="eastAsia" w:ascii="宋体" w:hAnsi="宋体" w:eastAsia="宋体" w:cs="宋体"/>
      <w:kern w:val="2"/>
      <w:sz w:val="20"/>
      <w:szCs w:val="20"/>
      <w:lang w:val="en-US" w:eastAsia="zh-CN" w:bidi="ar-SA"/>
    </w:rPr>
  </w:style>
  <w:style w:type="character" w:customStyle="1" w:styleId="2927">
    <w:name w:val="kait"/>
    <w:basedOn w:val="133"/>
    <w:qFormat/>
    <w:uiPriority w:val="0"/>
  </w:style>
  <w:style w:type="character" w:customStyle="1" w:styleId="2928">
    <w:name w:val="content1"/>
    <w:basedOn w:val="133"/>
    <w:semiHidden/>
    <w:qFormat/>
    <w:uiPriority w:val="0"/>
    <w:rPr>
      <w:rFonts w:hint="default" w:ascii="ˎ̥" w:hAnsi="ˎ̥"/>
      <w:color w:val="000000"/>
      <w:sz w:val="18"/>
      <w:szCs w:val="18"/>
      <w:u w:val="none"/>
    </w:rPr>
  </w:style>
  <w:style w:type="character" w:customStyle="1" w:styleId="2929">
    <w:name w:val="title-blue1"/>
    <w:qFormat/>
    <w:uiPriority w:val="0"/>
    <w:rPr>
      <w:b/>
      <w:bCs/>
      <w:color w:val="CC3300"/>
      <w:sz w:val="21"/>
      <w:szCs w:val="21"/>
      <w:u w:val="none"/>
    </w:rPr>
  </w:style>
  <w:style w:type="character" w:customStyle="1" w:styleId="2930">
    <w:name w:val="title162"/>
    <w:basedOn w:val="133"/>
    <w:semiHidden/>
    <w:qFormat/>
    <w:uiPriority w:val="0"/>
    <w:rPr>
      <w:b/>
      <w:bCs/>
      <w:sz w:val="30"/>
      <w:szCs w:val="30"/>
    </w:rPr>
  </w:style>
  <w:style w:type="character" w:customStyle="1" w:styleId="2931">
    <w:name w:val="标题 9 Char Char"/>
    <w:qFormat/>
    <w:uiPriority w:val="0"/>
    <w:rPr>
      <w:rFonts w:hint="default" w:ascii="Arial" w:hAnsi="Arial" w:eastAsia="黑体" w:cs="Arial"/>
      <w:color w:val="000000"/>
      <w:kern w:val="24"/>
      <w:sz w:val="30"/>
      <w:lang w:val="en-US" w:eastAsia="zh-CN"/>
    </w:rPr>
  </w:style>
  <w:style w:type="character" w:customStyle="1" w:styleId="2932">
    <w:name w:val="unnamed21"/>
    <w:basedOn w:val="133"/>
    <w:semiHidden/>
    <w:qFormat/>
    <w:uiPriority w:val="0"/>
    <w:rPr>
      <w:color w:val="FFFFFF"/>
      <w:sz w:val="20"/>
      <w:szCs w:val="20"/>
    </w:rPr>
  </w:style>
  <w:style w:type="character" w:customStyle="1" w:styleId="2933">
    <w:name w:val="dxj正文 Char Char"/>
    <w:qFormat/>
    <w:uiPriority w:val="0"/>
    <w:rPr>
      <w:sz w:val="24"/>
      <w:szCs w:val="24"/>
      <w:lang w:bidi="ar-SA"/>
    </w:rPr>
  </w:style>
  <w:style w:type="character" w:customStyle="1" w:styleId="2934">
    <w:name w:val="注释标题 Char1"/>
    <w:basedOn w:val="133"/>
    <w:semiHidden/>
    <w:qFormat/>
    <w:locked/>
    <w:uiPriority w:val="0"/>
    <w:rPr>
      <w:kern w:val="2"/>
      <w:sz w:val="21"/>
      <w:szCs w:val="24"/>
    </w:rPr>
  </w:style>
  <w:style w:type="character" w:customStyle="1" w:styleId="2935">
    <w:name w:val="news_c_da1"/>
    <w:basedOn w:val="133"/>
    <w:semiHidden/>
    <w:qFormat/>
    <w:uiPriority w:val="0"/>
    <w:rPr>
      <w:rFonts w:hint="default" w:ascii="ˎ̥" w:hAnsi="ˎ̥" w:eastAsia="ˎ̥"/>
      <w:b/>
      <w:bCs/>
      <w:color w:val="000000"/>
      <w:sz w:val="24"/>
      <w:szCs w:val="24"/>
    </w:rPr>
  </w:style>
  <w:style w:type="character" w:customStyle="1" w:styleId="2936">
    <w:name w:val="large"/>
    <w:qFormat/>
    <w:uiPriority w:val="0"/>
    <w:rPr>
      <w:rFonts w:hint="eastAsia" w:ascii="宋体" w:hAnsi="宋体" w:eastAsia="宋体"/>
      <w:b/>
      <w:szCs w:val="20"/>
    </w:rPr>
  </w:style>
  <w:style w:type="character" w:customStyle="1" w:styleId="2937">
    <w:name w:val="通用正文 Char Char Char"/>
    <w:qFormat/>
    <w:uiPriority w:val="0"/>
    <w:rPr>
      <w:rFonts w:hint="eastAsia" w:ascii="新宋体" w:hAnsi="新宋体" w:eastAsia="新宋体"/>
      <w:kern w:val="2"/>
      <w:sz w:val="24"/>
      <w:szCs w:val="24"/>
      <w:lang w:val="en-US" w:eastAsia="zh-CN" w:bidi="ar-SA"/>
    </w:rPr>
  </w:style>
  <w:style w:type="character" w:customStyle="1" w:styleId="2938">
    <w:name w:val="干标题(a) Char"/>
    <w:basedOn w:val="133"/>
    <w:qFormat/>
    <w:uiPriority w:val="0"/>
    <w:rPr>
      <w:rFonts w:hint="default" w:ascii="Arial" w:hAnsi="Arial" w:eastAsia="黑体" w:cs="Arial"/>
      <w:sz w:val="21"/>
      <w:lang w:val="en-US" w:eastAsia="zh-CN" w:bidi="ar-SA"/>
    </w:rPr>
  </w:style>
  <w:style w:type="character" w:customStyle="1" w:styleId="2939">
    <w:name w:val="表格正文 Char Char"/>
    <w:qFormat/>
    <w:uiPriority w:val="0"/>
    <w:rPr>
      <w:kern w:val="2"/>
      <w:sz w:val="24"/>
    </w:rPr>
  </w:style>
  <w:style w:type="character" w:customStyle="1" w:styleId="2940">
    <w:name w:val="样式 标题 1 + 非加宽量 / 紧缩量 Char Char"/>
    <w:qFormat/>
    <w:uiPriority w:val="0"/>
    <w:rPr>
      <w:rFonts w:hint="default" w:ascii="Verdana" w:hAnsi="Verdana" w:eastAsia="黑体"/>
      <w:b/>
      <w:bCs/>
      <w:kern w:val="44"/>
      <w:sz w:val="28"/>
      <w:szCs w:val="28"/>
    </w:rPr>
  </w:style>
  <w:style w:type="character" w:customStyle="1" w:styleId="2941">
    <w:name w:val="正文格式 Char Char"/>
    <w:qFormat/>
    <w:uiPriority w:val="0"/>
    <w:rPr>
      <w:rFonts w:hint="eastAsia" w:ascii="宋体" w:hAnsi="宋体" w:eastAsia="宋体" w:cs="宋体"/>
      <w:kern w:val="2"/>
      <w:sz w:val="24"/>
      <w:szCs w:val="24"/>
    </w:rPr>
  </w:style>
  <w:style w:type="character" w:customStyle="1" w:styleId="2942">
    <w:name w:val="正文文本缩进 3 Char2"/>
    <w:basedOn w:val="133"/>
    <w:qFormat/>
    <w:locked/>
    <w:uiPriority w:val="0"/>
    <w:rPr>
      <w:kern w:val="2"/>
      <w:sz w:val="16"/>
    </w:rPr>
  </w:style>
  <w:style w:type="character" w:customStyle="1" w:styleId="2943">
    <w:name w:val="Char Char92"/>
    <w:qFormat/>
    <w:uiPriority w:val="0"/>
    <w:rPr>
      <w:rFonts w:hint="default" w:ascii="ˎ̥" w:hAnsi="Batang" w:eastAsia="ˎ̥"/>
      <w:sz w:val="18"/>
    </w:rPr>
  </w:style>
  <w:style w:type="character" w:customStyle="1" w:styleId="2944">
    <w:name w:val="title1"/>
    <w:basedOn w:val="133"/>
    <w:semiHidden/>
    <w:qFormat/>
    <w:uiPriority w:val="0"/>
    <w:rPr>
      <w:color w:val="000000"/>
    </w:rPr>
  </w:style>
  <w:style w:type="character" w:customStyle="1" w:styleId="2945">
    <w:name w:val="a10"/>
    <w:basedOn w:val="133"/>
    <w:semiHidden/>
    <w:qFormat/>
    <w:uiPriority w:val="0"/>
  </w:style>
  <w:style w:type="character" w:customStyle="1" w:styleId="2946">
    <w:name w:val="line31"/>
    <w:basedOn w:val="133"/>
    <w:semiHidden/>
    <w:qFormat/>
    <w:uiPriority w:val="0"/>
    <w:rPr>
      <w:color w:val="993333"/>
    </w:rPr>
  </w:style>
  <w:style w:type="character" w:customStyle="1" w:styleId="2947">
    <w:name w:val="图名 Char Char"/>
    <w:qFormat/>
    <w:uiPriority w:val="0"/>
    <w:rPr>
      <w:b/>
      <w:sz w:val="24"/>
      <w:szCs w:val="24"/>
    </w:rPr>
  </w:style>
  <w:style w:type="character" w:customStyle="1" w:styleId="2948">
    <w:name w:val="style25"/>
    <w:basedOn w:val="133"/>
    <w:semiHidden/>
    <w:qFormat/>
    <w:uiPriority w:val="0"/>
  </w:style>
  <w:style w:type="character" w:customStyle="1" w:styleId="2949">
    <w:name w:val="样式25 Char Char"/>
    <w:qFormat/>
    <w:uiPriority w:val="0"/>
    <w:rPr>
      <w:rFonts w:hint="eastAsia" w:ascii="宋体" w:hAnsi="宋体" w:eastAsia="宋体"/>
      <w:kern w:val="10"/>
      <w:sz w:val="28"/>
      <w:szCs w:val="28"/>
    </w:rPr>
  </w:style>
  <w:style w:type="paragraph" w:customStyle="1" w:styleId="2950">
    <w:name w:val="x正文"/>
    <w:basedOn w:val="1"/>
    <w:link w:val="2951"/>
    <w:qFormat/>
    <w:uiPriority w:val="0"/>
    <w:pPr>
      <w:spacing w:line="240" w:lineRule="auto"/>
      <w:ind w:firstLine="0" w:firstLineChars="0"/>
    </w:pPr>
    <w:rPr>
      <w:rFonts w:cs="Times New Roman"/>
      <w:sz w:val="21"/>
      <w:szCs w:val="20"/>
    </w:rPr>
  </w:style>
  <w:style w:type="character" w:customStyle="1" w:styleId="2951">
    <w:name w:val="x正文 Char"/>
    <w:basedOn w:val="166"/>
    <w:link w:val="2950"/>
    <w:qFormat/>
    <w:locked/>
    <w:uiPriority w:val="0"/>
    <w:rPr>
      <w:szCs w:val="20"/>
    </w:rPr>
  </w:style>
  <w:style w:type="character" w:customStyle="1" w:styleId="2952">
    <w:name w:val="样式 表格备注 Char Char"/>
    <w:qFormat/>
    <w:uiPriority w:val="0"/>
    <w:rPr>
      <w:rFonts w:hint="eastAsia" w:ascii="FLGPEK+TimesNewRoman,Italic" w:hAnsi="FLGPEK+TimesNewRoman,Italic" w:eastAsia="Calibri"/>
      <w:sz w:val="24"/>
      <w:lang w:bidi="ar-SA"/>
    </w:rPr>
  </w:style>
  <w:style w:type="character" w:customStyle="1" w:styleId="2953">
    <w:name w:val="节标题 1.1 Char"/>
    <w:basedOn w:val="133"/>
    <w:semiHidden/>
    <w:qFormat/>
    <w:uiPriority w:val="0"/>
    <w:rPr>
      <w:rFonts w:hint="eastAsia" w:ascii="宋体" w:hAnsi="宋体" w:eastAsia="宋体"/>
      <w:kern w:val="2"/>
      <w:sz w:val="24"/>
      <w:lang w:val="en-US" w:eastAsia="zh-CN" w:bidi="ar-SA"/>
    </w:rPr>
  </w:style>
  <w:style w:type="character" w:customStyle="1" w:styleId="2954">
    <w:name w:val="正文文字 Char1"/>
    <w:basedOn w:val="133"/>
    <w:qFormat/>
    <w:uiPriority w:val="0"/>
    <w:rPr>
      <w:rFonts w:hint="eastAsia" w:ascii="楷体_GB2312" w:hAnsi="Times New Roman" w:eastAsia="楷体_GB2312" w:cs="Times New Roman"/>
      <w:kern w:val="0"/>
      <w:sz w:val="28"/>
      <w:szCs w:val="20"/>
    </w:rPr>
  </w:style>
  <w:style w:type="character" w:customStyle="1" w:styleId="2955">
    <w:name w:val="Char Char26"/>
    <w:qFormat/>
    <w:uiPriority w:val="0"/>
    <w:rPr>
      <w:rFonts w:hint="default" w:ascii="Times New Roman" w:hAnsi="Times New Roman" w:eastAsia="宋体" w:cs="Times New Roman"/>
      <w:sz w:val="24"/>
      <w:szCs w:val="24"/>
    </w:rPr>
  </w:style>
  <w:style w:type="character" w:customStyle="1" w:styleId="2956">
    <w:name w:val="样式21"/>
    <w:qFormat/>
    <w:uiPriority w:val="0"/>
    <w:rPr>
      <w:rFonts w:hint="default" w:ascii="Times New Roman" w:hAnsi="Times New Roman" w:cs="Times New Roman"/>
    </w:rPr>
  </w:style>
  <w:style w:type="character" w:customStyle="1" w:styleId="2957">
    <w:name w:val="标题 Char1"/>
    <w:qFormat/>
    <w:uiPriority w:val="0"/>
    <w:rPr>
      <w:rFonts w:hint="default" w:ascii="Cambria" w:hAnsi="Cambria" w:eastAsia="宋体" w:cs="Times New Roman"/>
      <w:b/>
      <w:bCs/>
      <w:sz w:val="32"/>
      <w:szCs w:val="32"/>
    </w:rPr>
  </w:style>
  <w:style w:type="character" w:customStyle="1" w:styleId="2958">
    <w:name w:val="Char Char20"/>
    <w:qFormat/>
    <w:uiPriority w:val="0"/>
    <w:rPr>
      <w:rFonts w:hint="eastAsia" w:ascii="宋体" w:hAnsi="宋体" w:eastAsia="宋体"/>
      <w:kern w:val="2"/>
      <w:sz w:val="21"/>
      <w:szCs w:val="24"/>
      <w:lang w:val="en-US" w:eastAsia="zh-CN" w:bidi="ar-SA"/>
    </w:rPr>
  </w:style>
  <w:style w:type="character" w:customStyle="1" w:styleId="2959">
    <w:name w:val="标题2-自建 Char Char Char"/>
    <w:qFormat/>
    <w:uiPriority w:val="0"/>
    <w:rPr>
      <w:rFonts w:hint="default" w:ascii="Arial" w:hAnsi="Arial" w:eastAsia="宋体" w:cs="Arial"/>
      <w:b/>
      <w:kern w:val="2"/>
      <w:sz w:val="28"/>
      <w:lang w:val="en-US" w:eastAsia="zh-CN"/>
    </w:rPr>
  </w:style>
  <w:style w:type="character" w:customStyle="1" w:styleId="2960">
    <w:name w:val="正文首行缩进 2 Char1"/>
    <w:basedOn w:val="133"/>
    <w:semiHidden/>
    <w:qFormat/>
    <w:uiPriority w:val="0"/>
    <w:rPr>
      <w:kern w:val="2"/>
      <w:sz w:val="21"/>
      <w:szCs w:val="22"/>
    </w:rPr>
  </w:style>
  <w:style w:type="character" w:customStyle="1" w:styleId="2961">
    <w:name w:val="a0021"/>
    <w:qFormat/>
    <w:uiPriority w:val="0"/>
    <w:rPr>
      <w:color w:val="333333"/>
      <w:sz w:val="20"/>
      <w:szCs w:val="20"/>
    </w:rPr>
  </w:style>
  <w:style w:type="character" w:customStyle="1" w:styleId="2962">
    <w:name w:val="123YJ Char Char"/>
    <w:basedOn w:val="133"/>
    <w:semiHidden/>
    <w:qFormat/>
    <w:uiPriority w:val="0"/>
    <w:rPr>
      <w:rFonts w:hint="eastAsia" w:ascii="宋体" w:hAnsi="宋体" w:eastAsia="宋体" w:cs="Times New Roman"/>
      <w:sz w:val="18"/>
      <w:szCs w:val="18"/>
    </w:rPr>
  </w:style>
  <w:style w:type="character" w:customStyle="1" w:styleId="2963">
    <w:name w:val="xl26 Char Char"/>
    <w:qFormat/>
    <w:uiPriority w:val="0"/>
    <w:rPr>
      <w:rFonts w:hint="eastAsia" w:ascii="宋体" w:hAnsi="宋体" w:eastAsia="宋体"/>
      <w:lang w:val="en-US" w:eastAsia="zh-CN" w:bidi="ar-SA"/>
    </w:rPr>
  </w:style>
  <w:style w:type="character" w:customStyle="1" w:styleId="2964">
    <w:name w:val="t_tag"/>
    <w:basedOn w:val="133"/>
    <w:semiHidden/>
    <w:qFormat/>
    <w:uiPriority w:val="0"/>
  </w:style>
  <w:style w:type="character" w:customStyle="1" w:styleId="2965">
    <w:name w:val="f121"/>
    <w:qFormat/>
    <w:uiPriority w:val="0"/>
    <w:rPr>
      <w:sz w:val="24"/>
    </w:rPr>
  </w:style>
  <w:style w:type="character" w:customStyle="1" w:styleId="2966">
    <w:name w:val="页眉 Char Char Char1"/>
    <w:qFormat/>
    <w:uiPriority w:val="0"/>
    <w:rPr>
      <w:rFonts w:hint="eastAsia" w:ascii="宋体" w:hAnsi="宋体" w:eastAsia="宋体"/>
      <w:kern w:val="2"/>
      <w:sz w:val="18"/>
      <w:szCs w:val="18"/>
      <w:lang w:val="en-US" w:eastAsia="zh-CN" w:bidi="ar-SA"/>
    </w:rPr>
  </w:style>
  <w:style w:type="character" w:customStyle="1" w:styleId="2967">
    <w:name w:val="123 Char"/>
    <w:basedOn w:val="133"/>
    <w:qFormat/>
    <w:uiPriority w:val="0"/>
    <w:rPr>
      <w:rFonts w:hint="eastAsia" w:ascii="宋体" w:hAnsi="宋体" w:eastAsia="宋体" w:cs="宋体"/>
      <w:b/>
      <w:spacing w:val="20"/>
      <w:kern w:val="2"/>
      <w:sz w:val="28"/>
      <w:szCs w:val="28"/>
      <w:lang w:val="en-US" w:eastAsia="zh-CN" w:bidi="ar-SA"/>
    </w:rPr>
  </w:style>
  <w:style w:type="character" w:customStyle="1" w:styleId="2968">
    <w:name w:val="样式11 Char Char"/>
    <w:qFormat/>
    <w:uiPriority w:val="0"/>
    <w:rPr>
      <w:rFonts w:hint="eastAsia" w:ascii="宋体" w:hAnsi="宋体" w:eastAsia="宋体"/>
      <w:sz w:val="28"/>
      <w:szCs w:val="28"/>
    </w:rPr>
  </w:style>
  <w:style w:type="character" w:customStyle="1" w:styleId="2969">
    <w:name w:val="干标题(a) Char Char"/>
    <w:basedOn w:val="133"/>
    <w:qFormat/>
    <w:uiPriority w:val="0"/>
    <w:rPr>
      <w:rFonts w:hint="default" w:ascii="Arial" w:hAnsi="Arial" w:eastAsia="黑体" w:cs="Arial"/>
      <w:sz w:val="21"/>
      <w:lang w:val="en-US" w:eastAsia="zh-CN" w:bidi="ar-SA"/>
    </w:rPr>
  </w:style>
  <w:style w:type="character" w:customStyle="1" w:styleId="2970">
    <w:name w:val="目标题 1) Char1"/>
    <w:basedOn w:val="133"/>
    <w:qFormat/>
    <w:uiPriority w:val="0"/>
    <w:rPr>
      <w:rFonts w:hint="default" w:ascii="Arial" w:hAnsi="Arial" w:eastAsia="黑体" w:cs="Arial"/>
      <w:sz w:val="21"/>
      <w:lang w:val="en-US" w:eastAsia="zh-CN" w:bidi="ar-SA"/>
    </w:rPr>
  </w:style>
  <w:style w:type="character" w:customStyle="1" w:styleId="2971">
    <w:name w:val="正文王 Char Char"/>
    <w:basedOn w:val="811"/>
    <w:qFormat/>
    <w:uiPriority w:val="0"/>
    <w:rPr>
      <w:rFonts w:hint="default" w:ascii="Arial" w:hAnsi="Arial"/>
      <w:sz w:val="24"/>
      <w:szCs w:val="24"/>
    </w:rPr>
  </w:style>
  <w:style w:type="character" w:customStyle="1" w:styleId="2972">
    <w:name w:val="陈正文 Char Char Char"/>
    <w:qFormat/>
    <w:uiPriority w:val="0"/>
    <w:rPr>
      <w:rFonts w:hint="default" w:ascii="Times New Roman" w:hAnsi="Times New Roman" w:eastAsia="宋体" w:cs="Times New Roman"/>
      <w:snapToGrid/>
      <w:kern w:val="0"/>
      <w:sz w:val="24"/>
      <w:szCs w:val="24"/>
    </w:rPr>
  </w:style>
  <w:style w:type="character" w:customStyle="1" w:styleId="2973">
    <w:name w:val="Char Char51"/>
    <w:qFormat/>
    <w:uiPriority w:val="0"/>
    <w:rPr>
      <w:rFonts w:hint="default" w:ascii="Arial" w:hAnsi="Arial" w:eastAsia="宋体" w:cs="Arial"/>
      <w:i/>
      <w:lang w:val="fr-FR" w:eastAsia="zh-CN" w:bidi="ar-SA"/>
    </w:rPr>
  </w:style>
  <w:style w:type="character" w:customStyle="1" w:styleId="2974">
    <w:name w:val="font41"/>
    <w:uiPriority w:val="0"/>
    <w:rPr>
      <w:rFonts w:hint="default" w:ascii="Times New Roman" w:hAnsi="Times New Roman" w:cs="Times New Roman"/>
      <w:color w:val="000000"/>
      <w:sz w:val="24"/>
      <w:szCs w:val="24"/>
    </w:rPr>
  </w:style>
  <w:style w:type="character" w:customStyle="1" w:styleId="2975">
    <w:name w:val="FU3 Char Char"/>
    <w:basedOn w:val="133"/>
    <w:qFormat/>
    <w:uiPriority w:val="0"/>
    <w:rPr>
      <w:rFonts w:hint="eastAsia" w:ascii="黑体" w:hAnsi="宋体" w:eastAsia="黑体"/>
      <w:b/>
      <w:bCs/>
      <w:color w:val="000000"/>
      <w:kern w:val="2"/>
      <w:sz w:val="24"/>
      <w:szCs w:val="24"/>
      <w:lang w:val="en-US" w:eastAsia="zh-CN" w:bidi="ar-SA"/>
    </w:rPr>
  </w:style>
  <w:style w:type="character" w:customStyle="1" w:styleId="2976">
    <w:name w:val="标题 1 Char Char Char"/>
    <w:qFormat/>
    <w:uiPriority w:val="0"/>
    <w:rPr>
      <w:rFonts w:hint="eastAsia" w:ascii="宋体" w:hAnsi="宋体" w:eastAsia="宋体"/>
      <w:b/>
      <w:bCs/>
      <w:kern w:val="44"/>
      <w:sz w:val="44"/>
      <w:szCs w:val="44"/>
      <w:lang w:val="en-US" w:eastAsia="zh-CN" w:bidi="ar-SA"/>
    </w:rPr>
  </w:style>
  <w:style w:type="character" w:customStyle="1" w:styleId="2977">
    <w:name w:val="页眉 Char Char Char"/>
    <w:basedOn w:val="133"/>
    <w:uiPriority w:val="0"/>
    <w:rPr>
      <w:rFonts w:hint="eastAsia" w:ascii="宋体" w:hAnsi="宋体" w:eastAsia="宋体"/>
      <w:kern w:val="2"/>
      <w:sz w:val="18"/>
      <w:szCs w:val="18"/>
      <w:lang w:val="en-US" w:eastAsia="zh-CN" w:bidi="ar-SA"/>
    </w:rPr>
  </w:style>
  <w:style w:type="character" w:customStyle="1" w:styleId="2978">
    <w:name w:val="FU2 Char Char"/>
    <w:basedOn w:val="133"/>
    <w:qFormat/>
    <w:uiPriority w:val="0"/>
    <w:rPr>
      <w:rFonts w:hint="eastAsia" w:ascii="黑体" w:hAnsi="宋体" w:eastAsia="黑体"/>
      <w:b/>
      <w:color w:val="000000"/>
      <w:kern w:val="2"/>
      <w:sz w:val="24"/>
      <w:lang w:val="en-US" w:eastAsia="zh-CN" w:bidi="ar-SA"/>
    </w:rPr>
  </w:style>
  <w:style w:type="character" w:customStyle="1" w:styleId="2979">
    <w:name w:val="title011"/>
    <w:uiPriority w:val="0"/>
    <w:rPr>
      <w:rFonts w:hint="eastAsia" w:ascii="FLGPEK+TimesNewRoman,Italic" w:eastAsia="FLGPEK+TimesNewRoman,Italic"/>
      <w:kern w:val="2"/>
      <w:sz w:val="38"/>
      <w:u w:val="none"/>
      <w:lang w:val="en-US" w:eastAsia="zh-CN"/>
    </w:rPr>
  </w:style>
  <w:style w:type="character" w:customStyle="1" w:styleId="2980">
    <w:name w:val="Char Char55"/>
    <w:uiPriority w:val="0"/>
    <w:rPr>
      <w:rFonts w:hint="default" w:ascii="Arial" w:hAnsi="Arial" w:cs="Arial"/>
      <w:b/>
      <w:bCs/>
      <w:kern w:val="2"/>
      <w:sz w:val="24"/>
      <w:szCs w:val="28"/>
    </w:rPr>
  </w:style>
  <w:style w:type="character" w:customStyle="1" w:styleId="2981">
    <w:name w:val="行号1"/>
    <w:qFormat/>
    <w:uiPriority w:val="0"/>
    <w:rPr>
      <w:rFonts w:hint="eastAsia" w:ascii="FLGPEK+TimesNewRoman,Italic" w:hAnsi="FLGPEK+TimesNewRoman,Italic" w:eastAsia="FLGPEK+TimesNewRoman,Italic" w:cs="FLGPEK+TimesNewRoman,Italic"/>
      <w:sz w:val="24"/>
      <w:szCs w:val="24"/>
    </w:rPr>
  </w:style>
  <w:style w:type="character" w:customStyle="1" w:styleId="2982">
    <w:name w:val="批注框文本 Char1"/>
    <w:basedOn w:val="133"/>
    <w:qFormat/>
    <w:locked/>
    <w:uiPriority w:val="0"/>
    <w:rPr>
      <w:kern w:val="2"/>
      <w:sz w:val="18"/>
    </w:rPr>
  </w:style>
  <w:style w:type="character" w:customStyle="1" w:styleId="2983">
    <w:name w:val="标题 7 Char1"/>
    <w:uiPriority w:val="0"/>
    <w:rPr>
      <w:rFonts w:hint="eastAsia" w:ascii="宋体" w:hAnsi="宋体" w:eastAsia="宋体" w:cs="Times New Roman"/>
      <w:b/>
      <w:bCs/>
      <w:kern w:val="2"/>
      <w:sz w:val="24"/>
      <w:szCs w:val="24"/>
      <w:lang w:bidi="ar-SA"/>
    </w:rPr>
  </w:style>
  <w:style w:type="character" w:customStyle="1" w:styleId="2984">
    <w:name w:val="style1 style3"/>
    <w:basedOn w:val="133"/>
    <w:qFormat/>
    <w:uiPriority w:val="0"/>
  </w:style>
  <w:style w:type="character" w:customStyle="1" w:styleId="2985">
    <w:name w:val="表号 Char1"/>
    <w:basedOn w:val="133"/>
    <w:qFormat/>
    <w:uiPriority w:val="0"/>
    <w:rPr>
      <w:rFonts w:hint="eastAsia" w:ascii="宋体" w:hAnsi="宋体" w:eastAsia="宋体"/>
      <w:sz w:val="24"/>
      <w:lang w:val="en-US" w:eastAsia="zh-CN"/>
    </w:rPr>
  </w:style>
  <w:style w:type="character" w:customStyle="1" w:styleId="2986">
    <w:name w:val="Normal Char Char"/>
    <w:basedOn w:val="133"/>
    <w:qFormat/>
    <w:uiPriority w:val="0"/>
    <w:rPr>
      <w:rFonts w:hint="eastAsia" w:ascii="宋体" w:hAnsi="宋体" w:eastAsia="宋体"/>
      <w:sz w:val="24"/>
      <w:lang w:val="en-US" w:eastAsia="zh-CN" w:bidi="ar-SA"/>
    </w:rPr>
  </w:style>
  <w:style w:type="character" w:customStyle="1" w:styleId="2987">
    <w:name w:val="Char Char21"/>
    <w:qFormat/>
    <w:uiPriority w:val="0"/>
    <w:rPr>
      <w:rFonts w:hint="default" w:ascii="Times New Roman" w:hAnsi="Times New Roman" w:eastAsia="宋体" w:cs="Times New Roman"/>
      <w:sz w:val="18"/>
      <w:szCs w:val="18"/>
    </w:rPr>
  </w:style>
  <w:style w:type="character" w:customStyle="1" w:styleId="2988">
    <w:name w:val="报告书正文 Char Char Char"/>
    <w:qFormat/>
    <w:uiPriority w:val="0"/>
    <w:rPr>
      <w:rFonts w:hint="eastAsia" w:ascii="宋体" w:hAnsi="宋体" w:eastAsia="宋体"/>
      <w:kern w:val="2"/>
      <w:sz w:val="25"/>
      <w:lang w:val="en-US" w:eastAsia="zh-CN" w:bidi="ar-SA"/>
    </w:rPr>
  </w:style>
  <w:style w:type="paragraph" w:customStyle="1" w:styleId="2989">
    <w:name w:val="表注"/>
    <w:basedOn w:val="1"/>
    <w:link w:val="2990"/>
    <w:qFormat/>
    <w:uiPriority w:val="0"/>
    <w:pPr>
      <w:spacing w:line="240" w:lineRule="auto"/>
      <w:ind w:firstLine="0" w:firstLineChars="0"/>
    </w:pPr>
    <w:rPr>
      <w:rFonts w:cs="Times New Roman"/>
      <w:sz w:val="21"/>
      <w:szCs w:val="20"/>
    </w:rPr>
  </w:style>
  <w:style w:type="character" w:customStyle="1" w:styleId="2990">
    <w:name w:val="表注 Char"/>
    <w:link w:val="2989"/>
    <w:qFormat/>
    <w:locked/>
    <w:uiPriority w:val="0"/>
    <w:rPr>
      <w:rFonts w:ascii="Times New Roman" w:hAnsi="Times New Roman" w:eastAsia="宋体" w:cs="Times New Roman"/>
      <w:szCs w:val="20"/>
    </w:rPr>
  </w:style>
  <w:style w:type="character" w:customStyle="1" w:styleId="2991">
    <w:name w:val="普通文字 Char1"/>
    <w:basedOn w:val="133"/>
    <w:semiHidden/>
    <w:qFormat/>
    <w:uiPriority w:val="0"/>
    <w:rPr>
      <w:rFonts w:hint="eastAsia" w:ascii="宋体" w:hAnsi="Courier New" w:eastAsia="宋体"/>
      <w:kern w:val="2"/>
      <w:sz w:val="21"/>
      <w:lang w:val="en-US" w:eastAsia="zh-CN" w:bidi="ar-SA"/>
    </w:rPr>
  </w:style>
  <w:style w:type="character" w:customStyle="1" w:styleId="2992">
    <w:name w:val="p9"/>
    <w:basedOn w:val="133"/>
    <w:semiHidden/>
    <w:qFormat/>
    <w:uiPriority w:val="0"/>
  </w:style>
  <w:style w:type="character" w:customStyle="1" w:styleId="2993">
    <w:name w:val="样式4 Char1"/>
    <w:basedOn w:val="133"/>
    <w:semiHidden/>
    <w:uiPriority w:val="0"/>
    <w:rPr>
      <w:rFonts w:hint="eastAsia" w:ascii="黑体" w:hAnsi="黑体" w:eastAsia="黑体"/>
      <w:b/>
      <w:kern w:val="2"/>
      <w:sz w:val="24"/>
      <w:szCs w:val="24"/>
      <w:lang w:val="en-US" w:eastAsia="zh-CN" w:bidi="ar-SA"/>
    </w:rPr>
  </w:style>
  <w:style w:type="character" w:customStyle="1" w:styleId="2994">
    <w:name w:val="content_normal_bold_title1"/>
    <w:qFormat/>
    <w:uiPriority w:val="0"/>
    <w:rPr>
      <w:rFonts w:hint="eastAsia" w:ascii="Batang" w:hAnsi="Batang" w:eastAsia="FLGPEK+TimesNewRoman,Italic" w:cs="Batang"/>
      <w:b/>
      <w:bCs/>
      <w:color w:val="000000"/>
      <w:sz w:val="36"/>
      <w:szCs w:val="36"/>
      <w:u w:val="none"/>
    </w:rPr>
  </w:style>
  <w:style w:type="character" w:customStyle="1" w:styleId="2995">
    <w:name w:val="viewthreadtxt"/>
    <w:basedOn w:val="133"/>
    <w:semiHidden/>
    <w:qFormat/>
    <w:uiPriority w:val="0"/>
  </w:style>
  <w:style w:type="character" w:customStyle="1" w:styleId="2996">
    <w:name w:val="fr21"/>
    <w:qFormat/>
    <w:uiPriority w:val="0"/>
    <w:rPr>
      <w:rFonts w:hint="default" w:ascii="Verdana" w:hAnsi="Verdana"/>
      <w:color w:val="333333"/>
      <w:sz w:val="18"/>
      <w:szCs w:val="18"/>
    </w:rPr>
  </w:style>
  <w:style w:type="character" w:customStyle="1" w:styleId="2997">
    <w:name w:val="line41"/>
    <w:basedOn w:val="133"/>
    <w:semiHidden/>
    <w:qFormat/>
    <w:uiPriority w:val="0"/>
  </w:style>
  <w:style w:type="character" w:customStyle="1" w:styleId="2998">
    <w:name w:val="font_cn_14"/>
    <w:uiPriority w:val="0"/>
    <w:rPr>
      <w:rFonts w:hint="eastAsia" w:ascii="宋体" w:hAnsi="宋体" w:eastAsia="宋体"/>
      <w:b/>
      <w:szCs w:val="20"/>
    </w:rPr>
  </w:style>
  <w:style w:type="character" w:customStyle="1" w:styleId="2999">
    <w:name w:val="表头及表尾 Char Char"/>
    <w:qFormat/>
    <w:uiPriority w:val="0"/>
    <w:rPr>
      <w:b/>
      <w:sz w:val="21"/>
      <w:lang w:val="en-US" w:eastAsia="zh-CN" w:bidi="ar-SA"/>
    </w:rPr>
  </w:style>
  <w:style w:type="character" w:customStyle="1" w:styleId="3000">
    <w:name w:val="s"/>
    <w:basedOn w:val="133"/>
    <w:semiHidden/>
    <w:qFormat/>
    <w:uiPriority w:val="0"/>
    <w:rPr>
      <w:rFonts w:hint="eastAsia" w:ascii="宋体" w:hAnsi="宋体" w:eastAsia="宋体" w:cs="宋体"/>
      <w:b/>
      <w:bCs/>
      <w:sz w:val="30"/>
      <w:szCs w:val="28"/>
      <w:lang w:val="en-US" w:eastAsia="zh-CN" w:bidi="ar-SA"/>
    </w:rPr>
  </w:style>
  <w:style w:type="character" w:customStyle="1" w:styleId="3001">
    <w:name w:val="正文缩进2 Char"/>
    <w:uiPriority w:val="0"/>
    <w:rPr>
      <w:rFonts w:hint="eastAsia" w:ascii="FLGPEK+TimesNewRoman,Italic" w:hAnsi="FLGPEK+TimesNewRoman,Italic" w:eastAsia="FLGPEK+TimesNewRoman,Italic"/>
      <w:kern w:val="2"/>
      <w:sz w:val="24"/>
      <w:lang w:val="en-US" w:eastAsia="zh-CN"/>
    </w:rPr>
  </w:style>
  <w:style w:type="character" w:customStyle="1" w:styleId="3002">
    <w:name w:val="批注主题 Char1"/>
    <w:uiPriority w:val="0"/>
    <w:rPr>
      <w:b/>
      <w:bCs/>
      <w:kern w:val="2"/>
      <w:sz w:val="24"/>
    </w:rPr>
  </w:style>
  <w:style w:type="character" w:customStyle="1" w:styleId="3003">
    <w:name w:val="正文文字11 Char"/>
    <w:basedOn w:val="133"/>
    <w:semiHidden/>
    <w:uiPriority w:val="0"/>
    <w:rPr>
      <w:rFonts w:hint="default" w:ascii="Times New Roman" w:hAnsi="Times New Roman" w:eastAsia="宋体" w:cs="Times New Roman"/>
      <w:sz w:val="24"/>
      <w:szCs w:val="24"/>
    </w:rPr>
  </w:style>
  <w:style w:type="character" w:customStyle="1" w:styleId="3004">
    <w:name w:val="付正文 Char"/>
    <w:basedOn w:val="133"/>
    <w:semiHidden/>
    <w:uiPriority w:val="0"/>
    <w:rPr>
      <w:rFonts w:hint="eastAsia" w:ascii="宋体" w:hAnsi="宋体" w:eastAsia="宋体"/>
      <w:color w:val="000000"/>
      <w:kern w:val="2"/>
      <w:sz w:val="24"/>
      <w:szCs w:val="24"/>
      <w:lang w:val="en-US" w:eastAsia="zh-CN" w:bidi="ar-SA"/>
    </w:rPr>
  </w:style>
  <w:style w:type="character" w:customStyle="1" w:styleId="3005">
    <w:name w:val="正文(首行缩进) Char Char Char"/>
    <w:uiPriority w:val="0"/>
    <w:rPr>
      <w:snapToGrid w:val="0"/>
      <w:sz w:val="24"/>
      <w:szCs w:val="24"/>
    </w:rPr>
  </w:style>
  <w:style w:type="character" w:customStyle="1" w:styleId="3006">
    <w:name w:val="正文文本缩进 3 Char Char Char"/>
    <w:qFormat/>
    <w:uiPriority w:val="0"/>
    <w:rPr>
      <w:rFonts w:hint="eastAsia" w:ascii="宋体" w:hAnsi="宋体" w:eastAsia="宋体"/>
      <w:kern w:val="2"/>
      <w:sz w:val="16"/>
      <w:lang w:val="en-US" w:eastAsia="zh-CN"/>
    </w:rPr>
  </w:style>
  <w:style w:type="character" w:customStyle="1" w:styleId="3007">
    <w:name w:val="标题6 Char Char"/>
    <w:uiPriority w:val="0"/>
    <w:rPr>
      <w:rFonts w:hint="eastAsia" w:ascii="宋体" w:hAnsi="宋体" w:eastAsia="华文细黑"/>
      <w:b/>
      <w:kern w:val="2"/>
      <w:sz w:val="24"/>
      <w:szCs w:val="24"/>
      <w:lang w:bidi="ar-SA"/>
    </w:rPr>
  </w:style>
  <w:style w:type="character" w:customStyle="1" w:styleId="3008">
    <w:name w:val="font2"/>
    <w:basedOn w:val="133"/>
    <w:semiHidden/>
    <w:qFormat/>
    <w:uiPriority w:val="0"/>
    <w:rPr>
      <w:rFonts w:hint="eastAsia" w:ascii="宋体" w:hAnsi="宋体" w:eastAsia="宋体" w:cs="宋体"/>
      <w:b/>
      <w:bCs/>
      <w:sz w:val="30"/>
      <w:szCs w:val="28"/>
      <w:lang w:val="en-US" w:eastAsia="zh-CN" w:bidi="ar-SA"/>
    </w:rPr>
  </w:style>
  <w:style w:type="character" w:customStyle="1" w:styleId="3009">
    <w:name w:val="WW8Num1413z1"/>
    <w:uiPriority w:val="0"/>
    <w:rPr>
      <w:rFonts w:hint="default" w:ascii="Wingdings" w:hAnsi="Wingdings"/>
    </w:rPr>
  </w:style>
  <w:style w:type="character" w:customStyle="1" w:styleId="3010">
    <w:name w:val="表头1 Char Char Char"/>
    <w:uiPriority w:val="0"/>
    <w:rPr>
      <w:rFonts w:hint="default" w:ascii="Times New Roman" w:hAnsi="Times New Roman" w:eastAsia="黑体" w:cs="Times New Roman"/>
      <w:kern w:val="0"/>
      <w:szCs w:val="28"/>
      <w:lang w:val="en-US" w:eastAsia="zh-CN"/>
    </w:rPr>
  </w:style>
  <w:style w:type="character" w:customStyle="1" w:styleId="3011">
    <w:name w:val="style81"/>
    <w:basedOn w:val="133"/>
    <w:semiHidden/>
    <w:uiPriority w:val="0"/>
    <w:rPr>
      <w:sz w:val="24"/>
      <w:szCs w:val="24"/>
    </w:rPr>
  </w:style>
  <w:style w:type="character" w:customStyle="1" w:styleId="3012">
    <w:name w:val="Char Char192"/>
    <w:uiPriority w:val="0"/>
    <w:rPr>
      <w:rFonts w:hint="default" w:ascii="ˎ̥" w:hAnsi="ˎ̥" w:eastAsia="ˎ̥"/>
      <w:b/>
      <w:bCs/>
      <w:kern w:val="2"/>
      <w:sz w:val="28"/>
      <w:szCs w:val="28"/>
      <w:lang w:val="en-US" w:eastAsia="zh-CN" w:bidi="ar-SA"/>
    </w:rPr>
  </w:style>
  <w:style w:type="character" w:customStyle="1" w:styleId="3013">
    <w:name w:val="标题3 Char Char Char Char"/>
    <w:uiPriority w:val="0"/>
    <w:rPr>
      <w:rFonts w:hint="eastAsia" w:ascii="FLGPEK+TimesNewRoman,Italic" w:hAnsi="FLGPEK+TimesNewRoman,Italic" w:eastAsia="FLGPEK+TimesNewRoman,Italic"/>
      <w:b/>
      <w:sz w:val="24"/>
      <w:szCs w:val="24"/>
      <w:lang w:bidi="ar-SA"/>
    </w:rPr>
  </w:style>
  <w:style w:type="character" w:customStyle="1" w:styleId="3014">
    <w:name w:val="标题 311"/>
    <w:basedOn w:val="133"/>
    <w:semiHidden/>
    <w:qFormat/>
    <w:uiPriority w:val="0"/>
    <w:rPr>
      <w:rFonts w:hint="eastAsia" w:ascii="宋体" w:hAnsi="宋体" w:eastAsia="宋体"/>
      <w:sz w:val="28"/>
      <w:lang w:val="en-US" w:eastAsia="zh-CN" w:bidi="ar-SA"/>
    </w:rPr>
  </w:style>
  <w:style w:type="character" w:customStyle="1" w:styleId="3015">
    <w:name w:val="Char Char37"/>
    <w:uiPriority w:val="0"/>
    <w:rPr>
      <w:rFonts w:hint="eastAsia" w:ascii="宋体" w:hAnsi="宋体" w:eastAsia="宋体"/>
      <w:kern w:val="2"/>
      <w:sz w:val="24"/>
      <w:szCs w:val="24"/>
      <w:lang w:val="zh-CN" w:eastAsia="zh-CN" w:bidi="ar-SA"/>
    </w:rPr>
  </w:style>
  <w:style w:type="character" w:customStyle="1" w:styleId="3016">
    <w:name w:val="tpc_content1"/>
    <w:basedOn w:val="133"/>
    <w:semiHidden/>
    <w:uiPriority w:val="0"/>
    <w:rPr>
      <w:sz w:val="20"/>
      <w:szCs w:val="20"/>
    </w:rPr>
  </w:style>
  <w:style w:type="character" w:customStyle="1" w:styleId="3017">
    <w:name w:val="jianjie"/>
    <w:qFormat/>
    <w:uiPriority w:val="0"/>
    <w:rPr>
      <w:rFonts w:hint="eastAsia" w:ascii="宋体" w:hAnsi="宋体" w:eastAsia="宋体"/>
      <w:b/>
      <w:szCs w:val="20"/>
    </w:rPr>
  </w:style>
  <w:style w:type="character" w:customStyle="1" w:styleId="3018">
    <w:name w:val="脚注文本 Char1"/>
    <w:uiPriority w:val="0"/>
    <w:rPr>
      <w:kern w:val="2"/>
      <w:sz w:val="18"/>
      <w:szCs w:val="18"/>
    </w:rPr>
  </w:style>
  <w:style w:type="character" w:customStyle="1" w:styleId="3019">
    <w:name w:val="样式 报告正文 + 首行缩进:  2 字符 Char Char"/>
    <w:uiPriority w:val="0"/>
    <w:rPr>
      <w:kern w:val="2"/>
      <w:sz w:val="24"/>
    </w:rPr>
  </w:style>
  <w:style w:type="character" w:customStyle="1" w:styleId="3020">
    <w:name w:val="鲍正文 Char"/>
    <w:basedOn w:val="133"/>
    <w:semiHidden/>
    <w:qFormat/>
    <w:uiPriority w:val="0"/>
    <w:rPr>
      <w:rFonts w:hint="eastAsia" w:ascii="宋体" w:hAnsi="宋体" w:eastAsia="宋体"/>
      <w:kern w:val="2"/>
      <w:sz w:val="24"/>
      <w:szCs w:val="24"/>
      <w:lang w:val="en-US" w:eastAsia="zh-CN" w:bidi="ar-SA"/>
    </w:rPr>
  </w:style>
  <w:style w:type="character" w:customStyle="1" w:styleId="3021">
    <w:name w:val="z1"/>
    <w:basedOn w:val="133"/>
    <w:semiHidden/>
    <w:uiPriority w:val="0"/>
  </w:style>
  <w:style w:type="character" w:customStyle="1" w:styleId="3022">
    <w:name w:val="textclass"/>
    <w:qFormat/>
    <w:uiPriority w:val="0"/>
    <w:rPr>
      <w:rFonts w:hint="eastAsia" w:ascii="宋体" w:hAnsi="宋体" w:eastAsia="宋体"/>
      <w:b/>
      <w:szCs w:val="20"/>
    </w:rPr>
  </w:style>
  <w:style w:type="character" w:customStyle="1" w:styleId="3023">
    <w:name w:val="标题 321"/>
    <w:basedOn w:val="133"/>
    <w:semiHidden/>
    <w:uiPriority w:val="0"/>
    <w:rPr>
      <w:rFonts w:hint="eastAsia" w:ascii="宋体" w:hAnsi="宋体" w:eastAsia="宋体"/>
      <w:sz w:val="28"/>
      <w:lang w:val="en-US" w:eastAsia="zh-CN" w:bidi="ar-SA"/>
    </w:rPr>
  </w:style>
  <w:style w:type="character" w:customStyle="1" w:styleId="3024">
    <w:name w:val="font201"/>
    <w:basedOn w:val="133"/>
    <w:semiHidden/>
    <w:uiPriority w:val="0"/>
    <w:rPr>
      <w:rFonts w:hint="eastAsia" w:ascii="宋体" w:hAnsi="宋体" w:eastAsia="宋体" w:cs="宋体"/>
      <w:kern w:val="2"/>
      <w:sz w:val="18"/>
      <w:szCs w:val="18"/>
      <w:lang w:val="en-US" w:eastAsia="zh-CN" w:bidi="ar-SA"/>
    </w:rPr>
  </w:style>
  <w:style w:type="character" w:customStyle="1" w:styleId="3025">
    <w:name w:val="样式 (符号) 宋体 13 磅"/>
    <w:uiPriority w:val="0"/>
    <w:rPr>
      <w:rFonts w:hint="eastAsia" w:ascii="宋体" w:hAnsi="宋体" w:eastAsia="宋体"/>
      <w:sz w:val="27"/>
      <w:szCs w:val="27"/>
    </w:rPr>
  </w:style>
  <w:style w:type="character" w:customStyle="1" w:styleId="3026">
    <w:name w:val="引用文章 Char"/>
    <w:uiPriority w:val="0"/>
    <w:rPr>
      <w:rFonts w:hint="eastAsia" w:ascii="楷体_GB2312" w:eastAsia="楷体_GB2312" w:cs="宋体"/>
      <w:kern w:val="2"/>
      <w:sz w:val="24"/>
      <w:lang w:val="en-US" w:eastAsia="zh-CN" w:bidi="ar-SA"/>
    </w:rPr>
  </w:style>
  <w:style w:type="character" w:customStyle="1" w:styleId="3027">
    <w:name w:val="正文文本缩进 3 Char1"/>
    <w:qFormat/>
    <w:uiPriority w:val="0"/>
    <w:rPr>
      <w:kern w:val="2"/>
      <w:sz w:val="16"/>
      <w:szCs w:val="16"/>
    </w:rPr>
  </w:style>
  <w:style w:type="character" w:customStyle="1" w:styleId="3028">
    <w:name w:val="style31"/>
    <w:basedOn w:val="133"/>
    <w:semiHidden/>
    <w:uiPriority w:val="0"/>
    <w:rPr>
      <w:rFonts w:hint="default" w:ascii="Verdana" w:hAnsi="Verdana"/>
    </w:rPr>
  </w:style>
  <w:style w:type="character" w:customStyle="1" w:styleId="3029">
    <w:name w:val="e011"/>
    <w:uiPriority w:val="0"/>
    <w:rPr>
      <w:sz w:val="21"/>
      <w:szCs w:val="21"/>
    </w:rPr>
  </w:style>
  <w:style w:type="character" w:customStyle="1" w:styleId="3030">
    <w:name w:val="正文文字缩进 Char2"/>
    <w:uiPriority w:val="0"/>
    <w:rPr>
      <w:rFonts w:hint="eastAsia" w:ascii="宋体" w:hAnsi="Arial" w:eastAsia="宋体"/>
      <w:sz w:val="24"/>
    </w:rPr>
  </w:style>
  <w:style w:type="character" w:customStyle="1" w:styleId="3031">
    <w:name w:val="报告书正文 Char Char"/>
    <w:uiPriority w:val="0"/>
    <w:rPr>
      <w:sz w:val="18"/>
      <w:lang w:val="en-US" w:eastAsia="zh-CN" w:bidi="ar-SA"/>
    </w:rPr>
  </w:style>
  <w:style w:type="character" w:customStyle="1" w:styleId="3032">
    <w:name w:val="orange1"/>
    <w:basedOn w:val="133"/>
    <w:semiHidden/>
    <w:uiPriority w:val="0"/>
    <w:rPr>
      <w:color w:val="FE9903"/>
      <w:sz w:val="18"/>
      <w:szCs w:val="18"/>
    </w:rPr>
  </w:style>
  <w:style w:type="character" w:customStyle="1" w:styleId="3033">
    <w:name w:val="Char Char16"/>
    <w:locked/>
    <w:uiPriority w:val="0"/>
    <w:rPr>
      <w:rFonts w:hint="default" w:ascii="Arial" w:hAnsi="Arial" w:eastAsia="黑体" w:cs="Arial"/>
      <w:kern w:val="2"/>
      <w:sz w:val="21"/>
      <w:lang w:val="en-US" w:eastAsia="zh-CN" w:bidi="ar-SA"/>
    </w:rPr>
  </w:style>
  <w:style w:type="character" w:customStyle="1" w:styleId="3034">
    <w:name w:val="表格13 Char Char"/>
    <w:basedOn w:val="133"/>
    <w:uiPriority w:val="0"/>
    <w:rPr>
      <w:rFonts w:hint="eastAsia" w:ascii="宋体" w:hAnsi="宋体" w:eastAsia="宋体" w:cs="宋体"/>
      <w:sz w:val="18"/>
      <w:szCs w:val="18"/>
      <w:lang w:val="zh-CN" w:eastAsia="zh-CN" w:bidi="ar-SA"/>
    </w:rPr>
  </w:style>
  <w:style w:type="character" w:customStyle="1" w:styleId="3035">
    <w:name w:val="样式 宋体"/>
    <w:uiPriority w:val="0"/>
    <w:rPr>
      <w:rFonts w:hint="default" w:ascii="Times New Roman" w:hAnsi="Times New Roman" w:eastAsia="宋体" w:cs="Times New Roman"/>
    </w:rPr>
  </w:style>
  <w:style w:type="character" w:customStyle="1" w:styleId="3036">
    <w:name w:val="列表 Char"/>
    <w:qFormat/>
    <w:uiPriority w:val="0"/>
    <w:rPr>
      <w:rFonts w:hint="eastAsia" w:ascii="宋体" w:hAnsi="宋体" w:eastAsia="宋体"/>
      <w:kern w:val="2"/>
      <w:sz w:val="21"/>
      <w:szCs w:val="24"/>
      <w:lang w:val="en-US" w:eastAsia="zh-CN" w:bidi="ar-SA"/>
    </w:rPr>
  </w:style>
  <w:style w:type="character" w:customStyle="1" w:styleId="3037">
    <w:name w:val="font_21"/>
    <w:qFormat/>
    <w:uiPriority w:val="0"/>
    <w:rPr>
      <w:b/>
      <w:bCs/>
      <w:sz w:val="21"/>
      <w:szCs w:val="21"/>
    </w:rPr>
  </w:style>
  <w:style w:type="character" w:customStyle="1" w:styleId="3038">
    <w:name w:val="批注框文本 Char Char Char"/>
    <w:qFormat/>
    <w:uiPriority w:val="0"/>
    <w:rPr>
      <w:kern w:val="2"/>
      <w:sz w:val="18"/>
      <w:lang w:bidi="ar-SA"/>
    </w:rPr>
  </w:style>
  <w:style w:type="character" w:customStyle="1" w:styleId="3039">
    <w:name w:val="正文文字 Char Char1"/>
    <w:qFormat/>
    <w:uiPriority w:val="0"/>
    <w:rPr>
      <w:rFonts w:hint="eastAsia" w:ascii="宋体" w:hAnsi="宋体" w:eastAsia="宋体"/>
      <w:kern w:val="2"/>
      <w:sz w:val="21"/>
      <w:szCs w:val="24"/>
      <w:lang w:val="en-US" w:eastAsia="zh-CN" w:bidi="ar-SA"/>
    </w:rPr>
  </w:style>
  <w:style w:type="character" w:customStyle="1" w:styleId="3040">
    <w:name w:val="批注文字 Char2"/>
    <w:qFormat/>
    <w:uiPriority w:val="0"/>
    <w:rPr>
      <w:kern w:val="2"/>
      <w:sz w:val="24"/>
    </w:rPr>
  </w:style>
  <w:style w:type="character" w:customStyle="1" w:styleId="3041">
    <w:name w:val="9dpi1"/>
    <w:qFormat/>
    <w:uiPriority w:val="0"/>
    <w:rPr>
      <w:spacing w:val="30"/>
      <w:sz w:val="18"/>
      <w:szCs w:val="18"/>
    </w:rPr>
  </w:style>
  <w:style w:type="character" w:customStyle="1" w:styleId="3042">
    <w:name w:val="正文文本 3 Char1"/>
    <w:qFormat/>
    <w:uiPriority w:val="0"/>
    <w:rPr>
      <w:sz w:val="16"/>
      <w:szCs w:val="16"/>
    </w:rPr>
  </w:style>
  <w:style w:type="character" w:customStyle="1" w:styleId="3043">
    <w:name w:val="页眉zxl Char2"/>
    <w:qFormat/>
    <w:uiPriority w:val="0"/>
    <w:rPr>
      <w:rFonts w:hint="eastAsia" w:ascii="宋体" w:hAnsi="宋体" w:eastAsia="宋体"/>
      <w:kern w:val="2"/>
      <w:sz w:val="18"/>
      <w:szCs w:val="18"/>
      <w:lang w:val="en-US" w:eastAsia="zh-CN" w:bidi="ar-SA"/>
    </w:rPr>
  </w:style>
  <w:style w:type="character" w:customStyle="1" w:styleId="3044">
    <w:name w:val="引入重点"/>
    <w:qFormat/>
    <w:uiPriority w:val="0"/>
    <w:rPr>
      <w:rFonts w:hint="default" w:ascii="Arial" w:hAnsi="Arial" w:eastAsia="黑体" w:cs="Arial"/>
      <w:b/>
      <w:spacing w:val="-4"/>
      <w:sz w:val="21"/>
    </w:rPr>
  </w:style>
  <w:style w:type="character" w:customStyle="1" w:styleId="3045">
    <w:name w:val="样式 首行缩进:  2 字符 Char Char Char"/>
    <w:qFormat/>
    <w:uiPriority w:val="0"/>
    <w:rPr>
      <w:rFonts w:hint="eastAsia" w:ascii="宋体" w:hAnsi="宋体" w:eastAsia="宋体"/>
      <w:kern w:val="2"/>
      <w:sz w:val="24"/>
      <w:lang w:val="en-US" w:eastAsia="zh-CN" w:bidi="ar-SA"/>
    </w:rPr>
  </w:style>
  <w:style w:type="character" w:customStyle="1" w:styleId="3046">
    <w:name w:val="规划正文样式 Char"/>
    <w:qFormat/>
    <w:uiPriority w:val="0"/>
    <w:rPr>
      <w:rFonts w:hint="eastAsia" w:ascii="宋体" w:hAnsi="宋体" w:eastAsia="宋体"/>
      <w:kern w:val="2"/>
      <w:sz w:val="24"/>
      <w:szCs w:val="24"/>
      <w:lang w:val="en-US" w:eastAsia="zh-CN" w:bidi="ar-SA"/>
    </w:rPr>
  </w:style>
  <w:style w:type="character" w:customStyle="1" w:styleId="3047">
    <w:name w:val="样式5 Char Char"/>
    <w:qFormat/>
    <w:uiPriority w:val="0"/>
    <w:rPr>
      <w:sz w:val="24"/>
    </w:rPr>
  </w:style>
  <w:style w:type="character" w:customStyle="1" w:styleId="3048">
    <w:name w:val="正文段落（宋旭峰） Char Char Char"/>
    <w:qFormat/>
    <w:uiPriority w:val="0"/>
    <w:rPr>
      <w:rFonts w:hint="eastAsia" w:ascii="宋体" w:hAnsi="宋体" w:eastAsia="宋体"/>
      <w:snapToGrid w:val="0"/>
      <w:sz w:val="24"/>
      <w:lang w:val="en-US" w:eastAsia="zh-CN"/>
    </w:rPr>
  </w:style>
  <w:style w:type="character" w:customStyle="1" w:styleId="3049">
    <w:name w:val="样式5 Char Char Char"/>
    <w:basedOn w:val="133"/>
    <w:qFormat/>
    <w:uiPriority w:val="0"/>
    <w:rPr>
      <w:rFonts w:hint="eastAsia" w:ascii="宋体" w:hAnsi="宋体" w:eastAsia="宋体"/>
      <w:kern w:val="2"/>
      <w:sz w:val="24"/>
      <w:szCs w:val="24"/>
      <w:lang w:val="en-US" w:eastAsia="zh-CN" w:bidi="ar-SA"/>
    </w:rPr>
  </w:style>
  <w:style w:type="character" w:customStyle="1" w:styleId="3050">
    <w:name w:val="ourfont3"/>
    <w:qFormat/>
    <w:uiPriority w:val="0"/>
  </w:style>
  <w:style w:type="character" w:customStyle="1" w:styleId="3051">
    <w:name w:val="样式 宋体 小四"/>
    <w:qFormat/>
    <w:uiPriority w:val="0"/>
    <w:rPr>
      <w:rFonts w:hint="default" w:ascii="Times New Roman" w:hAnsi="Times New Roman" w:eastAsia="宋体" w:cs="Times New Roman"/>
      <w:spacing w:val="0"/>
      <w:w w:val="100"/>
      <w:kern w:val="24"/>
      <w:position w:val="0"/>
      <w:sz w:val="24"/>
      <w:u w:val="none"/>
    </w:rPr>
  </w:style>
  <w:style w:type="character" w:customStyle="1" w:styleId="3052">
    <w:name w:val="题注 Char2"/>
    <w:qFormat/>
    <w:uiPriority w:val="0"/>
    <w:rPr>
      <w:sz w:val="24"/>
      <w:lang w:bidi="ar-SA"/>
    </w:rPr>
  </w:style>
  <w:style w:type="character" w:customStyle="1" w:styleId="3053">
    <w:name w:val="尾注文本 Char2"/>
    <w:qFormat/>
    <w:uiPriority w:val="0"/>
    <w:rPr>
      <w:kern w:val="2"/>
      <w:sz w:val="21"/>
      <w:szCs w:val="24"/>
    </w:rPr>
  </w:style>
  <w:style w:type="character" w:customStyle="1" w:styleId="3054">
    <w:name w:val="样式 标题 1 + (中文) 宋体 小四 Char Char"/>
    <w:qFormat/>
    <w:uiPriority w:val="0"/>
    <w:rPr>
      <w:rFonts w:hint="default" w:ascii="Verdana" w:hAnsi="Verdana"/>
      <w:b/>
      <w:sz w:val="44"/>
      <w:szCs w:val="24"/>
    </w:rPr>
  </w:style>
  <w:style w:type="character" w:customStyle="1" w:styleId="3055">
    <w:name w:val="yyp Char Char Char"/>
    <w:qFormat/>
    <w:uiPriority w:val="0"/>
    <w:rPr>
      <w:rFonts w:hint="default" w:ascii="Calibri" w:hAnsi="Calibri" w:eastAsia="宋体" w:cs="Times New Roman"/>
      <w:sz w:val="24"/>
      <w:szCs w:val="20"/>
    </w:rPr>
  </w:style>
  <w:style w:type="character" w:customStyle="1" w:styleId="3056">
    <w:name w:val="右 Char Char Char1"/>
    <w:qFormat/>
    <w:uiPriority w:val="0"/>
    <w:rPr>
      <w:rFonts w:hint="default" w:ascii="Verdana" w:hAnsi="Verdana" w:eastAsia="宋体"/>
      <w:kern w:val="2"/>
      <w:sz w:val="18"/>
      <w:szCs w:val="20"/>
      <w:lang w:val="en-US" w:eastAsia="zh-CN" w:bidi="ar-SA"/>
    </w:rPr>
  </w:style>
  <w:style w:type="character" w:customStyle="1" w:styleId="3057">
    <w:name w:val="ourfont31"/>
    <w:qFormat/>
    <w:uiPriority w:val="0"/>
    <w:rPr>
      <w:spacing w:val="20"/>
      <w:sz w:val="21"/>
    </w:rPr>
  </w:style>
  <w:style w:type="character" w:customStyle="1" w:styleId="3058">
    <w:name w:val="正文文字缩进 Char Char Char Char"/>
    <w:qFormat/>
    <w:uiPriority w:val="0"/>
    <w:rPr>
      <w:rFonts w:hint="eastAsia" w:ascii="宋体" w:hAnsi="宋体" w:eastAsia="宋体"/>
      <w:spacing w:val="5"/>
      <w:kern w:val="2"/>
      <w:sz w:val="25"/>
      <w:szCs w:val="25"/>
      <w:lang w:val="en-US" w:eastAsia="zh-CN" w:bidi="ar-SA"/>
    </w:rPr>
  </w:style>
  <w:style w:type="character" w:customStyle="1" w:styleId="3059">
    <w:name w:val="正文段落（宋旭峰） Char Char"/>
    <w:qFormat/>
    <w:uiPriority w:val="0"/>
    <w:rPr>
      <w:sz w:val="24"/>
      <w:lang w:bidi="ar-SA"/>
    </w:rPr>
  </w:style>
  <w:style w:type="character" w:customStyle="1" w:styleId="3060">
    <w:name w:val="标题 4(G) Char"/>
    <w:qFormat/>
    <w:uiPriority w:val="0"/>
    <w:rPr>
      <w:rFonts w:hint="default" w:ascii="Times New Roman" w:hAnsi="Times New Roman" w:eastAsia="楷体" w:cs="Times New Roman"/>
      <w:b/>
      <w:sz w:val="24"/>
      <w:szCs w:val="24"/>
    </w:rPr>
  </w:style>
  <w:style w:type="character" w:customStyle="1" w:styleId="3061">
    <w:name w:val="Char Char31"/>
    <w:qFormat/>
    <w:uiPriority w:val="0"/>
    <w:rPr>
      <w:rFonts w:hint="default" w:ascii="Times New Roman" w:hAnsi="Times New Roman" w:eastAsia="宋体" w:cs="Times New Roman"/>
      <w:b/>
      <w:bCs/>
      <w:sz w:val="24"/>
      <w:szCs w:val="24"/>
    </w:rPr>
  </w:style>
  <w:style w:type="character" w:customStyle="1" w:styleId="3062">
    <w:name w:val="自定义正文 Char1"/>
    <w:qFormat/>
    <w:uiPriority w:val="0"/>
    <w:rPr>
      <w:rFonts w:hint="eastAsia" w:ascii="宋体" w:hAnsi="宋体" w:eastAsia="宋体"/>
      <w:kern w:val="2"/>
      <w:position w:val="-28"/>
      <w:sz w:val="28"/>
      <w:szCs w:val="28"/>
      <w:lang w:val="en-US" w:eastAsia="zh-CN" w:bidi="ar-SA"/>
    </w:rPr>
  </w:style>
  <w:style w:type="character" w:customStyle="1" w:styleId="3063">
    <w:name w:val="报告书表格 Char Char"/>
    <w:qFormat/>
    <w:uiPriority w:val="0"/>
    <w:rPr>
      <w:rFonts w:hint="default" w:ascii="Verdana" w:hAnsi="Verdana" w:eastAsia="宋体"/>
      <w:kern w:val="0"/>
      <w:sz w:val="21"/>
      <w:szCs w:val="20"/>
      <w:lang w:val="en-US" w:eastAsia="zh-CN" w:bidi="ar-SA"/>
    </w:rPr>
  </w:style>
  <w:style w:type="character" w:customStyle="1" w:styleId="3064">
    <w:name w:val="DeltaView Insertion"/>
    <w:qFormat/>
    <w:uiPriority w:val="0"/>
    <w:rPr>
      <w:color w:val="0000FF"/>
      <w:spacing w:val="0"/>
      <w:u w:val="double"/>
    </w:rPr>
  </w:style>
  <w:style w:type="paragraph" w:customStyle="1" w:styleId="3065">
    <w:name w:val="样式 图号 + 宋体"/>
    <w:basedOn w:val="1"/>
    <w:link w:val="3066"/>
    <w:qFormat/>
    <w:uiPriority w:val="0"/>
    <w:pPr>
      <w:spacing w:line="240" w:lineRule="auto"/>
      <w:ind w:firstLine="0" w:firstLineChars="0"/>
    </w:pPr>
    <w:rPr>
      <w:rFonts w:cs="Times New Roman"/>
      <w:sz w:val="21"/>
      <w:szCs w:val="20"/>
    </w:rPr>
  </w:style>
  <w:style w:type="character" w:customStyle="1" w:styleId="3066">
    <w:name w:val="样式 图号 + 宋体 Char"/>
    <w:basedOn w:val="657"/>
    <w:link w:val="3065"/>
    <w:qFormat/>
    <w:locked/>
    <w:uiPriority w:val="0"/>
    <w:rPr>
      <w:rFonts w:ascii="Times New Roman" w:hAnsi="Times New Roman" w:eastAsia="宋体" w:cs="Times New Roman"/>
      <w:szCs w:val="20"/>
    </w:rPr>
  </w:style>
  <w:style w:type="character" w:customStyle="1" w:styleId="3067">
    <w:name w:val="HBZW"/>
    <w:basedOn w:val="133"/>
    <w:qFormat/>
    <w:uiPriority w:val="0"/>
    <w:rPr>
      <w:rFonts w:hint="eastAsia" w:ascii="宋体" w:hAnsi="宋体" w:eastAsia="宋体"/>
      <w:kern w:val="0"/>
      <w:sz w:val="24"/>
      <w:lang w:val="en-US" w:eastAsia="zh-CN"/>
    </w:rPr>
  </w:style>
  <w:style w:type="character" w:customStyle="1" w:styleId="3068">
    <w:name w:val="节标题 1.1 Char2"/>
    <w:basedOn w:val="133"/>
    <w:qFormat/>
    <w:uiPriority w:val="0"/>
    <w:rPr>
      <w:rFonts w:hint="eastAsia" w:ascii="黑体" w:hAnsi="Arial" w:eastAsia="黑体"/>
      <w:b/>
      <w:bCs/>
      <w:kern w:val="2"/>
      <w:sz w:val="24"/>
      <w:szCs w:val="24"/>
      <w:lang w:val="en-US" w:eastAsia="zh-CN" w:bidi="ar-SA"/>
    </w:rPr>
  </w:style>
  <w:style w:type="character" w:customStyle="1" w:styleId="3069">
    <w:name w:val="正文不缩进 Char"/>
    <w:basedOn w:val="133"/>
    <w:semiHidden/>
    <w:qFormat/>
    <w:uiPriority w:val="0"/>
    <w:rPr>
      <w:rFonts w:hint="eastAsia" w:ascii="宋体" w:hAnsi="宋体" w:eastAsia="宋体"/>
      <w:kern w:val="2"/>
      <w:sz w:val="21"/>
      <w:szCs w:val="24"/>
      <w:lang w:val="en-US" w:eastAsia="zh-CN" w:bidi="ar-SA"/>
    </w:rPr>
  </w:style>
  <w:style w:type="character" w:customStyle="1" w:styleId="3070">
    <w:name w:val="hb2 Char1"/>
    <w:basedOn w:val="133"/>
    <w:qFormat/>
    <w:uiPriority w:val="0"/>
    <w:rPr>
      <w:rFonts w:hint="eastAsia" w:ascii="宋体" w:hAnsi="宋体" w:eastAsia="宋体" w:cs="Arial"/>
      <w:b/>
      <w:bCs/>
      <w:sz w:val="28"/>
      <w:szCs w:val="28"/>
      <w:lang w:val="en-US" w:eastAsia="zh-CN" w:bidi="ar-SA"/>
    </w:rPr>
  </w:style>
  <w:style w:type="character" w:customStyle="1" w:styleId="3071">
    <w:name w:val="正文文本 Char4"/>
    <w:basedOn w:val="133"/>
    <w:qFormat/>
    <w:locked/>
    <w:uiPriority w:val="0"/>
    <w:rPr>
      <w:kern w:val="2"/>
      <w:sz w:val="21"/>
    </w:rPr>
  </w:style>
  <w:style w:type="character" w:customStyle="1" w:styleId="3072">
    <w:name w:val="正文首行缩进 2 Char2"/>
    <w:basedOn w:val="2800"/>
    <w:semiHidden/>
    <w:qFormat/>
    <w:locked/>
    <w:uiPriority w:val="0"/>
  </w:style>
  <w:style w:type="character" w:customStyle="1" w:styleId="3073">
    <w:name w:val="正文2 Char Char Char"/>
    <w:qFormat/>
    <w:uiPriority w:val="0"/>
    <w:rPr>
      <w:rFonts w:hint="default" w:ascii="Times New Roman" w:hAnsi="Times New Roman" w:eastAsia="Times New Roman" w:cs="Times New Roman"/>
      <w:spacing w:val="18"/>
      <w:sz w:val="32"/>
      <w:lang w:val="en-US" w:eastAsia="zh-CN" w:bidi="ar-SA"/>
    </w:rPr>
  </w:style>
  <w:style w:type="character" w:customStyle="1" w:styleId="3074">
    <w:name w:val="jiu"/>
    <w:qFormat/>
    <w:uiPriority w:val="0"/>
    <w:rPr>
      <w:rFonts w:hint="eastAsia" w:ascii="FLGPEK+TimesNewRoman,Italic" w:hAnsi="FLGPEK+TimesNewRoman,Italic" w:eastAsia="FLGPEK+TimesNewRoman,Italic" w:cs="FLGPEK+TimesNewRoman,Italic"/>
      <w:sz w:val="24"/>
      <w:szCs w:val="24"/>
    </w:rPr>
  </w:style>
  <w:style w:type="character" w:customStyle="1" w:styleId="3075">
    <w:name w:val="新正文样式 Char Char"/>
    <w:qFormat/>
    <w:uiPriority w:val="0"/>
    <w:rPr>
      <w:spacing w:val="20"/>
      <w:kern w:val="2"/>
      <w:sz w:val="24"/>
    </w:rPr>
  </w:style>
  <w:style w:type="character" w:customStyle="1" w:styleId="3076">
    <w:name w:val="reflink plainlinksneverexpand"/>
    <w:basedOn w:val="133"/>
    <w:semiHidden/>
    <w:qFormat/>
    <w:uiPriority w:val="0"/>
  </w:style>
  <w:style w:type="character" w:customStyle="1" w:styleId="3077">
    <w:name w:val="正文文字缩进 2 Char Char"/>
    <w:basedOn w:val="133"/>
    <w:semiHidden/>
    <w:qFormat/>
    <w:uiPriority w:val="0"/>
    <w:rPr>
      <w:rFonts w:hint="eastAsia" w:ascii="宋体" w:hAnsi="宋体" w:eastAsia="宋体"/>
      <w:kern w:val="2"/>
      <w:sz w:val="28"/>
      <w:lang w:val="en-US" w:eastAsia="zh-CN" w:bidi="ar-SA"/>
    </w:rPr>
  </w:style>
  <w:style w:type="character" w:customStyle="1" w:styleId="3078">
    <w:name w:val="xl56 Char"/>
    <w:qFormat/>
    <w:uiPriority w:val="0"/>
    <w:rPr>
      <w:rFonts w:hint="eastAsia" w:ascii="Arial Unicode MS" w:hAnsi="Arial Unicode MS" w:eastAsia="Arial Unicode MS" w:cs="Arial Unicode MS"/>
      <w:sz w:val="18"/>
      <w:szCs w:val="18"/>
      <w:lang w:val="en-US" w:eastAsia="zh-CN" w:bidi="ar-SA"/>
    </w:rPr>
  </w:style>
  <w:style w:type="character" w:customStyle="1" w:styleId="3079">
    <w:name w:val="鲍二级标题 Char Char"/>
    <w:basedOn w:val="133"/>
    <w:semiHidden/>
    <w:qFormat/>
    <w:uiPriority w:val="0"/>
    <w:rPr>
      <w:rFonts w:hint="eastAsia" w:ascii="仿宋_GB2312" w:eastAsia="仿宋_GB2312"/>
      <w:b/>
      <w:kern w:val="28"/>
      <w:sz w:val="30"/>
      <w:szCs w:val="32"/>
      <w:lang w:val="en-US" w:eastAsia="zh-CN" w:bidi="ar-SA"/>
    </w:rPr>
  </w:style>
  <w:style w:type="character" w:customStyle="1" w:styleId="3080">
    <w:name w:val="正文缩进2 Char Char Char Char Char Char Cha"/>
    <w:qFormat/>
    <w:uiPriority w:val="0"/>
    <w:rPr>
      <w:rFonts w:hint="eastAsia" w:ascii="宋体" w:hAnsi="宋体" w:eastAsia="宋体"/>
      <w:kern w:val="2"/>
      <w:sz w:val="24"/>
      <w:lang w:val="en-US" w:eastAsia="zh-CN"/>
    </w:rPr>
  </w:style>
  <w:style w:type="character" w:customStyle="1" w:styleId="3081">
    <w:name w:val="通用正文 Char Char"/>
    <w:qFormat/>
    <w:uiPriority w:val="0"/>
    <w:rPr>
      <w:rFonts w:hint="eastAsia" w:ascii="新宋体" w:hAnsi="新宋体" w:eastAsia="新宋体"/>
      <w:sz w:val="24"/>
      <w:szCs w:val="24"/>
    </w:rPr>
  </w:style>
  <w:style w:type="character" w:customStyle="1" w:styleId="3082">
    <w:name w:val="123YJ Char Char1"/>
    <w:semiHidden/>
    <w:qFormat/>
    <w:uiPriority w:val="0"/>
    <w:rPr>
      <w:rFonts w:hint="eastAsia" w:ascii="宋体" w:hAnsi="宋体" w:eastAsia="宋体"/>
      <w:kern w:val="2"/>
      <w:sz w:val="18"/>
      <w:szCs w:val="18"/>
      <w:lang w:val="en-US" w:eastAsia="zh-CN" w:bidi="ar-SA"/>
    </w:rPr>
  </w:style>
  <w:style w:type="character" w:customStyle="1" w:styleId="3083">
    <w:name w:val="blue1"/>
    <w:qFormat/>
    <w:uiPriority w:val="0"/>
    <w:rPr>
      <w:color w:val="626E83"/>
    </w:rPr>
  </w:style>
  <w:style w:type="character" w:customStyle="1" w:styleId="3084">
    <w:name w:val="页眉zxl Char1"/>
    <w:qFormat/>
    <w:uiPriority w:val="0"/>
    <w:rPr>
      <w:rFonts w:hint="eastAsia" w:ascii="宋体" w:hAnsi="宋体" w:eastAsia="宋体"/>
      <w:kern w:val="2"/>
      <w:sz w:val="18"/>
      <w:szCs w:val="18"/>
      <w:lang w:val="en-US" w:eastAsia="zh-CN" w:bidi="ar-SA"/>
    </w:rPr>
  </w:style>
  <w:style w:type="character" w:customStyle="1" w:styleId="3085">
    <w:name w:val="Char Char15"/>
    <w:qFormat/>
    <w:uiPriority w:val="0"/>
    <w:rPr>
      <w:rFonts w:hint="default" w:ascii="Arial" w:hAnsi="Arial" w:eastAsia="宋体" w:cs="Arial"/>
      <w:kern w:val="24"/>
      <w:sz w:val="24"/>
    </w:rPr>
  </w:style>
  <w:style w:type="character" w:customStyle="1" w:styleId="3086">
    <w:name w:val="正文文字 2 Char Char1"/>
    <w:qFormat/>
    <w:uiPriority w:val="0"/>
    <w:rPr>
      <w:rFonts w:hint="eastAsia" w:ascii="宋体" w:hAnsi="宋体" w:eastAsia="宋体"/>
      <w:sz w:val="24"/>
      <w:lang w:val="en-US" w:eastAsia="zh-CN" w:bidi="ar-SA"/>
    </w:rPr>
  </w:style>
  <w:style w:type="character" w:customStyle="1" w:styleId="3087">
    <w:name w:val="subtitle1"/>
    <w:qFormat/>
    <w:uiPriority w:val="0"/>
    <w:rPr>
      <w:rFonts w:hint="default" w:ascii="ˎ̥" w:hAnsi="ˎ̥"/>
      <w:sz w:val="20"/>
      <w:szCs w:val="20"/>
    </w:rPr>
  </w:style>
  <w:style w:type="character" w:customStyle="1" w:styleId="3088">
    <w:name w:val="标题2 Char Char"/>
    <w:basedOn w:val="133"/>
    <w:qFormat/>
    <w:uiPriority w:val="0"/>
    <w:rPr>
      <w:rFonts w:hint="default" w:ascii="Cambria" w:hAnsi="Cambria" w:eastAsia="黑体"/>
      <w:kern w:val="2"/>
      <w:sz w:val="28"/>
      <w:szCs w:val="32"/>
      <w:lang w:val="en-US" w:eastAsia="zh-CN" w:bidi="ar-SA"/>
    </w:rPr>
  </w:style>
  <w:style w:type="character" w:customStyle="1" w:styleId="3089">
    <w:name w:val="title41"/>
    <w:qFormat/>
    <w:uiPriority w:val="0"/>
    <w:rPr>
      <w:rFonts w:hint="eastAsia" w:ascii="宋体" w:hAnsi="宋体" w:eastAsia="宋体"/>
      <w:color w:val="FF6600"/>
      <w:sz w:val="36"/>
      <w:szCs w:val="36"/>
    </w:rPr>
  </w:style>
  <w:style w:type="character" w:customStyle="1" w:styleId="3090">
    <w:name w:val="正文部分 Char"/>
    <w:qFormat/>
    <w:uiPriority w:val="0"/>
    <w:rPr>
      <w:rFonts w:hint="eastAsia" w:ascii="宋体" w:hAnsi="宋体" w:eastAsia="宋体" w:cs="宋体"/>
      <w:bCs/>
      <w:sz w:val="28"/>
      <w:szCs w:val="32"/>
      <w:lang w:val="en-US" w:eastAsia="zh-CN" w:bidi="ar-SA"/>
    </w:rPr>
  </w:style>
  <w:style w:type="character" w:customStyle="1" w:styleId="3091">
    <w:name w:val="标题2-自建可研 Char Char Char"/>
    <w:qFormat/>
    <w:uiPriority w:val="0"/>
  </w:style>
  <w:style w:type="character" w:customStyle="1" w:styleId="3092">
    <w:name w:val="black"/>
    <w:qFormat/>
    <w:uiPriority w:val="0"/>
    <w:rPr>
      <w:rFonts w:hint="eastAsia" w:ascii="宋体" w:hAnsi="宋体" w:eastAsia="宋体"/>
      <w:b/>
      <w:szCs w:val="20"/>
    </w:rPr>
  </w:style>
  <w:style w:type="character" w:customStyle="1" w:styleId="3093">
    <w:name w:val="正文文本缩进 Char2"/>
    <w:qFormat/>
    <w:uiPriority w:val="0"/>
    <w:rPr>
      <w:kern w:val="2"/>
      <w:sz w:val="24"/>
      <w:szCs w:val="24"/>
    </w:rPr>
  </w:style>
  <w:style w:type="paragraph" w:customStyle="1" w:styleId="3094">
    <w:name w:val="海港表头"/>
    <w:basedOn w:val="1"/>
    <w:link w:val="3095"/>
    <w:qFormat/>
    <w:uiPriority w:val="0"/>
    <w:pPr>
      <w:spacing w:line="240" w:lineRule="auto"/>
      <w:ind w:firstLine="0" w:firstLineChars="0"/>
    </w:pPr>
    <w:rPr>
      <w:rFonts w:cs="Times New Roman"/>
      <w:sz w:val="21"/>
      <w:szCs w:val="20"/>
    </w:rPr>
  </w:style>
  <w:style w:type="character" w:customStyle="1" w:styleId="3095">
    <w:name w:val="海港表头 Char Char"/>
    <w:link w:val="3094"/>
    <w:qFormat/>
    <w:locked/>
    <w:uiPriority w:val="0"/>
    <w:rPr>
      <w:rFonts w:ascii="Times New Roman" w:hAnsi="Times New Roman" w:eastAsia="宋体" w:cs="Times New Roman"/>
      <w:szCs w:val="20"/>
    </w:rPr>
  </w:style>
  <w:style w:type="paragraph" w:customStyle="1" w:styleId="3096">
    <w:name w:val="新正文付"/>
    <w:basedOn w:val="1"/>
    <w:link w:val="3097"/>
    <w:qFormat/>
    <w:uiPriority w:val="0"/>
    <w:pPr>
      <w:spacing w:line="240" w:lineRule="auto"/>
      <w:ind w:firstLine="0" w:firstLineChars="0"/>
    </w:pPr>
    <w:rPr>
      <w:rFonts w:cs="Times New Roman"/>
      <w:sz w:val="21"/>
      <w:szCs w:val="20"/>
    </w:rPr>
  </w:style>
  <w:style w:type="character" w:customStyle="1" w:styleId="3097">
    <w:name w:val="新正文付 Char"/>
    <w:basedOn w:val="166"/>
    <w:link w:val="3096"/>
    <w:qFormat/>
    <w:locked/>
    <w:uiPriority w:val="0"/>
    <w:rPr>
      <w:szCs w:val="20"/>
    </w:rPr>
  </w:style>
  <w:style w:type="character" w:customStyle="1" w:styleId="3098">
    <w:name w:val="标题 2 Char2"/>
    <w:qFormat/>
    <w:uiPriority w:val="0"/>
    <w:rPr>
      <w:rFonts w:hint="default" w:ascii="Chicago" w:hAnsi="Chicago" w:eastAsia="Calibri"/>
      <w:b/>
      <w:bCs/>
      <w:kern w:val="2"/>
      <w:sz w:val="32"/>
      <w:szCs w:val="32"/>
      <w:lang w:val="en-US" w:eastAsia="zh-CN" w:bidi="ar-SA"/>
    </w:rPr>
  </w:style>
  <w:style w:type="character" w:customStyle="1" w:styleId="3099">
    <w:name w:val="副标题 Char1"/>
    <w:qFormat/>
    <w:uiPriority w:val="0"/>
    <w:rPr>
      <w:rFonts w:hint="default" w:ascii="Cambria" w:hAnsi="Cambria" w:eastAsia="宋体" w:cs="Times New Roman"/>
      <w:b/>
      <w:bCs/>
      <w:kern w:val="28"/>
      <w:sz w:val="32"/>
      <w:szCs w:val="32"/>
    </w:rPr>
  </w:style>
  <w:style w:type="character" w:customStyle="1" w:styleId="3100">
    <w:name w:val="表格文字居中 Char Char Char Char"/>
    <w:qFormat/>
    <w:uiPriority w:val="0"/>
    <w:rPr>
      <w:color w:val="000000"/>
      <w:sz w:val="24"/>
      <w:szCs w:val="21"/>
      <w:lang w:bidi="ar-SA"/>
    </w:rPr>
  </w:style>
  <w:style w:type="character" w:customStyle="1" w:styleId="3101">
    <w:name w:val="style91"/>
    <w:basedOn w:val="133"/>
    <w:qFormat/>
    <w:uiPriority w:val="0"/>
    <w:rPr>
      <w:color w:val="333333"/>
    </w:rPr>
  </w:style>
  <w:style w:type="character" w:customStyle="1" w:styleId="3102">
    <w:name w:val="表头 Char Char Char"/>
    <w:qFormat/>
    <w:uiPriority w:val="0"/>
    <w:rPr>
      <w:rFonts w:hint="eastAsia" w:ascii="黑体" w:hAnsi="黑体" w:eastAsia="黑体"/>
      <w:kern w:val="2"/>
      <w:sz w:val="25"/>
      <w:lang w:val="en-US" w:eastAsia="zh-CN"/>
    </w:rPr>
  </w:style>
  <w:style w:type="character" w:customStyle="1" w:styleId="3103">
    <w:name w:val="页脚 Char1"/>
    <w:qFormat/>
    <w:uiPriority w:val="0"/>
    <w:rPr>
      <w:kern w:val="2"/>
      <w:sz w:val="18"/>
    </w:rPr>
  </w:style>
  <w:style w:type="character" w:customStyle="1" w:styleId="3104">
    <w:name w:val="正5 Char Char"/>
    <w:basedOn w:val="133"/>
    <w:qFormat/>
    <w:uiPriority w:val="0"/>
    <w:rPr>
      <w:rFonts w:hint="eastAsia" w:ascii="宋体" w:hAnsi="宋体" w:eastAsia="宋体"/>
      <w:color w:val="000000"/>
      <w:kern w:val="2"/>
      <w:sz w:val="24"/>
      <w:lang w:val="en-US" w:eastAsia="zh-CN" w:bidi="ar-SA"/>
    </w:rPr>
  </w:style>
  <w:style w:type="character" w:customStyle="1" w:styleId="3105">
    <w:name w:val="条标题1.1.1.1 Char"/>
    <w:qFormat/>
    <w:uiPriority w:val="0"/>
    <w:rPr>
      <w:rFonts w:hint="eastAsia" w:ascii="Batang" w:hAnsi="Batang" w:eastAsia="FLGPEK+TimesNewRoman,Italic"/>
      <w:b/>
      <w:bCs/>
      <w:kern w:val="2"/>
      <w:sz w:val="28"/>
      <w:szCs w:val="28"/>
      <w:lang w:val="en-US" w:eastAsia="zh-CN" w:bidi="ar-SA"/>
    </w:rPr>
  </w:style>
  <w:style w:type="character" w:customStyle="1" w:styleId="3106">
    <w:name w:val="目录 2 Char Char Char Char"/>
    <w:qFormat/>
    <w:uiPriority w:val="0"/>
    <w:rPr>
      <w:rFonts w:hint="eastAsia" w:ascii="华文中宋" w:hAnsi="华文中宋" w:eastAsia="华文中宋"/>
      <w:b/>
      <w:bCs/>
      <w:kern w:val="2"/>
      <w:lang w:bidi="ar-SA"/>
    </w:rPr>
  </w:style>
  <w:style w:type="character" w:customStyle="1" w:styleId="3107">
    <w:name w:val="标题样式2 Char Char"/>
    <w:basedOn w:val="133"/>
    <w:qFormat/>
    <w:uiPriority w:val="0"/>
    <w:rPr>
      <w:rFonts w:hint="eastAsia" w:ascii="黑体" w:hAnsi="宋体" w:eastAsia="黑体"/>
      <w:b/>
      <w:bCs/>
      <w:kern w:val="2"/>
      <w:sz w:val="24"/>
      <w:szCs w:val="32"/>
      <w:lang w:val="en-US" w:eastAsia="zh-CN" w:bidi="ar-SA"/>
    </w:rPr>
  </w:style>
  <w:style w:type="character" w:customStyle="1" w:styleId="3108">
    <w:name w:val="Char Char171"/>
    <w:qFormat/>
    <w:uiPriority w:val="0"/>
    <w:rPr>
      <w:rFonts w:hint="default" w:ascii="Verdana" w:hAnsi="Verdana" w:eastAsia="华文仿宋"/>
      <w:kern w:val="2"/>
      <w:sz w:val="24"/>
      <w:lang w:val="en-US" w:eastAsia="zh-CN"/>
    </w:rPr>
  </w:style>
  <w:style w:type="character" w:customStyle="1" w:styleId="3109">
    <w:name w:val="正文wang Char Char"/>
    <w:basedOn w:val="133"/>
    <w:qFormat/>
    <w:uiPriority w:val="0"/>
    <w:rPr>
      <w:rFonts w:hint="eastAsia" w:ascii="宋体" w:hAnsi="宋体" w:eastAsia="宋体"/>
      <w:spacing w:val="-4"/>
      <w:sz w:val="24"/>
      <w:szCs w:val="24"/>
      <w:lang w:val="en-US" w:eastAsia="zh-CN" w:bidi="ar-SA"/>
    </w:rPr>
  </w:style>
  <w:style w:type="character" w:customStyle="1" w:styleId="3110">
    <w:name w:val="图题 Char"/>
    <w:qFormat/>
    <w:uiPriority w:val="0"/>
    <w:rPr>
      <w:rFonts w:hint="eastAsia" w:ascii="黑体" w:hAnsi="宋体" w:eastAsia="黑体"/>
      <w:b/>
      <w:bCs/>
      <w:kern w:val="2"/>
      <w:sz w:val="24"/>
      <w:szCs w:val="24"/>
      <w:lang w:bidi="ar-SA"/>
    </w:rPr>
  </w:style>
  <w:style w:type="character" w:customStyle="1" w:styleId="3111">
    <w:name w:val="杨正文 Char Char"/>
    <w:basedOn w:val="133"/>
    <w:qFormat/>
    <w:uiPriority w:val="0"/>
    <w:rPr>
      <w:rFonts w:hint="eastAsia" w:ascii="宋体" w:hAnsi="宋体" w:eastAsia="宋体"/>
      <w:kern w:val="2"/>
      <w:sz w:val="24"/>
      <w:szCs w:val="21"/>
      <w:lang w:val="en-US" w:eastAsia="zh-CN" w:bidi="ar-SA"/>
    </w:rPr>
  </w:style>
  <w:style w:type="character" w:customStyle="1" w:styleId="3112">
    <w:name w:val="tit"/>
    <w:basedOn w:val="133"/>
    <w:qFormat/>
    <w:uiPriority w:val="0"/>
  </w:style>
  <w:style w:type="character" w:customStyle="1" w:styleId="3113">
    <w:name w:val="hb2 Char Char"/>
    <w:basedOn w:val="133"/>
    <w:qFormat/>
    <w:uiPriority w:val="0"/>
    <w:rPr>
      <w:rFonts w:hint="eastAsia" w:ascii="宋体" w:hAnsi="宋体" w:eastAsia="宋体"/>
      <w:b/>
      <w:kern w:val="2"/>
      <w:sz w:val="28"/>
      <w:lang w:val="en-US" w:eastAsia="zh-CN" w:bidi="ar-SA"/>
    </w:rPr>
  </w:style>
  <w:style w:type="character" w:customStyle="1" w:styleId="3114">
    <w:name w:val="标题4 Char1"/>
    <w:qFormat/>
    <w:uiPriority w:val="0"/>
    <w:rPr>
      <w:rFonts w:hint="eastAsia" w:ascii="FLGPEK+TimesNewRoman,Italic" w:hAnsi="FLGPEK+TimesNewRoman,Italic" w:eastAsia="Calibri" w:cs="Chicago"/>
      <w:kern w:val="2"/>
      <w:sz w:val="24"/>
      <w:szCs w:val="24"/>
    </w:rPr>
  </w:style>
  <w:style w:type="character" w:customStyle="1" w:styleId="3115">
    <w:name w:val="正文新 Char Char"/>
    <w:basedOn w:val="133"/>
    <w:qFormat/>
    <w:uiPriority w:val="0"/>
    <w:rPr>
      <w:rFonts w:hint="eastAsia" w:ascii="宋体" w:hAnsi="宋体" w:eastAsia="宋体" w:cs="Courier New"/>
      <w:bCs/>
      <w:kern w:val="2"/>
      <w:sz w:val="24"/>
      <w:szCs w:val="24"/>
      <w:lang w:val="en-US" w:eastAsia="zh-CN" w:bidi="ar-SA"/>
    </w:rPr>
  </w:style>
  <w:style w:type="character" w:customStyle="1" w:styleId="3116">
    <w:name w:val="样式5 Char Char Char Char"/>
    <w:basedOn w:val="133"/>
    <w:qFormat/>
    <w:uiPriority w:val="0"/>
    <w:rPr>
      <w:rFonts w:hint="eastAsia" w:ascii="黑体" w:hAnsi="黑体" w:eastAsia="黑体"/>
      <w:kern w:val="44"/>
      <w:sz w:val="24"/>
      <w:szCs w:val="24"/>
      <w:lang w:val="en-US" w:eastAsia="zh-CN" w:bidi="ar-SA"/>
    </w:rPr>
  </w:style>
  <w:style w:type="character" w:customStyle="1" w:styleId="3117">
    <w:name w:val="表头文字 Char Char Char"/>
    <w:qFormat/>
    <w:uiPriority w:val="0"/>
    <w:rPr>
      <w:rFonts w:hint="eastAsia" w:ascii="黑体" w:hAnsi="黑体" w:eastAsia="黑体"/>
      <w:kern w:val="2"/>
      <w:sz w:val="24"/>
      <w:lang w:val="en-US" w:eastAsia="zh-CN" w:bidi="ar-SA"/>
    </w:rPr>
  </w:style>
  <w:style w:type="character" w:customStyle="1" w:styleId="3118">
    <w:name w:val="正文文本缩进 3 Char Char"/>
    <w:basedOn w:val="133"/>
    <w:qFormat/>
    <w:uiPriority w:val="0"/>
    <w:rPr>
      <w:rFonts w:hint="eastAsia" w:ascii="宋体" w:hAnsi="宋体" w:eastAsia="宋体"/>
      <w:kern w:val="2"/>
      <w:sz w:val="16"/>
      <w:szCs w:val="16"/>
      <w:lang w:val="en-US" w:eastAsia="zh-CN" w:bidi="ar-SA"/>
    </w:rPr>
  </w:style>
  <w:style w:type="character" w:customStyle="1" w:styleId="3119">
    <w:name w:val="Char Char Char3"/>
    <w:qFormat/>
    <w:uiPriority w:val="0"/>
    <w:rPr>
      <w:rFonts w:hint="eastAsia" w:ascii="FLGPEK+TimesNewRoman,Italic" w:hAnsi="Batang" w:eastAsia="FLGPEK+TimesNewRoman,Italic"/>
      <w:b/>
      <w:bCs/>
      <w:kern w:val="44"/>
      <w:sz w:val="30"/>
      <w:lang w:val="en-US" w:eastAsia="zh-CN"/>
    </w:rPr>
  </w:style>
  <w:style w:type="character" w:customStyle="1" w:styleId="3120">
    <w:name w:val="普通(网站) Char"/>
    <w:qFormat/>
    <w:uiPriority w:val="0"/>
    <w:rPr>
      <w:rFonts w:hint="eastAsia" w:ascii="宋体" w:hAnsi="宋体" w:eastAsia="宋体"/>
      <w:sz w:val="24"/>
      <w:szCs w:val="24"/>
      <w:lang w:bidi="ar-SA"/>
    </w:rPr>
  </w:style>
  <w:style w:type="character" w:customStyle="1" w:styleId="3121">
    <w:name w:val="标题33 Char Char"/>
    <w:qFormat/>
    <w:uiPriority w:val="0"/>
    <w:rPr>
      <w:rFonts w:hint="default" w:ascii="Arial" w:hAnsi="Arial" w:eastAsia="楷体_GB2312" w:cs="宋体"/>
      <w:b/>
      <w:bCs/>
      <w:sz w:val="24"/>
      <w:szCs w:val="24"/>
    </w:rPr>
  </w:style>
  <w:style w:type="character" w:customStyle="1" w:styleId="3122">
    <w:name w:val="ld标题3 Char Char"/>
    <w:basedOn w:val="133"/>
    <w:qFormat/>
    <w:uiPriority w:val="0"/>
    <w:rPr>
      <w:rFonts w:hint="eastAsia" w:ascii="宋体" w:hAnsi="宋体" w:eastAsia="宋体"/>
      <w:b/>
      <w:kern w:val="2"/>
      <w:sz w:val="21"/>
      <w:szCs w:val="32"/>
      <w:lang w:val="en-US" w:eastAsia="zh-CN" w:bidi="ar-SA"/>
    </w:rPr>
  </w:style>
  <w:style w:type="character" w:customStyle="1" w:styleId="3123">
    <w:name w:val="文本正文 Char1"/>
    <w:qFormat/>
    <w:uiPriority w:val="0"/>
    <w:rPr>
      <w:rFonts w:hint="eastAsia" w:ascii="宋体" w:hAnsi="宋体" w:eastAsia="宋体"/>
      <w:kern w:val="2"/>
      <w:sz w:val="24"/>
      <w:szCs w:val="24"/>
      <w:lang w:val="en-US" w:eastAsia="zh-CN" w:bidi="ar-SA"/>
    </w:rPr>
  </w:style>
  <w:style w:type="character" w:customStyle="1" w:styleId="3124">
    <w:name w:val="s_font_cuti1"/>
    <w:qFormat/>
    <w:uiPriority w:val="0"/>
    <w:rPr>
      <w:rFonts w:hint="eastAsia" w:ascii="宋体" w:hAnsi="宋体" w:eastAsia="宋体"/>
      <w:b/>
      <w:bCs/>
      <w:color w:val="000000"/>
      <w:sz w:val="21"/>
      <w:szCs w:val="21"/>
    </w:rPr>
  </w:style>
  <w:style w:type="character" w:customStyle="1" w:styleId="3125">
    <w:name w:val="投标文件二级标题 Char Char"/>
    <w:basedOn w:val="133"/>
    <w:qFormat/>
    <w:uiPriority w:val="0"/>
    <w:rPr>
      <w:rFonts w:hint="default" w:ascii="Arial" w:hAnsi="Arial" w:eastAsia="黑体" w:cs="Arial"/>
      <w:color w:val="000000"/>
      <w:kern w:val="2"/>
      <w:sz w:val="28"/>
      <w:lang w:val="en-US" w:eastAsia="zh-CN" w:bidi="ar-SA"/>
    </w:rPr>
  </w:style>
  <w:style w:type="character" w:customStyle="1" w:styleId="3126">
    <w:name w:val="example2"/>
    <w:basedOn w:val="133"/>
    <w:qFormat/>
    <w:uiPriority w:val="0"/>
  </w:style>
  <w:style w:type="character" w:customStyle="1" w:styleId="3127">
    <w:name w:val="标题 2 Char1"/>
    <w:qFormat/>
    <w:uiPriority w:val="0"/>
    <w:rPr>
      <w:rFonts w:hint="eastAsia" w:ascii="Batang" w:hAnsi="Batang" w:eastAsia="宋体"/>
      <w:b/>
      <w:kern w:val="2"/>
      <w:sz w:val="32"/>
      <w:lang w:val="en-US" w:eastAsia="zh-CN"/>
    </w:rPr>
  </w:style>
  <w:style w:type="character" w:customStyle="1" w:styleId="3128">
    <w:name w:val="表文字 Char Char"/>
    <w:basedOn w:val="133"/>
    <w:qFormat/>
    <w:uiPriority w:val="0"/>
    <w:rPr>
      <w:rFonts w:hint="eastAsia" w:ascii="宋体" w:hAnsi="宋体" w:eastAsia="宋体"/>
      <w:kern w:val="2"/>
      <w:sz w:val="21"/>
      <w:szCs w:val="21"/>
      <w:lang w:val="en-US" w:eastAsia="zh-CN" w:bidi="ar-SA"/>
    </w:rPr>
  </w:style>
  <w:style w:type="character" w:customStyle="1" w:styleId="3129">
    <w:name w:val="新正文样式 Char Char Char"/>
    <w:qFormat/>
    <w:uiPriority w:val="0"/>
    <w:rPr>
      <w:rFonts w:hint="eastAsia" w:ascii="宋体" w:hAnsi="宋体" w:eastAsia="宋体"/>
      <w:spacing w:val="20"/>
      <w:kern w:val="2"/>
      <w:sz w:val="24"/>
      <w:lang w:val="en-US" w:eastAsia="zh-CN" w:bidi="ar-SA"/>
    </w:rPr>
  </w:style>
  <w:style w:type="character" w:customStyle="1" w:styleId="3130">
    <w:name w:val="付正文1 Char Char"/>
    <w:qFormat/>
    <w:uiPriority w:val="0"/>
    <w:rPr>
      <w:rFonts w:hint="eastAsia" w:ascii="宋体" w:hAnsi="宋体" w:eastAsia="宋体" w:cs="Arial"/>
      <w:color w:val="000000"/>
      <w:kern w:val="2"/>
      <w:sz w:val="24"/>
      <w:szCs w:val="24"/>
      <w:lang w:val="en-US" w:eastAsia="zh-CN" w:bidi="ar-SA"/>
    </w:rPr>
  </w:style>
  <w:style w:type="character" w:customStyle="1" w:styleId="3131">
    <w:name w:val="123YJ Char"/>
    <w:qFormat/>
    <w:uiPriority w:val="0"/>
    <w:rPr>
      <w:sz w:val="18"/>
      <w:szCs w:val="18"/>
    </w:rPr>
  </w:style>
  <w:style w:type="character" w:customStyle="1" w:styleId="3132">
    <w:name w:val="表文字xxxxxxxx Char Char"/>
    <w:qFormat/>
    <w:uiPriority w:val="0"/>
    <w:rPr>
      <w:rFonts w:hint="eastAsia" w:ascii="宋体" w:hAnsi="宋体" w:eastAsia="宋体"/>
      <w:kern w:val="2"/>
      <w:sz w:val="21"/>
      <w:szCs w:val="21"/>
      <w:lang w:val="en-US" w:eastAsia="zh-CN" w:bidi="ar-SA"/>
    </w:rPr>
  </w:style>
  <w:style w:type="character" w:customStyle="1" w:styleId="3133">
    <w:name w:val="lh131"/>
    <w:qFormat/>
    <w:uiPriority w:val="0"/>
    <w:rPr>
      <w:rFonts w:hint="eastAsia" w:ascii="宋体" w:hAnsi="宋体" w:eastAsia="宋体"/>
      <w:b/>
      <w:szCs w:val="20"/>
    </w:rPr>
  </w:style>
  <w:style w:type="character" w:customStyle="1" w:styleId="3134">
    <w:name w:val="副标题 Char2"/>
    <w:qFormat/>
    <w:uiPriority w:val="0"/>
    <w:rPr>
      <w:rFonts w:hint="default" w:ascii="Cambria" w:hAnsi="Cambria" w:cs="Times New Roman"/>
      <w:b/>
      <w:bCs/>
      <w:kern w:val="28"/>
      <w:sz w:val="32"/>
      <w:szCs w:val="32"/>
    </w:rPr>
  </w:style>
  <w:style w:type="character" w:customStyle="1" w:styleId="3135">
    <w:name w:val="表格标题3 Char Char"/>
    <w:basedOn w:val="133"/>
    <w:qFormat/>
    <w:uiPriority w:val="0"/>
    <w:rPr>
      <w:rFonts w:hint="eastAsia" w:ascii="宋体" w:hAnsi="宋体" w:eastAsia="宋体"/>
      <w:b/>
      <w:kern w:val="2"/>
      <w:sz w:val="24"/>
      <w:szCs w:val="24"/>
      <w:lang w:val="en-US" w:eastAsia="zh-CN" w:bidi="ar-SA"/>
    </w:rPr>
  </w:style>
  <w:style w:type="character" w:customStyle="1" w:styleId="3136">
    <w:name w:val="正文1 Char Char"/>
    <w:basedOn w:val="133"/>
    <w:qFormat/>
    <w:uiPriority w:val="0"/>
    <w:rPr>
      <w:rFonts w:hint="eastAsia" w:ascii="宋体" w:hAnsi="宋体" w:eastAsia="宋体"/>
      <w:kern w:val="2"/>
      <w:sz w:val="24"/>
      <w:szCs w:val="28"/>
      <w:lang w:val="en-US" w:eastAsia="zh-CN" w:bidi="ar-SA"/>
    </w:rPr>
  </w:style>
  <w:style w:type="character" w:customStyle="1" w:styleId="3137">
    <w:name w:val="报告正文 Char1"/>
    <w:qFormat/>
    <w:uiPriority w:val="0"/>
    <w:rPr>
      <w:rFonts w:hint="eastAsia" w:ascii="宋体" w:hAnsi="宋体" w:eastAsia="宋体"/>
      <w:kern w:val="2"/>
      <w:sz w:val="28"/>
      <w:lang w:val="en-US" w:eastAsia="zh-CN"/>
    </w:rPr>
  </w:style>
  <w:style w:type="character" w:customStyle="1" w:styleId="3138">
    <w:name w:val="标题一 Char Char"/>
    <w:qFormat/>
    <w:uiPriority w:val="0"/>
    <w:rPr>
      <w:rFonts w:hint="default" w:ascii="Times New Roman" w:hAnsi="Times New Roman" w:eastAsia="宋体" w:cs="Times New Roman"/>
      <w:b/>
      <w:bCs/>
      <w:kern w:val="44"/>
      <w:sz w:val="30"/>
      <w:szCs w:val="44"/>
    </w:rPr>
  </w:style>
  <w:style w:type="character" w:customStyle="1" w:styleId="3139">
    <w:name w:val="1.标题 1 Char1"/>
    <w:qFormat/>
    <w:uiPriority w:val="0"/>
    <w:rPr>
      <w:b/>
      <w:bCs/>
      <w:kern w:val="44"/>
      <w:sz w:val="32"/>
      <w:szCs w:val="44"/>
    </w:rPr>
  </w:style>
  <w:style w:type="character" w:customStyle="1" w:styleId="3140">
    <w:name w:val="标题 4 Char11"/>
    <w:qFormat/>
    <w:uiPriority w:val="0"/>
    <w:rPr>
      <w:rFonts w:hint="eastAsia" w:ascii="黑体" w:hAnsi="Arial" w:eastAsia="黑体"/>
      <w:b/>
      <w:bCs/>
      <w:kern w:val="2"/>
      <w:sz w:val="24"/>
      <w:szCs w:val="24"/>
    </w:rPr>
  </w:style>
  <w:style w:type="character" w:customStyle="1" w:styleId="3141">
    <w:name w:val="1级标题 Char Char"/>
    <w:qFormat/>
    <w:uiPriority w:val="0"/>
    <w:rPr>
      <w:rFonts w:hint="eastAsia" w:ascii="宋体" w:hAnsi="宋体" w:eastAsia="宋体"/>
      <w:b/>
      <w:kern w:val="44"/>
      <w:sz w:val="44"/>
      <w:lang w:val="en-US" w:eastAsia="zh-CN"/>
    </w:rPr>
  </w:style>
  <w:style w:type="character" w:customStyle="1" w:styleId="3142">
    <w:name w:val="cpjs1"/>
    <w:qFormat/>
    <w:uiPriority w:val="0"/>
    <w:rPr>
      <w:rFonts w:hint="default" w:ascii="ˎ̥" w:hAnsi="ˎ̥"/>
      <w:color w:val="666666"/>
      <w:spacing w:val="56"/>
      <w:sz w:val="26"/>
    </w:rPr>
  </w:style>
  <w:style w:type="character" w:customStyle="1" w:styleId="3143">
    <w:name w:val="s1"/>
    <w:qFormat/>
    <w:uiPriority w:val="0"/>
    <w:rPr>
      <w:rFonts w:hint="eastAsia" w:ascii="宋体" w:hAnsi="宋体" w:eastAsia="宋体"/>
      <w:kern w:val="0"/>
      <w:sz w:val="18"/>
      <w:szCs w:val="20"/>
      <w:lang w:eastAsia="en-US"/>
    </w:rPr>
  </w:style>
  <w:style w:type="character" w:customStyle="1" w:styleId="3144">
    <w:name w:val="BOD 0 Char Char Char"/>
    <w:qFormat/>
    <w:uiPriority w:val="0"/>
    <w:rPr>
      <w:rFonts w:hint="eastAsia" w:ascii="宋体" w:hAnsi="宋体" w:eastAsia="宋体"/>
      <w:b/>
      <w:bCs/>
      <w:kern w:val="2"/>
      <w:sz w:val="32"/>
      <w:szCs w:val="32"/>
      <w:lang w:val="en-US" w:eastAsia="zh-CN" w:bidi="ar-SA"/>
    </w:rPr>
  </w:style>
  <w:style w:type="character" w:customStyle="1" w:styleId="3145">
    <w:name w:val="zt11"/>
    <w:qFormat/>
    <w:uiPriority w:val="0"/>
    <w:rPr>
      <w:rFonts w:hint="eastAsia" w:ascii="宋体" w:hAnsi="宋体" w:eastAsia="宋体"/>
      <w:color w:val="000000"/>
      <w:kern w:val="2"/>
      <w:sz w:val="18"/>
      <w:szCs w:val="18"/>
      <w:u w:val="none"/>
      <w:lang w:val="en-US" w:eastAsia="zh-CN" w:bidi="ar-SA"/>
    </w:rPr>
  </w:style>
  <w:style w:type="character" w:customStyle="1" w:styleId="3146">
    <w:name w:val="Char Char Char Char Char4"/>
    <w:qFormat/>
    <w:uiPriority w:val="0"/>
    <w:rPr>
      <w:rFonts w:hint="default" w:ascii="Arial" w:hAnsi="Arial" w:eastAsia="黑体" w:cs="Arial"/>
      <w:b/>
      <w:bCs/>
      <w:kern w:val="2"/>
      <w:sz w:val="32"/>
      <w:szCs w:val="32"/>
      <w:lang w:val="en-US" w:eastAsia="zh-CN" w:bidi="ar-SA"/>
    </w:rPr>
  </w:style>
  <w:style w:type="character" w:customStyle="1" w:styleId="3147">
    <w:name w:val="样式2 Char Char"/>
    <w:qFormat/>
    <w:uiPriority w:val="0"/>
    <w:rPr>
      <w:rFonts w:hint="eastAsia" w:ascii="宋体" w:hAnsi="宋体" w:eastAsia="宋体"/>
      <w:snapToGrid/>
      <w:kern w:val="2"/>
      <w:sz w:val="24"/>
    </w:rPr>
  </w:style>
  <w:style w:type="character" w:customStyle="1" w:styleId="3148">
    <w:name w:val="正文文本缩进 2 Char1 Char"/>
    <w:qFormat/>
    <w:uiPriority w:val="0"/>
    <w:rPr>
      <w:rFonts w:hint="eastAsia" w:ascii="宋体" w:hAnsi="宋体" w:eastAsia="宋体"/>
      <w:kern w:val="2"/>
      <w:sz w:val="28"/>
      <w:szCs w:val="24"/>
      <w:lang w:val="en-US" w:eastAsia="zh-CN" w:bidi="ar-SA"/>
    </w:rPr>
  </w:style>
  <w:style w:type="character" w:customStyle="1" w:styleId="3149">
    <w:name w:val="unnamed31"/>
    <w:qFormat/>
    <w:uiPriority w:val="0"/>
    <w:rPr>
      <w:sz w:val="21"/>
      <w:szCs w:val="21"/>
    </w:rPr>
  </w:style>
  <w:style w:type="character" w:customStyle="1" w:styleId="3150">
    <w:name w:val="style61"/>
    <w:qFormat/>
    <w:uiPriority w:val="0"/>
    <w:rPr>
      <w:b/>
      <w:bCs/>
      <w:sz w:val="23"/>
      <w:szCs w:val="23"/>
    </w:rPr>
  </w:style>
  <w:style w:type="character" w:customStyle="1" w:styleId="3151">
    <w:name w:val="Char Char43"/>
    <w:qFormat/>
    <w:uiPriority w:val="0"/>
    <w:rPr>
      <w:rFonts w:hint="eastAsia" w:ascii="宋体" w:hAnsi="宋体" w:eastAsia="宋体"/>
      <w:kern w:val="2"/>
      <w:sz w:val="21"/>
      <w:szCs w:val="21"/>
      <w:lang w:val="en-US" w:eastAsia="zh-CN" w:bidi="ar-SA"/>
    </w:rPr>
  </w:style>
  <w:style w:type="character" w:customStyle="1" w:styleId="3152">
    <w:name w:val="tit2"/>
    <w:qFormat/>
    <w:uiPriority w:val="0"/>
    <w:rPr>
      <w:b/>
      <w:bCs/>
      <w:sz w:val="48"/>
      <w:szCs w:val="48"/>
    </w:rPr>
  </w:style>
  <w:style w:type="character" w:customStyle="1" w:styleId="3153">
    <w:name w:val="Char Char41"/>
    <w:qFormat/>
    <w:uiPriority w:val="0"/>
    <w:rPr>
      <w:rFonts w:hint="eastAsia" w:ascii="宋体" w:hAnsi="宋体" w:eastAsia="宋体"/>
      <w:kern w:val="2"/>
      <w:sz w:val="21"/>
      <w:szCs w:val="24"/>
      <w:lang w:val="en-US" w:eastAsia="zh-CN" w:bidi="ar-SA"/>
    </w:rPr>
  </w:style>
  <w:style w:type="character" w:customStyle="1" w:styleId="3154">
    <w:name w:val="条-成果 Char Char"/>
    <w:qFormat/>
    <w:uiPriority w:val="0"/>
    <w:rPr>
      <w:rFonts w:hint="eastAsia" w:ascii="宋体" w:hAnsi="宋体" w:eastAsia="宋体"/>
      <w:kern w:val="2"/>
      <w:sz w:val="24"/>
      <w:lang w:val="en-US" w:eastAsia="zh-CN"/>
    </w:rPr>
  </w:style>
  <w:style w:type="character" w:customStyle="1" w:styleId="3155">
    <w:name w:val="表格用字 Char Char1"/>
    <w:qFormat/>
    <w:uiPriority w:val="0"/>
    <w:rPr>
      <w:rFonts w:hint="eastAsia" w:ascii="宋体" w:hAnsi="宋体" w:eastAsia="仿宋_GB2312"/>
      <w:kern w:val="2"/>
      <w:sz w:val="24"/>
      <w:lang w:val="en-US" w:eastAsia="zh-CN"/>
    </w:rPr>
  </w:style>
  <w:style w:type="character" w:customStyle="1" w:styleId="3156">
    <w:name w:val="热电厂正文 Char"/>
    <w:qFormat/>
    <w:uiPriority w:val="0"/>
    <w:rPr>
      <w:rFonts w:hint="eastAsia" w:ascii="宋体" w:hAnsi="宋体" w:eastAsia="宋体"/>
      <w:kern w:val="2"/>
      <w:sz w:val="24"/>
      <w:lang w:val="en-US" w:eastAsia="zh-CN"/>
    </w:rPr>
  </w:style>
  <w:style w:type="character" w:customStyle="1" w:styleId="3157">
    <w:name w:val="标题2 Char21"/>
    <w:qFormat/>
    <w:uiPriority w:val="0"/>
    <w:rPr>
      <w:rFonts w:hint="eastAsia" w:ascii="宋体" w:hAnsi="Courier New" w:eastAsia="宋体" w:cs="Courier New"/>
      <w:kern w:val="2"/>
      <w:sz w:val="24"/>
      <w:szCs w:val="21"/>
      <w:lang w:val="en-US" w:eastAsia="zh-CN" w:bidi="ar-SA"/>
    </w:rPr>
  </w:style>
  <w:style w:type="character" w:customStyle="1" w:styleId="3158">
    <w:name w:val="l1201"/>
    <w:basedOn w:val="133"/>
    <w:qFormat/>
    <w:uiPriority w:val="0"/>
  </w:style>
  <w:style w:type="character" w:customStyle="1" w:styleId="3159">
    <w:name w:val="tt1"/>
    <w:qFormat/>
    <w:uiPriority w:val="0"/>
    <w:rPr>
      <w:rFonts w:hint="default" w:ascii="ˎ̥" w:hAnsi="ˎ̥" w:eastAsia="宋体"/>
      <w:kern w:val="2"/>
      <w:sz w:val="21"/>
      <w:szCs w:val="21"/>
      <w:lang w:val="en-US" w:eastAsia="zh-CN" w:bidi="ar-SA"/>
    </w:rPr>
  </w:style>
  <w:style w:type="character" w:customStyle="1" w:styleId="3160">
    <w:name w:val="Char Char141"/>
    <w:qFormat/>
    <w:uiPriority w:val="0"/>
    <w:rPr>
      <w:rFonts w:hint="default" w:ascii="Times New Roman" w:hAnsi="Times New Roman" w:cs="Times New Roman"/>
      <w:kern w:val="2"/>
      <w:sz w:val="21"/>
      <w:szCs w:val="24"/>
    </w:rPr>
  </w:style>
  <w:style w:type="character" w:customStyle="1" w:styleId="3161">
    <w:name w:val="text7"/>
    <w:basedOn w:val="133"/>
    <w:qFormat/>
    <w:uiPriority w:val="0"/>
  </w:style>
  <w:style w:type="character" w:customStyle="1" w:styleId="3162">
    <w:name w:val="样式 热电厂正文 + 首行缩进:  2 字符 Char Char Char Char Char"/>
    <w:qFormat/>
    <w:uiPriority w:val="0"/>
    <w:rPr>
      <w:rFonts w:hint="eastAsia" w:ascii="宋体" w:hAnsi="宋体" w:eastAsia="宋体" w:cs="宋体"/>
      <w:kern w:val="2"/>
      <w:sz w:val="24"/>
      <w:szCs w:val="24"/>
      <w:lang w:val="en-US" w:eastAsia="zh-CN" w:bidi="ar-SA"/>
    </w:rPr>
  </w:style>
  <w:style w:type="character" w:customStyle="1" w:styleId="3163">
    <w:name w:val="标题 211"/>
    <w:qFormat/>
    <w:uiPriority w:val="0"/>
    <w:rPr>
      <w:rFonts w:hint="default" w:ascii="Arial" w:hAnsi="Arial" w:eastAsia="黑体" w:cs="Arial"/>
      <w:b/>
      <w:bCs/>
      <w:kern w:val="2"/>
      <w:sz w:val="32"/>
      <w:szCs w:val="32"/>
      <w:lang w:val="en-US" w:eastAsia="zh-CN" w:bidi="ar-SA"/>
    </w:rPr>
  </w:style>
  <w:style w:type="character" w:customStyle="1" w:styleId="3164">
    <w:name w:val="jtpsoft1"/>
    <w:qFormat/>
    <w:uiPriority w:val="0"/>
    <w:rPr>
      <w:color w:val="505050"/>
      <w:sz w:val="18"/>
      <w:szCs w:val="18"/>
    </w:rPr>
  </w:style>
  <w:style w:type="character" w:customStyle="1" w:styleId="3165">
    <w:name w:val="Typewriter"/>
    <w:qFormat/>
    <w:uiPriority w:val="0"/>
    <w:rPr>
      <w:rFonts w:hint="default" w:ascii="Courier New" w:hAnsi="Courier New" w:cs="Courier New"/>
      <w:sz w:val="20"/>
    </w:rPr>
  </w:style>
  <w:style w:type="character" w:customStyle="1" w:styleId="3166">
    <w:name w:val="热电厂正文 Char Char Char Char"/>
    <w:qFormat/>
    <w:uiPriority w:val="0"/>
    <w:rPr>
      <w:rFonts w:hint="eastAsia" w:ascii="宋体" w:hAnsi="宋体" w:eastAsia="宋体"/>
      <w:kern w:val="2"/>
      <w:sz w:val="24"/>
      <w:szCs w:val="24"/>
      <w:lang w:val="en-US" w:eastAsia="zh-CN" w:bidi="ar-SA"/>
    </w:rPr>
  </w:style>
  <w:style w:type="character" w:customStyle="1" w:styleId="3167">
    <w:name w:val="新标题4 Char Char"/>
    <w:qFormat/>
    <w:uiPriority w:val="0"/>
    <w:rPr>
      <w:rFonts w:hint="default" w:ascii="Arial" w:hAnsi="Arial" w:eastAsia="宋体" w:cs="宋体"/>
      <w:b/>
      <w:bCs/>
      <w:spacing w:val="8"/>
      <w:kern w:val="2"/>
      <w:sz w:val="24"/>
      <w:szCs w:val="24"/>
      <w:lang w:val="en-US" w:eastAsia="zh-CN" w:bidi="ar-SA"/>
    </w:rPr>
  </w:style>
  <w:style w:type="character" w:customStyle="1" w:styleId="3168">
    <w:name w:val="正文（首行缩进两字） Char Char Char Char2"/>
    <w:qFormat/>
    <w:uiPriority w:val="0"/>
    <w:rPr>
      <w:rFonts w:hint="eastAsia" w:ascii="宋体" w:hAnsi="宋体" w:eastAsia="宋体"/>
      <w:sz w:val="24"/>
      <w:lang w:val="en-US" w:eastAsia="zh-CN" w:bidi="ar-SA"/>
    </w:rPr>
  </w:style>
  <w:style w:type="character" w:customStyle="1" w:styleId="3169">
    <w:name w:val="可研-正文首行缩进 Char Char1"/>
    <w:qFormat/>
    <w:uiPriority w:val="0"/>
    <w:rPr>
      <w:rFonts w:hint="eastAsia" w:ascii="宋体" w:hAnsi="宋体" w:eastAsia="宋体"/>
      <w:color w:val="000000"/>
      <w:sz w:val="28"/>
      <w:szCs w:val="28"/>
      <w:lang w:val="en-US" w:eastAsia="zh-CN" w:bidi="ar-SA"/>
    </w:rPr>
  </w:style>
  <w:style w:type="character" w:customStyle="1" w:styleId="3170">
    <w:name w:val="Char Char7"/>
    <w:semiHidden/>
    <w:qFormat/>
    <w:uiPriority w:val="0"/>
    <w:rPr>
      <w:rFonts w:hint="default" w:ascii="Arial" w:hAnsi="Arial" w:eastAsia="宋体" w:cs="Arial"/>
      <w:b/>
      <w:bCs/>
      <w:kern w:val="2"/>
      <w:sz w:val="24"/>
      <w:szCs w:val="24"/>
      <w:lang w:val="en-US" w:eastAsia="zh-CN" w:bidi="ar-SA"/>
    </w:rPr>
  </w:style>
  <w:style w:type="character" w:customStyle="1" w:styleId="3171">
    <w:name w:val="type_blue_61"/>
    <w:qFormat/>
    <w:uiPriority w:val="0"/>
    <w:rPr>
      <w:color w:val="002565"/>
      <w:spacing w:val="300"/>
      <w:sz w:val="21"/>
      <w:szCs w:val="21"/>
      <w:u w:val="none"/>
    </w:rPr>
  </w:style>
  <w:style w:type="character" w:customStyle="1" w:styleId="3172">
    <w:name w:val="ttitle1"/>
    <w:qFormat/>
    <w:uiPriority w:val="0"/>
    <w:rPr>
      <w:spacing w:val="120"/>
      <w:sz w:val="21"/>
      <w:szCs w:val="21"/>
    </w:rPr>
  </w:style>
  <w:style w:type="character" w:customStyle="1" w:styleId="3173">
    <w:name w:val="正文文字 Char Char Char Char Char"/>
    <w:qFormat/>
    <w:uiPriority w:val="0"/>
    <w:rPr>
      <w:rFonts w:hint="eastAsia" w:ascii="宋体" w:hAnsi="宋体" w:eastAsia="宋体"/>
      <w:kern w:val="2"/>
      <w:sz w:val="24"/>
      <w:lang w:val="en-US" w:eastAsia="zh-CN" w:bidi="ar-SA"/>
    </w:rPr>
  </w:style>
  <w:style w:type="character" w:customStyle="1" w:styleId="3174">
    <w:name w:val="Job"/>
    <w:basedOn w:val="133"/>
    <w:qFormat/>
    <w:uiPriority w:val="0"/>
  </w:style>
  <w:style w:type="character" w:customStyle="1" w:styleId="3175">
    <w:name w:val="Lead-in Emphasis"/>
    <w:qFormat/>
    <w:uiPriority w:val="0"/>
    <w:rPr>
      <w:rFonts w:hint="default" w:ascii="Arial" w:hAnsi="Arial" w:cs="Arial"/>
      <w:b/>
      <w:spacing w:val="-8"/>
      <w:sz w:val="18"/>
    </w:rPr>
  </w:style>
  <w:style w:type="character" w:customStyle="1" w:styleId="3176">
    <w:name w:val="篇号"/>
    <w:qFormat/>
    <w:uiPriority w:val="0"/>
    <w:rPr>
      <w:rFonts w:hint="eastAsia" w:ascii="宋体" w:hAnsi="宋体" w:eastAsia="宋体"/>
      <w:sz w:val="28"/>
      <w:szCs w:val="28"/>
    </w:rPr>
  </w:style>
  <w:style w:type="character" w:customStyle="1" w:styleId="3177">
    <w:name w:val="fb1"/>
    <w:qFormat/>
    <w:uiPriority w:val="0"/>
    <w:rPr>
      <w:b/>
      <w:bCs/>
    </w:rPr>
  </w:style>
  <w:style w:type="character" w:customStyle="1" w:styleId="3178">
    <w:name w:val="arr1"/>
    <w:basedOn w:val="133"/>
    <w:qFormat/>
    <w:uiPriority w:val="0"/>
  </w:style>
  <w:style w:type="character" w:customStyle="1" w:styleId="3179">
    <w:name w:val="f12 fgy"/>
    <w:basedOn w:val="133"/>
    <w:qFormat/>
    <w:uiPriority w:val="0"/>
  </w:style>
  <w:style w:type="character" w:customStyle="1" w:styleId="3180">
    <w:name w:val="正文缩进 Char2"/>
    <w:semiHidden/>
    <w:qFormat/>
    <w:uiPriority w:val="0"/>
    <w:rPr>
      <w:rFonts w:hint="default" w:ascii="Arial" w:hAnsi="Arial" w:eastAsia="宋体" w:cs="Arial"/>
      <w:kern w:val="2"/>
      <w:sz w:val="24"/>
      <w:lang w:val="en-US" w:eastAsia="zh-CN" w:bidi="ar-SA"/>
    </w:rPr>
  </w:style>
  <w:style w:type="character" w:customStyle="1" w:styleId="3181">
    <w:name w:val="Char Char13"/>
    <w:qFormat/>
    <w:uiPriority w:val="0"/>
    <w:rPr>
      <w:rFonts w:hint="default" w:ascii="Times New Roman" w:hAnsi="Times New Roman" w:eastAsia="宋体" w:cs="Times New Roman"/>
      <w:spacing w:val="6"/>
      <w:kern w:val="2"/>
      <w:sz w:val="24"/>
      <w:szCs w:val="24"/>
      <w:lang w:val="en-US" w:eastAsia="zh-CN" w:bidi="ar-SA"/>
    </w:rPr>
  </w:style>
  <w:style w:type="character" w:customStyle="1" w:styleId="3182">
    <w:name w:val="Char Char14"/>
    <w:qFormat/>
    <w:uiPriority w:val="0"/>
    <w:rPr>
      <w:rFonts w:hint="default" w:ascii="Times New Roman" w:hAnsi="Times New Roman" w:cs="Times New Roman"/>
      <w:kern w:val="2"/>
      <w:sz w:val="21"/>
      <w:szCs w:val="24"/>
    </w:rPr>
  </w:style>
  <w:style w:type="character" w:customStyle="1" w:styleId="3183">
    <w:name w:val="headlines1"/>
    <w:qFormat/>
    <w:uiPriority w:val="0"/>
    <w:rPr>
      <w:rFonts w:hint="eastAsia" w:ascii="򌘺ڢ,  ڌ墬 ˎ̥" w:eastAsia="򌘺ڢ,  ڌ墬 ˎ̥"/>
      <w:color w:val="554B74"/>
      <w:sz w:val="36"/>
      <w:szCs w:val="36"/>
    </w:rPr>
  </w:style>
  <w:style w:type="character" w:customStyle="1" w:styleId="3184">
    <w:name w:val="apple-style-span"/>
    <w:basedOn w:val="133"/>
    <w:qFormat/>
    <w:uiPriority w:val="0"/>
  </w:style>
  <w:style w:type="character" w:customStyle="1" w:styleId="3185">
    <w:name w:val="1-正文 Char Char"/>
    <w:qFormat/>
    <w:uiPriority w:val="0"/>
    <w:rPr>
      <w:rFonts w:hint="eastAsia" w:ascii="宋体" w:hAnsi="宋体" w:eastAsia="宋体"/>
      <w:kern w:val="2"/>
      <w:sz w:val="24"/>
      <w:lang w:val="en-US" w:eastAsia="zh-CN" w:bidi="ar-SA"/>
    </w:rPr>
  </w:style>
  <w:style w:type="character" w:customStyle="1" w:styleId="3186">
    <w:name w:val="nfdjsaeriu1"/>
    <w:qFormat/>
    <w:uiPriority w:val="0"/>
    <w:rPr>
      <w:vanish/>
    </w:rPr>
  </w:style>
  <w:style w:type="character" w:customStyle="1" w:styleId="3187">
    <w:name w:val="标题 3-报告书 Char Char"/>
    <w:qFormat/>
    <w:uiPriority w:val="0"/>
    <w:rPr>
      <w:rFonts w:hint="eastAsia" w:ascii="华文中宋" w:hAnsi="华文中宋" w:eastAsia="华文中宋"/>
      <w:kern w:val="2"/>
      <w:sz w:val="30"/>
      <w:szCs w:val="24"/>
      <w:lang w:val="en-US" w:eastAsia="zh-CN" w:bidi="ar-SA"/>
    </w:rPr>
  </w:style>
  <w:style w:type="character" w:customStyle="1" w:styleId="3188">
    <w:name w:val="a21"/>
    <w:qFormat/>
    <w:uiPriority w:val="0"/>
    <w:rPr>
      <w:rFonts w:hint="eastAsia" w:ascii="宋体" w:hAnsi="宋体" w:eastAsia="宋体"/>
      <w:color w:val="000000"/>
      <w:spacing w:val="300"/>
      <w:sz w:val="24"/>
      <w:szCs w:val="24"/>
      <w:u w:val="none"/>
      <w:lang w:val="en-US" w:eastAsia="en-US" w:bidi="ar-SA"/>
    </w:rPr>
  </w:style>
  <w:style w:type="character" w:customStyle="1" w:styleId="3189">
    <w:name w:val="正文(首行缩进) Char1"/>
    <w:qFormat/>
    <w:uiPriority w:val="0"/>
    <w:rPr>
      <w:rFonts w:hint="eastAsia" w:ascii="宋体" w:hAnsi="宋体" w:eastAsia="宋体"/>
      <w:snapToGrid w:val="0"/>
      <w:sz w:val="24"/>
      <w:szCs w:val="24"/>
      <w:lang w:val="en-US" w:eastAsia="zh-CN" w:bidi="ar-SA"/>
    </w:rPr>
  </w:style>
  <w:style w:type="character" w:customStyle="1" w:styleId="3190">
    <w:name w:val="表中文字 Char"/>
    <w:qFormat/>
    <w:uiPriority w:val="0"/>
    <w:rPr>
      <w:rFonts w:hint="eastAsia" w:ascii="宋体" w:hAnsi="宋体" w:eastAsia="宋体"/>
      <w:kern w:val="2"/>
      <w:sz w:val="18"/>
      <w:szCs w:val="18"/>
      <w:lang w:val="en-US" w:eastAsia="zh-CN" w:bidi="ar-SA"/>
    </w:rPr>
  </w:style>
  <w:style w:type="character" w:customStyle="1" w:styleId="3191">
    <w:name w:val="chword"/>
    <w:basedOn w:val="133"/>
    <w:qFormat/>
    <w:uiPriority w:val="0"/>
  </w:style>
  <w:style w:type="character" w:customStyle="1" w:styleId="3192">
    <w:name w:val="hei141"/>
    <w:qFormat/>
    <w:uiPriority w:val="0"/>
    <w:rPr>
      <w:color w:val="000000"/>
      <w:sz w:val="21"/>
    </w:rPr>
  </w:style>
  <w:style w:type="character" w:customStyle="1" w:styleId="3193">
    <w:name w:val="正文文字缩进 3 Char Char1"/>
    <w:qFormat/>
    <w:uiPriority w:val="0"/>
    <w:rPr>
      <w:rFonts w:hint="eastAsia" w:ascii="宋体" w:hAnsi="宋体" w:eastAsia="宋体"/>
      <w:color w:val="FF0000"/>
      <w:kern w:val="2"/>
      <w:sz w:val="28"/>
      <w:lang w:val="en-US" w:eastAsia="zh-CN" w:bidi="ar-SA"/>
    </w:rPr>
  </w:style>
  <w:style w:type="character" w:customStyle="1" w:styleId="3194">
    <w:name w:val="dlscore"/>
    <w:basedOn w:val="133"/>
    <w:qFormat/>
    <w:uiPriority w:val="0"/>
  </w:style>
  <w:style w:type="character" w:customStyle="1" w:styleId="3195">
    <w:name w:val="yyp Char Char"/>
    <w:qFormat/>
    <w:uiPriority w:val="0"/>
    <w:rPr>
      <w:rFonts w:hint="default" w:ascii="Calibri" w:hAnsi="Calibri" w:eastAsia="宋体" w:cs="Calibri"/>
      <w:sz w:val="24"/>
      <w:lang w:bidi="ar-SA"/>
    </w:rPr>
  </w:style>
  <w:style w:type="character" w:customStyle="1" w:styleId="3196">
    <w:name w:val="Char Char Char Char Char41"/>
    <w:qFormat/>
    <w:uiPriority w:val="0"/>
    <w:rPr>
      <w:rFonts w:hint="default" w:ascii="Arial" w:hAnsi="Arial" w:eastAsia="黑体" w:cs="Arial"/>
      <w:b/>
      <w:bCs/>
      <w:kern w:val="2"/>
      <w:sz w:val="32"/>
      <w:szCs w:val="32"/>
      <w:lang w:val="en-US" w:eastAsia="zh-CN" w:bidi="ar-SA"/>
    </w:rPr>
  </w:style>
  <w:style w:type="character" w:customStyle="1" w:styleId="3197">
    <w:name w:val="Char Char131"/>
    <w:qFormat/>
    <w:uiPriority w:val="0"/>
    <w:rPr>
      <w:rFonts w:hint="default" w:ascii="Times New Roman" w:hAnsi="Times New Roman" w:eastAsia="宋体" w:cs="Times New Roman"/>
      <w:spacing w:val="6"/>
      <w:kern w:val="2"/>
      <w:sz w:val="24"/>
      <w:szCs w:val="24"/>
      <w:lang w:val="en-US" w:eastAsia="zh-CN" w:bidi="ar-SA"/>
    </w:rPr>
  </w:style>
  <w:style w:type="character" w:customStyle="1" w:styleId="3198">
    <w:name w:val="xxxxx正文 Char Char"/>
    <w:qFormat/>
    <w:uiPriority w:val="0"/>
    <w:rPr>
      <w:rFonts w:hint="eastAsia" w:ascii="宋体" w:hAnsi="宋体" w:eastAsia="宋体"/>
      <w:kern w:val="2"/>
      <w:sz w:val="24"/>
      <w:szCs w:val="24"/>
      <w:lang w:val="zh-CN" w:eastAsia="zh-CN" w:bidi="ar-SA"/>
    </w:rPr>
  </w:style>
  <w:style w:type="character" w:customStyle="1" w:styleId="3199">
    <w:name w:val="[1]正文 Char"/>
    <w:qFormat/>
    <w:uiPriority w:val="0"/>
    <w:rPr>
      <w:rFonts w:hint="default" w:ascii="Calibri" w:hAnsi="Calibri" w:eastAsia="宋体" w:cs="Calibri"/>
      <w:sz w:val="24"/>
      <w:szCs w:val="28"/>
      <w:lang w:bidi="ar-SA"/>
    </w:rPr>
  </w:style>
  <w:style w:type="character" w:customStyle="1" w:styleId="3200">
    <w:name w:val="Char Char33"/>
    <w:qFormat/>
    <w:uiPriority w:val="0"/>
    <w:rPr>
      <w:rFonts w:hint="default" w:ascii="Times New Roman" w:hAnsi="Times New Roman" w:eastAsia="黑体" w:cs="Times New Roman"/>
      <w:b/>
      <w:bCs/>
      <w:sz w:val="24"/>
      <w:szCs w:val="28"/>
    </w:rPr>
  </w:style>
  <w:style w:type="character" w:customStyle="1" w:styleId="3201">
    <w:name w:val="Char Char27"/>
    <w:qFormat/>
    <w:uiPriority w:val="0"/>
    <w:rPr>
      <w:rFonts w:hint="default" w:ascii="Times New Roman" w:hAnsi="Times New Roman" w:eastAsia="宋体" w:cs="Times New Roman"/>
      <w:sz w:val="18"/>
      <w:szCs w:val="18"/>
    </w:rPr>
  </w:style>
  <w:style w:type="character" w:customStyle="1" w:styleId="3202">
    <w:name w:val="Char Char28"/>
    <w:qFormat/>
    <w:uiPriority w:val="0"/>
    <w:rPr>
      <w:rFonts w:hint="default" w:ascii="Times New Roman" w:hAnsi="Times New Roman" w:eastAsia="宋体" w:cs="Times New Roman"/>
      <w:sz w:val="24"/>
      <w:szCs w:val="24"/>
    </w:rPr>
  </w:style>
  <w:style w:type="character" w:customStyle="1" w:styleId="3203">
    <w:name w:val="Char Char5"/>
    <w:qFormat/>
    <w:uiPriority w:val="0"/>
    <w:rPr>
      <w:rFonts w:hint="default" w:ascii="Arial" w:hAnsi="Arial" w:eastAsia="黑体" w:cs="Arial"/>
      <w:b/>
      <w:bCs/>
      <w:kern w:val="2"/>
      <w:sz w:val="32"/>
      <w:szCs w:val="32"/>
      <w:lang w:val="en-US" w:eastAsia="zh-CN" w:bidi="ar-SA"/>
    </w:rPr>
  </w:style>
  <w:style w:type="character" w:customStyle="1" w:styleId="3204">
    <w:name w:val="Char Char4"/>
    <w:qFormat/>
    <w:uiPriority w:val="0"/>
    <w:rPr>
      <w:rFonts w:hint="eastAsia" w:ascii="宋体" w:hAnsi="宋体" w:eastAsia="宋体"/>
      <w:kern w:val="2"/>
      <w:sz w:val="18"/>
      <w:szCs w:val="18"/>
      <w:lang w:val="en-US" w:eastAsia="zh-CN" w:bidi="ar-SA"/>
    </w:rPr>
  </w:style>
  <w:style w:type="character" w:customStyle="1" w:styleId="3205">
    <w:name w:val="正文文字缩进 2 Char"/>
    <w:qFormat/>
    <w:uiPriority w:val="0"/>
    <w:rPr>
      <w:rFonts w:hint="eastAsia" w:ascii="宋体" w:hAnsi="宋体" w:eastAsia="宋体" w:cs="Times New Roman"/>
      <w:sz w:val="28"/>
      <w:szCs w:val="30"/>
    </w:rPr>
  </w:style>
  <w:style w:type="character" w:customStyle="1" w:styleId="3206">
    <w:name w:val="标题二 Char Char"/>
    <w:qFormat/>
    <w:uiPriority w:val="0"/>
    <w:rPr>
      <w:rFonts w:hint="default" w:ascii="Times New Roman" w:hAnsi="Times New Roman" w:eastAsia="宋体" w:cs="Times New Roman"/>
      <w:b/>
      <w:bCs/>
      <w:sz w:val="28"/>
      <w:szCs w:val="32"/>
    </w:rPr>
  </w:style>
  <w:style w:type="character" w:customStyle="1" w:styleId="3207">
    <w:name w:val="正文文字1 Char Char"/>
    <w:qFormat/>
    <w:uiPriority w:val="0"/>
    <w:rPr>
      <w:rFonts w:hint="eastAsia" w:ascii="宋体" w:hAnsi="宋体" w:eastAsia="宋体"/>
      <w:kern w:val="2"/>
      <w:sz w:val="18"/>
      <w:lang w:val="en-US" w:eastAsia="zh-CN" w:bidi="ar-SA"/>
    </w:rPr>
  </w:style>
  <w:style w:type="character" w:customStyle="1" w:styleId="3208">
    <w:name w:val="keyword1"/>
    <w:qFormat/>
    <w:uiPriority w:val="0"/>
    <w:rPr>
      <w:color w:val="FF0000"/>
    </w:rPr>
  </w:style>
  <w:style w:type="character" w:customStyle="1" w:styleId="3209">
    <w:name w:val="样式 标题 3 Char1 Char Char1标题 3 Char Char1 Char Char2标题 3 Char1 C...2"/>
    <w:qFormat/>
    <w:uiPriority w:val="0"/>
    <w:rPr>
      <w:rFonts w:hint="default" w:ascii="Times New Roman" w:hAnsi="Times New Roman" w:eastAsia="黑体" w:cs="Times New Roman"/>
      <w:b/>
      <w:bCs/>
      <w:kern w:val="2"/>
      <w:sz w:val="24"/>
      <w:lang w:val="en-US" w:eastAsia="zh-CN"/>
    </w:rPr>
  </w:style>
  <w:style w:type="character" w:customStyle="1" w:styleId="3210">
    <w:name w:val="表头 Char2"/>
    <w:qFormat/>
    <w:uiPriority w:val="0"/>
    <w:rPr>
      <w:rFonts w:hint="eastAsia" w:ascii="宋体" w:hAnsi="宋体" w:eastAsia="宋体" w:cs="Arial"/>
      <w:kern w:val="2"/>
      <w:sz w:val="24"/>
      <w:szCs w:val="24"/>
      <w:lang w:val="en-US" w:eastAsia="zh-CN" w:bidi="ar-SA"/>
    </w:rPr>
  </w:style>
  <w:style w:type="character" w:customStyle="1" w:styleId="3211">
    <w:name w:val="页脚 Char Char"/>
    <w:qFormat/>
    <w:uiPriority w:val="0"/>
    <w:rPr>
      <w:rFonts w:hint="eastAsia" w:ascii="宋体" w:hAnsi="宋体" w:eastAsia="宋体"/>
      <w:kern w:val="2"/>
      <w:sz w:val="24"/>
      <w:szCs w:val="18"/>
      <w:lang w:val="en-US" w:eastAsia="zh-CN" w:bidi="ar-SA"/>
    </w:rPr>
  </w:style>
  <w:style w:type="character" w:customStyle="1" w:styleId="3212">
    <w:name w:val="普通文字 Char Char Char Char1"/>
    <w:qFormat/>
    <w:uiPriority w:val="0"/>
    <w:rPr>
      <w:rFonts w:hint="eastAsia" w:ascii="宋体" w:hAnsi="Courier New" w:eastAsia="宋体"/>
      <w:kern w:val="2"/>
      <w:sz w:val="21"/>
      <w:lang w:val="en-US" w:eastAsia="zh-CN" w:bidi="ar-SA"/>
    </w:rPr>
  </w:style>
  <w:style w:type="character" w:customStyle="1" w:styleId="3213">
    <w:name w:val="a14"/>
    <w:basedOn w:val="133"/>
    <w:qFormat/>
    <w:uiPriority w:val="0"/>
  </w:style>
  <w:style w:type="character" w:customStyle="1" w:styleId="3214">
    <w:name w:val="content"/>
    <w:basedOn w:val="133"/>
    <w:qFormat/>
    <w:uiPriority w:val="0"/>
  </w:style>
  <w:style w:type="character" w:customStyle="1" w:styleId="3215">
    <w:name w:val="表格内容 Char"/>
    <w:qFormat/>
    <w:uiPriority w:val="0"/>
    <w:rPr>
      <w:color w:val="000000"/>
      <w:kern w:val="2"/>
      <w:sz w:val="21"/>
      <w:szCs w:val="24"/>
      <w:lang w:val="en-US" w:eastAsia="zh-CN" w:bidi="ar-SA"/>
    </w:rPr>
  </w:style>
  <w:style w:type="character" w:customStyle="1" w:styleId="3216">
    <w:name w:val="正文文本缩进 Char3"/>
    <w:qFormat/>
    <w:uiPriority w:val="0"/>
    <w:rPr>
      <w:kern w:val="2"/>
      <w:sz w:val="24"/>
    </w:rPr>
  </w:style>
  <w:style w:type="character" w:customStyle="1" w:styleId="3217">
    <w:name w:val="标题 4(G) Char1"/>
    <w:qFormat/>
    <w:uiPriority w:val="0"/>
    <w:rPr>
      <w:rFonts w:hint="default" w:ascii="Arial" w:hAnsi="Arial" w:eastAsia="黑体" w:cs="Arial"/>
      <w:b/>
      <w:bCs/>
      <w:kern w:val="2"/>
      <w:sz w:val="28"/>
      <w:szCs w:val="28"/>
      <w:lang w:eastAsia="en-US"/>
    </w:rPr>
  </w:style>
  <w:style w:type="character" w:customStyle="1" w:styleId="3218">
    <w:name w:val="9p1"/>
    <w:qFormat/>
    <w:uiPriority w:val="0"/>
    <w:rPr>
      <w:sz w:val="18"/>
    </w:rPr>
  </w:style>
  <w:style w:type="character" w:customStyle="1" w:styleId="3219">
    <w:name w:val="b128"/>
    <w:qFormat/>
    <w:uiPriority w:val="0"/>
    <w:rPr>
      <w:rFonts w:hint="eastAsia" w:ascii="宋体" w:hAnsi="宋体" w:eastAsia="宋体"/>
      <w:b/>
      <w:szCs w:val="20"/>
    </w:rPr>
  </w:style>
  <w:style w:type="character" w:customStyle="1" w:styleId="3220">
    <w:name w:val="正文dg Char Char Char"/>
    <w:qFormat/>
    <w:uiPriority w:val="0"/>
    <w:rPr>
      <w:rFonts w:hint="eastAsia" w:ascii="新宋体" w:hAnsi="新宋体" w:eastAsia="新宋体"/>
      <w:kern w:val="2"/>
      <w:sz w:val="24"/>
      <w:szCs w:val="24"/>
      <w:lang w:val="en-US" w:eastAsia="zh-CN" w:bidi="ar-SA"/>
    </w:rPr>
  </w:style>
  <w:style w:type="character" w:customStyle="1" w:styleId="3221">
    <w:name w:val="纯文本 Char2"/>
    <w:qFormat/>
    <w:uiPriority w:val="0"/>
    <w:rPr>
      <w:rFonts w:hint="eastAsia" w:ascii="FLGPEK+TimesNewRoman,Italic" w:hAnsi="Vladimir Script" w:eastAsia="Calibri" w:cs="Chicago"/>
      <w:kern w:val="2"/>
      <w:sz w:val="21"/>
      <w:lang w:val="en-US" w:eastAsia="zh-CN" w:bidi="ar-SA"/>
    </w:rPr>
  </w:style>
  <w:style w:type="character" w:customStyle="1" w:styleId="3222">
    <w:name w:val="Char Char12"/>
    <w:qFormat/>
    <w:uiPriority w:val="0"/>
    <w:rPr>
      <w:rFonts w:hint="default" w:ascii="Arial" w:hAnsi="Arial" w:eastAsia="宋体" w:cs="Arial"/>
      <w:sz w:val="24"/>
      <w:lang w:val="en-US" w:eastAsia="zh-CN"/>
    </w:rPr>
  </w:style>
  <w:style w:type="character" w:customStyle="1" w:styleId="3223">
    <w:name w:val="dan7-1 Char Char"/>
    <w:qFormat/>
    <w:uiPriority w:val="0"/>
    <w:rPr>
      <w:kern w:val="2"/>
      <w:sz w:val="24"/>
    </w:rPr>
  </w:style>
  <w:style w:type="character" w:customStyle="1" w:styleId="3224">
    <w:name w:val="二 Char Char"/>
    <w:qFormat/>
    <w:uiPriority w:val="0"/>
    <w:rPr>
      <w:rFonts w:hint="eastAsia" w:ascii="黑体" w:hAnsi="黑体" w:eastAsia="黑体"/>
      <w:b/>
      <w:kern w:val="2"/>
      <w:sz w:val="24"/>
      <w:lang w:val="en-US" w:eastAsia="zh-CN"/>
    </w:rPr>
  </w:style>
  <w:style w:type="character" w:customStyle="1" w:styleId="3225">
    <w:name w:val="Char Char162"/>
    <w:qFormat/>
    <w:uiPriority w:val="0"/>
    <w:rPr>
      <w:rFonts w:hint="default" w:ascii="ӗԲ" w:hAnsi="ӗԲ" w:eastAsia="Cambria"/>
      <w:kern w:val="2"/>
      <w:sz w:val="21"/>
      <w:lang w:val="en-US" w:eastAsia="zh-CN" w:bidi="ar-SA"/>
    </w:rPr>
  </w:style>
  <w:style w:type="character" w:customStyle="1" w:styleId="3226">
    <w:name w:val="Char Char201"/>
    <w:qFormat/>
    <w:uiPriority w:val="0"/>
    <w:rPr>
      <w:rFonts w:hint="default" w:ascii="Chicago" w:hAnsi="Chicago"/>
      <w:smallCaps/>
      <w:kern w:val="2"/>
    </w:rPr>
  </w:style>
  <w:style w:type="character" w:customStyle="1" w:styleId="3227">
    <w:name w:val="visited style1"/>
    <w:qFormat/>
    <w:uiPriority w:val="0"/>
    <w:rPr>
      <w:rFonts w:hint="eastAsia" w:ascii="FLGPEK+TimesNewRoman,Italic" w:hAnsi="FLGPEK+TimesNewRoman,Italic" w:eastAsia="FLGPEK+TimesNewRoman,Italic" w:cs="FLGPEK+TimesNewRoman,Italic"/>
      <w:sz w:val="24"/>
      <w:szCs w:val="24"/>
    </w:rPr>
  </w:style>
  <w:style w:type="character" w:customStyle="1" w:styleId="3228">
    <w:name w:val="默认段落字体 Char"/>
    <w:qFormat/>
    <w:uiPriority w:val="0"/>
    <w:rPr>
      <w:rFonts w:hint="default" w:ascii="Times New Roman" w:hAnsi="Times New Roman" w:eastAsia="宋体" w:cs="Times New Roman"/>
      <w:color w:val="000000"/>
      <w:spacing w:val="0"/>
      <w:w w:val="100"/>
      <w:sz w:val="21"/>
      <w:u w:val="none" w:color="000000"/>
      <w:vertAlign w:val="baseline"/>
      <w:lang w:val="en-US" w:eastAsia="zh-CN"/>
    </w:rPr>
  </w:style>
  <w:style w:type="character" w:customStyle="1" w:styleId="3229">
    <w:name w:val="样式 正文1 + 加粗1 Char Char Char"/>
    <w:qFormat/>
    <w:uiPriority w:val="0"/>
    <w:rPr>
      <w:rFonts w:hint="eastAsia" w:ascii="宋体" w:hAnsi="宋体" w:eastAsia="宋体"/>
      <w:kern w:val="2"/>
      <w:sz w:val="24"/>
      <w:lang w:val="en-US" w:eastAsia="zh-CN" w:bidi="ar-SA"/>
    </w:rPr>
  </w:style>
  <w:style w:type="character" w:customStyle="1" w:styleId="3230">
    <w:name w:val="标题 7 Char Char"/>
    <w:qFormat/>
    <w:uiPriority w:val="0"/>
    <w:rPr>
      <w:rFonts w:hint="default" w:ascii="Tahoma" w:hAnsi="Tahoma" w:eastAsia="Calibri" w:cs="Tahoma"/>
      <w:b/>
      <w:kern w:val="2"/>
      <w:sz w:val="24"/>
      <w:lang w:val="en-US" w:eastAsia="zh-CN" w:bidi="ar-SA"/>
    </w:rPr>
  </w:style>
  <w:style w:type="character" w:customStyle="1" w:styleId="3231">
    <w:name w:val="HTML 变量1"/>
    <w:qFormat/>
    <w:uiPriority w:val="0"/>
    <w:rPr>
      <w:i/>
      <w:iCs/>
    </w:rPr>
  </w:style>
  <w:style w:type="character" w:customStyle="1" w:styleId="3232">
    <w:name w:val="0031"/>
    <w:qFormat/>
    <w:uiPriority w:val="0"/>
    <w:rPr>
      <w:sz w:val="21"/>
      <w:szCs w:val="21"/>
    </w:rPr>
  </w:style>
  <w:style w:type="character" w:customStyle="1" w:styleId="3233">
    <w:name w:val="正文-自建 Char Char Char"/>
    <w:qFormat/>
    <w:uiPriority w:val="0"/>
    <w:rPr>
      <w:rFonts w:hint="eastAsia" w:ascii="宋体" w:hAnsi="宋体" w:eastAsia="宋体"/>
      <w:kern w:val="2"/>
      <w:sz w:val="28"/>
      <w:lang w:val="en-US" w:eastAsia="zh-CN"/>
    </w:rPr>
  </w:style>
  <w:style w:type="character" w:customStyle="1" w:styleId="3234">
    <w:name w:val="二 Char Char Char Char"/>
    <w:qFormat/>
    <w:uiPriority w:val="0"/>
    <w:rPr>
      <w:rFonts w:hint="eastAsia" w:ascii="黑体" w:hAnsi="Verdana" w:eastAsia="黑体"/>
      <w:b/>
      <w:kern w:val="2"/>
      <w:sz w:val="24"/>
      <w:szCs w:val="20"/>
      <w:lang w:eastAsia="en-US" w:bidi="ar-SA"/>
    </w:rPr>
  </w:style>
  <w:style w:type="character" w:customStyle="1" w:styleId="3235">
    <w:name w:val="Caption Char"/>
    <w:qFormat/>
    <w:uiPriority w:val="0"/>
    <w:rPr>
      <w:rFonts w:hint="default" w:ascii="Times New Roman" w:hAnsi="Times New Roman" w:eastAsia="宋体" w:cs="Times New Roman"/>
    </w:rPr>
  </w:style>
  <w:style w:type="character" w:customStyle="1" w:styleId="3236">
    <w:name w:val="text1"/>
    <w:qFormat/>
    <w:uiPriority w:val="0"/>
    <w:rPr>
      <w:sz w:val="21"/>
    </w:rPr>
  </w:style>
  <w:style w:type="character" w:customStyle="1" w:styleId="3237">
    <w:name w:val="标题 9 Char Char Char"/>
    <w:qFormat/>
    <w:uiPriority w:val="0"/>
    <w:rPr>
      <w:rFonts w:hint="default" w:ascii="Arial" w:hAnsi="Arial" w:eastAsia="黑体" w:cs="Arial"/>
      <w:kern w:val="2"/>
      <w:sz w:val="21"/>
      <w:szCs w:val="21"/>
      <w:lang w:val="en-US" w:eastAsia="zh-CN" w:bidi="ar-SA"/>
    </w:rPr>
  </w:style>
  <w:style w:type="character" w:customStyle="1" w:styleId="3238">
    <w:name w:val="表格文字 Char"/>
    <w:qFormat/>
    <w:uiPriority w:val="99"/>
    <w:rPr>
      <w:rFonts w:hint="eastAsia" w:ascii="宋体" w:hAnsi="宋体" w:eastAsia="宋体"/>
      <w:sz w:val="24"/>
      <w:lang w:val="en-US" w:eastAsia="zh-CN" w:bidi="ar-SA"/>
    </w:rPr>
  </w:style>
  <w:style w:type="character" w:customStyle="1" w:styleId="3239">
    <w:name w:val="Char Char161"/>
    <w:qFormat/>
    <w:uiPriority w:val="0"/>
    <w:rPr>
      <w:rFonts w:hint="default" w:ascii="Verdana" w:hAnsi="Verdana" w:eastAsia="华文仿宋"/>
      <w:kern w:val="2"/>
      <w:sz w:val="21"/>
      <w:lang w:val="en-US" w:eastAsia="zh-CN"/>
    </w:rPr>
  </w:style>
  <w:style w:type="character" w:customStyle="1" w:styleId="3240">
    <w:name w:val="表格 Char Char Char Char Char Char"/>
    <w:qFormat/>
    <w:uiPriority w:val="0"/>
    <w:rPr>
      <w:rFonts w:hint="default" w:ascii="Times New Roman" w:hAnsi="Times New Roman" w:eastAsia="宋体" w:cs="Times New Roman"/>
      <w:color w:val="000000"/>
      <w:kern w:val="0"/>
      <w:szCs w:val="21"/>
    </w:rPr>
  </w:style>
  <w:style w:type="character" w:customStyle="1" w:styleId="3241">
    <w:name w:val="页码3"/>
    <w:qFormat/>
    <w:uiPriority w:val="0"/>
    <w:rPr>
      <w:rFonts w:hint="eastAsia" w:ascii="宋体" w:hAnsi="宋体" w:eastAsia="宋体"/>
      <w:b/>
      <w:szCs w:val="20"/>
    </w:rPr>
  </w:style>
  <w:style w:type="character" w:customStyle="1" w:styleId="3242">
    <w:name w:val="标题4，攀 Char Char Char"/>
    <w:qFormat/>
    <w:uiPriority w:val="0"/>
    <w:rPr>
      <w:rFonts w:hint="eastAsia" w:ascii="宋体" w:hAnsi="宋体" w:eastAsia="黑体"/>
      <w:b/>
      <w:color w:val="000000"/>
      <w:kern w:val="2"/>
      <w:sz w:val="24"/>
      <w:lang w:val="en-US" w:eastAsia="zh-CN"/>
    </w:rPr>
  </w:style>
  <w:style w:type="character" w:customStyle="1" w:styleId="3243">
    <w:name w:val="dfgdfg Char"/>
    <w:qFormat/>
    <w:uiPriority w:val="0"/>
    <w:rPr>
      <w:rFonts w:hint="eastAsia" w:ascii="Batang" w:hAnsi="Batang" w:eastAsia="宋体"/>
      <w:kern w:val="2"/>
      <w:sz w:val="24"/>
      <w:lang w:val="en-US" w:eastAsia="zh-CN"/>
    </w:rPr>
  </w:style>
  <w:style w:type="character" w:customStyle="1" w:styleId="3244">
    <w:name w:val="已访问的超链接1"/>
    <w:qFormat/>
    <w:uiPriority w:val="0"/>
    <w:rPr>
      <w:color w:val="800080"/>
      <w:u w:val="single"/>
    </w:rPr>
  </w:style>
  <w:style w:type="character" w:customStyle="1" w:styleId="3245">
    <w:name w:val="search_content1"/>
    <w:qFormat/>
    <w:uiPriority w:val="0"/>
    <w:rPr>
      <w:sz w:val="24"/>
      <w:szCs w:val="24"/>
    </w:rPr>
  </w:style>
  <w:style w:type="character" w:customStyle="1" w:styleId="3246">
    <w:name w:val="正 Char Char Char"/>
    <w:qFormat/>
    <w:uiPriority w:val="0"/>
    <w:rPr>
      <w:kern w:val="2"/>
      <w:sz w:val="24"/>
      <w:lang w:bidi="ar-SA"/>
    </w:rPr>
  </w:style>
  <w:style w:type="character" w:customStyle="1" w:styleId="3247">
    <w:name w:val="样式 正文首行缩进 + 四号 Char Char"/>
    <w:qFormat/>
    <w:uiPriority w:val="0"/>
    <w:rPr>
      <w:rFonts w:hint="eastAsia" w:ascii="FLGPEK+TimesNewRoman,Italic" w:hAnsi="Tahoma" w:eastAsia="FLGPEK+TimesNewRoman,Italic"/>
      <w:sz w:val="28"/>
      <w:szCs w:val="24"/>
      <w:lang w:bidi="ar-SA"/>
    </w:rPr>
  </w:style>
  <w:style w:type="character" w:customStyle="1" w:styleId="3248">
    <w:name w:val="正文首行缩进 Char2"/>
    <w:qFormat/>
    <w:uiPriority w:val="0"/>
    <w:rPr>
      <w:lang w:bidi="ar-SA"/>
    </w:rPr>
  </w:style>
  <w:style w:type="character" w:customStyle="1" w:styleId="3249">
    <w:name w:val="about1"/>
    <w:qFormat/>
    <w:uiPriority w:val="0"/>
    <w:rPr>
      <w:rFonts w:hint="default" w:ascii="Verdana" w:hAnsi="Verdana"/>
      <w:color w:val="000000"/>
      <w:kern w:val="0"/>
      <w:sz w:val="18"/>
      <w:szCs w:val="18"/>
      <w:lang w:eastAsia="en-US"/>
    </w:rPr>
  </w:style>
  <w:style w:type="character" w:customStyle="1" w:styleId="3250">
    <w:name w:val="标题3-自建 Char Char Char Char"/>
    <w:qFormat/>
    <w:uiPriority w:val="0"/>
    <w:rPr>
      <w:rFonts w:hint="eastAsia" w:ascii="宋体" w:hAnsi="宋体" w:eastAsia="宋体"/>
      <w:b/>
      <w:kern w:val="2"/>
      <w:sz w:val="28"/>
      <w:lang w:val="en-US" w:eastAsia="zh-CN"/>
    </w:rPr>
  </w:style>
  <w:style w:type="character" w:customStyle="1" w:styleId="3251">
    <w:name w:val="Char Char132"/>
    <w:qFormat/>
    <w:uiPriority w:val="0"/>
    <w:rPr>
      <w:rFonts w:hint="default" w:ascii="ˎ̥" w:hAnsi="ˎ̥" w:eastAsia="ˎ̥"/>
      <w:sz w:val="24"/>
      <w:lang w:val="en-US" w:eastAsia="zh-CN"/>
    </w:rPr>
  </w:style>
  <w:style w:type="character" w:customStyle="1" w:styleId="3252">
    <w:name w:val="文字缩进 Char Char"/>
    <w:qFormat/>
    <w:uiPriority w:val="0"/>
    <w:rPr>
      <w:rFonts w:hint="eastAsia" w:ascii="宋体" w:hAnsi="Courier New" w:eastAsia="宋体"/>
      <w:kern w:val="2"/>
      <w:sz w:val="21"/>
    </w:rPr>
  </w:style>
  <w:style w:type="character" w:customStyle="1" w:styleId="3253">
    <w:name w:val="正文文字 2 Char"/>
    <w:qFormat/>
    <w:uiPriority w:val="0"/>
    <w:rPr>
      <w:rFonts w:hint="eastAsia" w:ascii="宋体" w:hAnsi="宋体" w:eastAsia="宋体"/>
      <w:kern w:val="2"/>
      <w:sz w:val="21"/>
      <w:lang w:val="en-US" w:eastAsia="zh-CN" w:bidi="ar-SA"/>
    </w:rPr>
  </w:style>
  <w:style w:type="character" w:customStyle="1" w:styleId="3254">
    <w:name w:val="font31"/>
    <w:qFormat/>
    <w:uiPriority w:val="0"/>
    <w:rPr>
      <w:rFonts w:hint="default" w:ascii="Times New Roman" w:hAnsi="Times New Roman" w:cs="Times New Roman"/>
      <w:color w:val="000000"/>
      <w:kern w:val="0"/>
      <w:sz w:val="18"/>
      <w:szCs w:val="18"/>
      <w:lang w:eastAsia="en-US"/>
    </w:rPr>
  </w:style>
  <w:style w:type="character" w:customStyle="1" w:styleId="3255">
    <w:name w:val="font121"/>
    <w:qFormat/>
    <w:uiPriority w:val="0"/>
    <w:rPr>
      <w:sz w:val="18"/>
    </w:rPr>
  </w:style>
  <w:style w:type="character" w:customStyle="1" w:styleId="3256">
    <w:name w:val="样式 正文A + (中文) PMingLiU Char Char"/>
    <w:qFormat/>
    <w:uiPriority w:val="0"/>
    <w:rPr>
      <w:rFonts w:hint="eastAsia" w:ascii="FLGPEK+TimesNewRoman,Italic" w:hAnsi="FLGPEK+TimesNewRoman,Italic" w:eastAsia="FLGPEK+TimesNewRoman,Italic" w:cs="FLGPEK+TimesNewRoman,Italic"/>
      <w:kern w:val="2"/>
      <w:sz w:val="24"/>
      <w:szCs w:val="24"/>
      <w:lang w:val="en-US" w:eastAsia="zh-CN" w:bidi="ar-SA"/>
    </w:rPr>
  </w:style>
  <w:style w:type="character" w:customStyle="1" w:styleId="3257">
    <w:name w:val="Char Char181"/>
    <w:qFormat/>
    <w:uiPriority w:val="0"/>
    <w:rPr>
      <w:rFonts w:hint="eastAsia" w:ascii="宋体" w:hAnsi="宋体" w:eastAsia="宋体"/>
      <w:b/>
      <w:kern w:val="2"/>
      <w:sz w:val="24"/>
      <w:lang w:val="en-US" w:eastAsia="zh-CN"/>
    </w:rPr>
  </w:style>
  <w:style w:type="character" w:customStyle="1" w:styleId="3258">
    <w:name w:val="nr1"/>
    <w:qFormat/>
    <w:uiPriority w:val="0"/>
    <w:rPr>
      <w:sz w:val="18"/>
    </w:rPr>
  </w:style>
  <w:style w:type="character" w:customStyle="1" w:styleId="3259">
    <w:name w:val="WW8Num1313z0"/>
    <w:qFormat/>
    <w:uiPriority w:val="0"/>
    <w:rPr>
      <w:rFonts w:hint="default" w:ascii="Times New Roman" w:hAnsi="Times New Roman" w:cs="Times New Roman"/>
      <w:spacing w:val="0"/>
      <w:position w:val="0"/>
      <w:sz w:val="24"/>
      <w:u w:val="none"/>
      <w:vertAlign w:val="baseline"/>
    </w:rPr>
  </w:style>
  <w:style w:type="character" w:customStyle="1" w:styleId="3260">
    <w:name w:val="11p"/>
    <w:qFormat/>
    <w:uiPriority w:val="0"/>
    <w:rPr>
      <w:rFonts w:hint="eastAsia" w:ascii="FLGPEK+TimesNewRoman,Italic" w:hAnsi="FLGPEK+TimesNewRoman,Italic" w:eastAsia="FLGPEK+TimesNewRoman,Italic" w:cs="FLGPEK+TimesNewRoman,Italic"/>
      <w:sz w:val="24"/>
      <w:szCs w:val="24"/>
    </w:rPr>
  </w:style>
  <w:style w:type="character" w:customStyle="1" w:styleId="3261">
    <w:name w:val="要点1"/>
    <w:qFormat/>
    <w:uiPriority w:val="0"/>
    <w:rPr>
      <w:b/>
    </w:rPr>
  </w:style>
  <w:style w:type="character" w:customStyle="1" w:styleId="3262">
    <w:name w:val="陈正文 Char Char"/>
    <w:qFormat/>
    <w:uiPriority w:val="0"/>
    <w:rPr>
      <w:sz w:val="24"/>
      <w:szCs w:val="24"/>
      <w:lang w:bidi="ar-SA"/>
    </w:rPr>
  </w:style>
  <w:style w:type="character" w:customStyle="1" w:styleId="3263">
    <w:name w:val="表 Char Char"/>
    <w:qFormat/>
    <w:uiPriority w:val="0"/>
    <w:rPr>
      <w:kern w:val="2"/>
      <w:sz w:val="24"/>
    </w:rPr>
  </w:style>
  <w:style w:type="character" w:customStyle="1" w:styleId="3264">
    <w:name w:val="标题1.1.1.1.1 Char Char"/>
    <w:qFormat/>
    <w:uiPriority w:val="0"/>
    <w:rPr>
      <w:rFonts w:hint="eastAsia" w:ascii="宋体" w:hAnsi="宋体" w:eastAsia="宋体"/>
      <w:b/>
      <w:bCs/>
      <w:kern w:val="2"/>
      <w:sz w:val="21"/>
      <w:szCs w:val="24"/>
      <w:lang w:val="en-US" w:eastAsia="zh-CN" w:bidi="ar-SA"/>
    </w:rPr>
  </w:style>
  <w:style w:type="character" w:customStyle="1" w:styleId="3265">
    <w:name w:val="样式 题注 + 首行缩进:  2 字符2 Char Char"/>
    <w:qFormat/>
    <w:uiPriority w:val="0"/>
    <w:rPr>
      <w:rFonts w:hint="default" w:ascii="Tahoma" w:hAnsi="Tahoma" w:cs="Tahoma"/>
      <w:kern w:val="2"/>
      <w:sz w:val="24"/>
      <w:lang w:bidi="ar-SA"/>
    </w:rPr>
  </w:style>
  <w:style w:type="character" w:customStyle="1" w:styleId="3266">
    <w:name w:val="1.标题 1 Char Char"/>
    <w:qFormat/>
    <w:uiPriority w:val="0"/>
    <w:rPr>
      <w:rFonts w:hint="eastAsia" w:ascii="宋体" w:hAnsi="宋体" w:eastAsia="宋体"/>
      <w:b/>
      <w:kern w:val="44"/>
      <w:sz w:val="28"/>
      <w:lang w:val="en-US" w:eastAsia="zh-CN"/>
    </w:rPr>
  </w:style>
  <w:style w:type="character" w:customStyle="1" w:styleId="3267">
    <w:name w:val="正文文本缩进 2 Char1"/>
    <w:qFormat/>
    <w:uiPriority w:val="0"/>
    <w:rPr>
      <w:kern w:val="2"/>
      <w:sz w:val="24"/>
      <w:szCs w:val="24"/>
    </w:rPr>
  </w:style>
  <w:style w:type="character" w:customStyle="1" w:styleId="3268">
    <w:name w:val="show"/>
    <w:basedOn w:val="133"/>
    <w:qFormat/>
    <w:uiPriority w:val="0"/>
  </w:style>
  <w:style w:type="character" w:customStyle="1" w:styleId="3269">
    <w:name w:val="正文文本 2 Char1"/>
    <w:qFormat/>
    <w:uiPriority w:val="0"/>
    <w:rPr>
      <w:kern w:val="2"/>
      <w:sz w:val="24"/>
    </w:rPr>
  </w:style>
  <w:style w:type="character" w:customStyle="1" w:styleId="3270">
    <w:name w:val="c91"/>
    <w:qFormat/>
    <w:uiPriority w:val="0"/>
    <w:rPr>
      <w:color w:val="414141"/>
      <w:sz w:val="18"/>
      <w:szCs w:val="18"/>
    </w:rPr>
  </w:style>
  <w:style w:type="character" w:customStyle="1" w:styleId="3271">
    <w:name w:val="批注文字 Char1"/>
    <w:qFormat/>
    <w:uiPriority w:val="0"/>
    <w:rPr>
      <w:rFonts w:hint="eastAsia" w:ascii="宋体" w:hAnsi="宋体" w:eastAsia="宋体"/>
      <w:kern w:val="2"/>
      <w:sz w:val="21"/>
      <w:szCs w:val="24"/>
      <w:lang w:val="en-US" w:eastAsia="zh-CN" w:bidi="ar-SA"/>
    </w:rPr>
  </w:style>
  <w:style w:type="character" w:customStyle="1" w:styleId="3272">
    <w:name w:val="Char Char151"/>
    <w:qFormat/>
    <w:uiPriority w:val="0"/>
    <w:rPr>
      <w:rFonts w:hint="default" w:ascii="Verdana" w:hAnsi="Verdana" w:eastAsia="华文仿宋" w:cs="Verdana"/>
      <w:kern w:val="2"/>
      <w:lang w:val="en-US" w:eastAsia="zh-CN"/>
    </w:rPr>
  </w:style>
  <w:style w:type="character" w:customStyle="1" w:styleId="3273">
    <w:name w:val="正文内容 Char"/>
    <w:qFormat/>
    <w:uiPriority w:val="0"/>
    <w:rPr>
      <w:rFonts w:hint="eastAsia" w:ascii="宋体" w:hAnsi="宋体" w:eastAsia="宋体"/>
      <w:kern w:val="2"/>
      <w:sz w:val="24"/>
      <w:lang w:val="en-US" w:eastAsia="zh-CN" w:bidi="ar-SA"/>
    </w:rPr>
  </w:style>
  <w:style w:type="character" w:customStyle="1" w:styleId="3274">
    <w:name w:val="text1411"/>
    <w:qFormat/>
    <w:uiPriority w:val="0"/>
    <w:rPr>
      <w:rFonts w:hint="eastAsia" w:ascii="DFKai-SB" w:hAnsi="DFKai-SB" w:eastAsia="DFKai-SB"/>
      <w:color w:val="CA3E00"/>
      <w:sz w:val="21"/>
      <w:szCs w:val="21"/>
    </w:rPr>
  </w:style>
  <w:style w:type="character" w:customStyle="1" w:styleId="3275">
    <w:name w:val="正文文字 21 Char"/>
    <w:qFormat/>
    <w:uiPriority w:val="0"/>
    <w:rPr>
      <w:rFonts w:hint="default" w:ascii="Times New Roman" w:hAnsi="Times New Roman" w:eastAsia="宋体" w:cs="Times New Roman"/>
      <w:szCs w:val="20"/>
    </w:rPr>
  </w:style>
  <w:style w:type="character" w:customStyle="1" w:styleId="3276">
    <w:name w:val="批注引用1"/>
    <w:qFormat/>
    <w:uiPriority w:val="0"/>
    <w:rPr>
      <w:sz w:val="21"/>
      <w:szCs w:val="21"/>
    </w:rPr>
  </w:style>
  <w:style w:type="character" w:customStyle="1" w:styleId="3277">
    <w:name w:val="样式4 Char Char Char"/>
    <w:qFormat/>
    <w:uiPriority w:val="0"/>
    <w:rPr>
      <w:rFonts w:hint="eastAsia" w:ascii="Batang" w:hAnsi="Batang" w:eastAsia="FLGPEK+TimesNewRoman,Italic"/>
      <w:kern w:val="2"/>
      <w:sz w:val="24"/>
      <w:lang w:val="en-US" w:eastAsia="zh-CN"/>
    </w:rPr>
  </w:style>
  <w:style w:type="character" w:customStyle="1" w:styleId="3278">
    <w:name w:val="正文 Char1"/>
    <w:qFormat/>
    <w:uiPriority w:val="0"/>
    <w:rPr>
      <w:rFonts w:hint="eastAsia" w:ascii="宋体" w:hAnsi="宋体" w:eastAsia="宋体"/>
      <w:sz w:val="24"/>
      <w:szCs w:val="24"/>
      <w:lang w:val="en-US" w:eastAsia="zh-CN" w:bidi="ar-SA"/>
    </w:rPr>
  </w:style>
  <w:style w:type="character" w:customStyle="1" w:styleId="3279">
    <w:name w:val="样式 (西文) 宋体 小四 黑色1"/>
    <w:qFormat/>
    <w:uiPriority w:val="0"/>
    <w:rPr>
      <w:rFonts w:hint="eastAsia" w:ascii="宋体" w:hAnsi="宋体" w:eastAsia="宋体"/>
      <w:bCs/>
      <w:color w:val="000000"/>
      <w:sz w:val="24"/>
    </w:rPr>
  </w:style>
  <w:style w:type="character" w:customStyle="1" w:styleId="3280">
    <w:name w:val="样式 样式1 + (符号) 宋体 Char Char"/>
    <w:qFormat/>
    <w:uiPriority w:val="0"/>
    <w:rPr>
      <w:rFonts w:hint="eastAsia" w:ascii="宋体" w:hAnsi="宋体" w:eastAsia="宋体"/>
      <w:snapToGrid/>
      <w:sz w:val="24"/>
      <w:lang w:eastAsia="en-US"/>
    </w:rPr>
  </w:style>
  <w:style w:type="character" w:customStyle="1" w:styleId="3281">
    <w:name w:val="zw1"/>
    <w:qFormat/>
    <w:uiPriority w:val="0"/>
    <w:rPr>
      <w:rFonts w:hint="eastAsia" w:ascii="FLGPEK+TimesNewRoman,Italic" w:hAnsi="FLGPEK+TimesNewRoman,Italic" w:eastAsia="FLGPEK+TimesNewRoman,Italic"/>
      <w:sz w:val="22"/>
      <w:szCs w:val="22"/>
    </w:rPr>
  </w:style>
  <w:style w:type="character" w:customStyle="1" w:styleId="3282">
    <w:name w:val="Char Char431"/>
    <w:qFormat/>
    <w:uiPriority w:val="0"/>
    <w:rPr>
      <w:rFonts w:hint="eastAsia" w:ascii="宋体" w:hAnsi="宋体" w:eastAsia="宋体"/>
      <w:kern w:val="0"/>
      <w:sz w:val="18"/>
      <w:szCs w:val="20"/>
      <w:lang w:eastAsia="en-US"/>
    </w:rPr>
  </w:style>
  <w:style w:type="character" w:customStyle="1" w:styleId="3283">
    <w:name w:val="标题 6 Char Char"/>
    <w:qFormat/>
    <w:uiPriority w:val="0"/>
    <w:rPr>
      <w:rFonts w:hint="eastAsia" w:ascii="Batang" w:hAnsi="Batang" w:eastAsia="宋体"/>
      <w:b/>
      <w:kern w:val="2"/>
      <w:sz w:val="24"/>
      <w:lang w:val="en-US" w:eastAsia="zh-CN" w:bidi="ar-SA"/>
    </w:rPr>
  </w:style>
  <w:style w:type="character" w:customStyle="1" w:styleId="3284">
    <w:name w:val="表格文字 Char Char Char"/>
    <w:qFormat/>
    <w:uiPriority w:val="0"/>
    <w:rPr>
      <w:rFonts w:hint="eastAsia" w:ascii="宋体" w:hAnsi="宋体" w:eastAsia="宋体"/>
      <w:color w:val="000000"/>
      <w:sz w:val="21"/>
      <w:lang w:val="en-US" w:eastAsia="zh-CN"/>
    </w:rPr>
  </w:style>
  <w:style w:type="character" w:customStyle="1" w:styleId="3285">
    <w:name w:val="arti_name"/>
    <w:qFormat/>
    <w:uiPriority w:val="0"/>
    <w:rPr>
      <w:rFonts w:hint="eastAsia" w:ascii="宋体" w:hAnsi="宋体" w:eastAsia="宋体"/>
      <w:b/>
      <w:szCs w:val="20"/>
    </w:rPr>
  </w:style>
  <w:style w:type="character" w:customStyle="1" w:styleId="3286">
    <w:name w:val="段 Char Char"/>
    <w:qFormat/>
    <w:uiPriority w:val="0"/>
    <w:rPr>
      <w:rFonts w:hint="eastAsia" w:ascii="宋体" w:hAnsi="宋体" w:eastAsia="宋体"/>
      <w:sz w:val="21"/>
      <w:lang w:val="en-US" w:eastAsia="zh-CN" w:bidi="ar-SA"/>
    </w:rPr>
  </w:style>
  <w:style w:type="character" w:customStyle="1" w:styleId="3287">
    <w:name w:val="正文文本 Char3"/>
    <w:qFormat/>
    <w:uiPriority w:val="0"/>
    <w:rPr>
      <w:rFonts w:hint="default" w:ascii="Chicago" w:hAnsi="Chicago" w:eastAsia="Calibri" w:cs="Chicago"/>
      <w:kern w:val="2"/>
      <w:sz w:val="21"/>
      <w:lang w:val="en-US" w:eastAsia="zh-CN" w:bidi="ar-SA"/>
    </w:rPr>
  </w:style>
  <w:style w:type="character" w:customStyle="1" w:styleId="3288">
    <w:name w:val="未命名51"/>
    <w:qFormat/>
    <w:uiPriority w:val="0"/>
    <w:rPr>
      <w:sz w:val="23"/>
      <w:szCs w:val="23"/>
    </w:rPr>
  </w:style>
  <w:style w:type="character" w:customStyle="1" w:styleId="3289">
    <w:name w:val="报告书正文 Char Char Char Char"/>
    <w:qFormat/>
    <w:uiPriority w:val="0"/>
    <w:rPr>
      <w:rFonts w:hint="default" w:ascii="Verdana" w:hAnsi="Verdana" w:eastAsia="宋体"/>
      <w:kern w:val="2"/>
      <w:sz w:val="24"/>
      <w:szCs w:val="24"/>
      <w:lang w:val="en-US" w:eastAsia="zh-CN" w:bidi="ar-SA"/>
    </w:rPr>
  </w:style>
  <w:style w:type="character" w:customStyle="1" w:styleId="3290">
    <w:name w:val="Char Char338"/>
    <w:qFormat/>
    <w:uiPriority w:val="0"/>
    <w:rPr>
      <w:rFonts w:hint="eastAsia" w:ascii="宋体" w:hAnsi="宋体" w:eastAsia="宋体"/>
      <w:kern w:val="2"/>
      <w:sz w:val="18"/>
      <w:lang w:val="en-US" w:eastAsia="zh-CN" w:bidi="ar-SA"/>
    </w:rPr>
  </w:style>
  <w:style w:type="character" w:customStyle="1" w:styleId="3291">
    <w:name w:val="(一) Char"/>
    <w:qFormat/>
    <w:uiPriority w:val="0"/>
    <w:rPr>
      <w:rFonts w:hint="default" w:ascii="Arial" w:hAnsi="Arial" w:eastAsia="黑体" w:cs="Arial"/>
      <w:b/>
      <w:sz w:val="28"/>
      <w:szCs w:val="28"/>
    </w:rPr>
  </w:style>
  <w:style w:type="character" w:customStyle="1" w:styleId="3292">
    <w:name w:val="正 Char Char"/>
    <w:qFormat/>
    <w:uiPriority w:val="0"/>
    <w:rPr>
      <w:kern w:val="2"/>
      <w:sz w:val="24"/>
      <w:lang w:bidi="ar-SA"/>
    </w:rPr>
  </w:style>
  <w:style w:type="character" w:customStyle="1" w:styleId="3293">
    <w:name w:val="st1"/>
    <w:qFormat/>
    <w:uiPriority w:val="0"/>
  </w:style>
  <w:style w:type="character" w:customStyle="1" w:styleId="3294">
    <w:name w:val="style23"/>
    <w:qFormat/>
    <w:uiPriority w:val="0"/>
    <w:rPr>
      <w:rFonts w:hint="eastAsia" w:ascii="宋体" w:hAnsi="宋体" w:eastAsia="宋体"/>
      <w:b/>
      <w:szCs w:val="20"/>
    </w:rPr>
  </w:style>
  <w:style w:type="character" w:customStyle="1" w:styleId="3295">
    <w:name w:val="正文1 Char Char Char Char Char"/>
    <w:qFormat/>
    <w:uiPriority w:val="0"/>
    <w:rPr>
      <w:rFonts w:hint="eastAsia" w:ascii="Batang" w:hAnsi="Batang" w:eastAsia="ˎ̥" w:cs="Batang"/>
      <w:kern w:val="2"/>
      <w:sz w:val="24"/>
      <w:szCs w:val="24"/>
      <w:lang w:val="en-US" w:eastAsia="zh-CN" w:bidi="ar-SA"/>
    </w:rPr>
  </w:style>
  <w:style w:type="character" w:customStyle="1" w:styleId="3296">
    <w:name w:val="项标题(1) Char Char"/>
    <w:qFormat/>
    <w:uiPriority w:val="0"/>
    <w:rPr>
      <w:rFonts w:hint="eastAsia" w:ascii="宋体" w:hAnsi="宋体" w:eastAsia="宋体"/>
      <w:b/>
      <w:bCs/>
      <w:kern w:val="2"/>
      <w:sz w:val="24"/>
      <w:szCs w:val="24"/>
      <w:lang w:val="en-US" w:eastAsia="zh-CN" w:bidi="ar-SA"/>
    </w:rPr>
  </w:style>
  <w:style w:type="character" w:customStyle="1" w:styleId="3297">
    <w:name w:val="纯文本 Char Char Char Char Char Char Char Char Char Char Char Char Char Char Char Char Char Char Char Char Char Char Char Char Char Char"/>
    <w:qFormat/>
    <w:uiPriority w:val="0"/>
    <w:rPr>
      <w:rFonts w:hint="eastAsia" w:ascii="宋体" w:hAnsi="Courier New" w:eastAsia="宋体" w:cs="FLGPEK+TimesNewRoman,Italic"/>
      <w:kern w:val="2"/>
      <w:sz w:val="21"/>
      <w:szCs w:val="24"/>
      <w:lang w:val="en-US" w:eastAsia="zh-CN" w:bidi="ar-SA"/>
    </w:rPr>
  </w:style>
  <w:style w:type="character" w:customStyle="1" w:styleId="3298">
    <w:name w:val="落款 Char Char"/>
    <w:qFormat/>
    <w:uiPriority w:val="0"/>
    <w:rPr>
      <w:rFonts w:hint="default" w:ascii="ˎ̥" w:hAnsi="ˎ̥" w:eastAsia="ˎ̥"/>
      <w:kern w:val="2"/>
      <w:sz w:val="24"/>
      <w:lang w:val="en-US" w:eastAsia="zh-CN" w:bidi="ar-SA"/>
    </w:rPr>
  </w:style>
  <w:style w:type="character" w:customStyle="1" w:styleId="3299">
    <w:name w:val="zhenwen14"/>
    <w:qFormat/>
    <w:uiPriority w:val="0"/>
    <w:rPr>
      <w:rFonts w:hint="eastAsia" w:ascii="FLGPEK+TimesNewRoman,Italic" w:hAnsi="FLGPEK+TimesNewRoman,Italic" w:eastAsia="FLGPEK+TimesNewRoman,Italic" w:cs="FLGPEK+TimesNewRoman,Italic"/>
      <w:sz w:val="24"/>
      <w:szCs w:val="24"/>
    </w:rPr>
  </w:style>
  <w:style w:type="character" w:customStyle="1" w:styleId="3300">
    <w:name w:val="HTML 预设格式 Char1"/>
    <w:qFormat/>
    <w:uiPriority w:val="0"/>
    <w:rPr>
      <w:rFonts w:hint="default" w:ascii="Courier New" w:hAnsi="Courier New" w:cs="Courier New"/>
      <w:kern w:val="2"/>
    </w:rPr>
  </w:style>
  <w:style w:type="character" w:customStyle="1" w:styleId="3301">
    <w:name w:val="样式 首行缩进:  2 字符 Char Char"/>
    <w:qFormat/>
    <w:uiPriority w:val="0"/>
    <w:rPr>
      <w:kern w:val="2"/>
      <w:sz w:val="24"/>
    </w:rPr>
  </w:style>
  <w:style w:type="character" w:customStyle="1" w:styleId="3302">
    <w:name w:val="标题 1 Char2"/>
    <w:qFormat/>
    <w:uiPriority w:val="0"/>
    <w:rPr>
      <w:b/>
      <w:bCs/>
      <w:kern w:val="44"/>
      <w:sz w:val="30"/>
      <w:szCs w:val="44"/>
    </w:rPr>
  </w:style>
  <w:style w:type="character" w:customStyle="1" w:styleId="3303">
    <w:name w:val="占位符文本1"/>
    <w:qFormat/>
    <w:uiPriority w:val="0"/>
    <w:rPr>
      <w:color w:val="808080"/>
    </w:rPr>
  </w:style>
  <w:style w:type="character" w:customStyle="1" w:styleId="3304">
    <w:name w:val="style21 style24"/>
    <w:qFormat/>
    <w:uiPriority w:val="0"/>
    <w:rPr>
      <w:rFonts w:hint="eastAsia" w:ascii="FLGPEK+TimesNewRoman,Italic" w:hAnsi="FLGPEK+TimesNewRoman,Italic" w:eastAsia="FLGPEK+TimesNewRoman,Italic" w:cs="FLGPEK+TimesNewRoman,Italic"/>
      <w:sz w:val="24"/>
      <w:szCs w:val="24"/>
    </w:rPr>
  </w:style>
  <w:style w:type="character" w:customStyle="1" w:styleId="3305">
    <w:name w:val="样式 正文1 + 加粗 Char Char Char"/>
    <w:qFormat/>
    <w:uiPriority w:val="0"/>
  </w:style>
  <w:style w:type="character" w:customStyle="1" w:styleId="3306">
    <w:name w:val="ht091"/>
    <w:qFormat/>
    <w:uiPriority w:val="0"/>
    <w:rPr>
      <w:rFonts w:hint="eastAsia" w:ascii="FLGPEK+TimesNewRoman,Italic" w:hAnsi="FLGPEK+TimesNewRoman,Italic" w:eastAsia="FLGPEK+TimesNewRoman,Italic"/>
      <w:sz w:val="18"/>
      <w:szCs w:val="18"/>
    </w:rPr>
  </w:style>
  <w:style w:type="character" w:customStyle="1" w:styleId="3307">
    <w:name w:val="news1"/>
    <w:qFormat/>
    <w:uiPriority w:val="0"/>
    <w:rPr>
      <w:rFonts w:hint="default" w:ascii="Verdana" w:hAnsi="Verdana"/>
      <w:color w:val="000000"/>
      <w:kern w:val="0"/>
      <w:sz w:val="21"/>
      <w:szCs w:val="21"/>
      <w:u w:val="none"/>
      <w:lang w:eastAsia="en-US"/>
    </w:rPr>
  </w:style>
  <w:style w:type="character" w:customStyle="1" w:styleId="3308">
    <w:name w:val="报告正文 Char Char"/>
    <w:qFormat/>
    <w:uiPriority w:val="0"/>
    <w:rPr>
      <w:rFonts w:hint="default" w:ascii="Verdana" w:hAnsi="Verdana"/>
      <w:sz w:val="24"/>
    </w:rPr>
  </w:style>
  <w:style w:type="character" w:customStyle="1" w:styleId="3309">
    <w:name w:val="表格内容 Char Char Char"/>
    <w:qFormat/>
    <w:uiPriority w:val="0"/>
    <w:rPr>
      <w:rFonts w:hint="eastAsia" w:ascii="方正宋三简体" w:eastAsia="方正宋三简体" w:cs="Courier New"/>
      <w:bCs/>
      <w:snapToGrid/>
      <w:kern w:val="2"/>
      <w:sz w:val="21"/>
      <w:szCs w:val="21"/>
    </w:rPr>
  </w:style>
  <w:style w:type="character" w:customStyle="1" w:styleId="3310">
    <w:name w:val="throwbtl-link-span"/>
    <w:qFormat/>
    <w:uiPriority w:val="0"/>
    <w:rPr>
      <w:rFonts w:hint="eastAsia" w:ascii="宋体" w:hAnsi="宋体" w:eastAsia="宋体"/>
      <w:b/>
      <w:szCs w:val="20"/>
    </w:rPr>
  </w:style>
  <w:style w:type="character" w:customStyle="1" w:styleId="3311">
    <w:name w:val="newstopic-h1"/>
    <w:qFormat/>
    <w:uiPriority w:val="0"/>
    <w:rPr>
      <w:rFonts w:hint="default"/>
      <w:b/>
      <w:color w:val="333333"/>
      <w:spacing w:val="0"/>
      <w:sz w:val="21"/>
    </w:rPr>
  </w:style>
  <w:style w:type="character" w:customStyle="1" w:styleId="3312">
    <w:name w:val="日期 Char4"/>
    <w:basedOn w:val="133"/>
    <w:semiHidden/>
    <w:qFormat/>
    <w:locked/>
    <w:uiPriority w:val="0"/>
    <w:rPr>
      <w:rFonts w:ascii="Times New Roman" w:hAnsi="Times New Roman" w:eastAsia="宋体" w:cs="Times New Roman"/>
      <w:sz w:val="28"/>
      <w:szCs w:val="20"/>
    </w:rPr>
  </w:style>
  <w:style w:type="character" w:customStyle="1" w:styleId="3313">
    <w:name w:val="纯文本 Char3"/>
    <w:basedOn w:val="133"/>
    <w:semiHidden/>
    <w:qFormat/>
    <w:locked/>
    <w:uiPriority w:val="0"/>
    <w:rPr>
      <w:rFonts w:ascii="宋体" w:hAnsi="Courier New" w:eastAsia="宋体" w:cs="Times New Roman"/>
      <w:szCs w:val="20"/>
    </w:rPr>
  </w:style>
  <w:style w:type="character" w:customStyle="1" w:styleId="3314">
    <w:name w:val="页脚 Char2"/>
    <w:basedOn w:val="133"/>
    <w:semiHidden/>
    <w:qFormat/>
    <w:locked/>
    <w:uiPriority w:val="0"/>
    <w:rPr>
      <w:rFonts w:ascii="Times New Roman" w:hAnsi="Times New Roman" w:eastAsia="宋体" w:cs="Times New Roman"/>
      <w:sz w:val="18"/>
      <w:szCs w:val="20"/>
    </w:rPr>
  </w:style>
  <w:style w:type="character" w:customStyle="1" w:styleId="3315">
    <w:name w:val="批注框文本 Char2"/>
    <w:basedOn w:val="133"/>
    <w:semiHidden/>
    <w:qFormat/>
    <w:locked/>
    <w:uiPriority w:val="0"/>
    <w:rPr>
      <w:rFonts w:ascii="Times New Roman" w:hAnsi="Times New Roman" w:eastAsia="宋体" w:cs="Times New Roman"/>
      <w:sz w:val="18"/>
      <w:szCs w:val="20"/>
    </w:rPr>
  </w:style>
  <w:style w:type="character" w:customStyle="1" w:styleId="3316">
    <w:name w:val="正文文本 Char5"/>
    <w:basedOn w:val="133"/>
    <w:semiHidden/>
    <w:qFormat/>
    <w:locked/>
    <w:uiPriority w:val="0"/>
    <w:rPr>
      <w:rFonts w:ascii="Times New Roman" w:hAnsi="Times New Roman" w:eastAsia="宋体" w:cs="Times New Roman"/>
      <w:szCs w:val="20"/>
    </w:rPr>
  </w:style>
  <w:style w:type="character" w:customStyle="1" w:styleId="3317">
    <w:name w:val="页眉 Char3"/>
    <w:basedOn w:val="133"/>
    <w:semiHidden/>
    <w:qFormat/>
    <w:locked/>
    <w:uiPriority w:val="0"/>
    <w:rPr>
      <w:rFonts w:ascii="Times New Roman" w:hAnsi="Times New Roman" w:eastAsia="宋体" w:cs="Times New Roman"/>
      <w:sz w:val="18"/>
      <w:szCs w:val="20"/>
    </w:rPr>
  </w:style>
  <w:style w:type="character" w:customStyle="1" w:styleId="3318">
    <w:name w:val="批注文字 Char3"/>
    <w:basedOn w:val="133"/>
    <w:semiHidden/>
    <w:qFormat/>
    <w:locked/>
    <w:uiPriority w:val="0"/>
    <w:rPr>
      <w:rFonts w:ascii="Times New Roman" w:hAnsi="Times New Roman" w:eastAsia="宋体" w:cs="Times New Roman"/>
      <w:szCs w:val="20"/>
    </w:rPr>
  </w:style>
  <w:style w:type="character" w:customStyle="1" w:styleId="3319">
    <w:name w:val="文档结构图 Char2"/>
    <w:basedOn w:val="133"/>
    <w:semiHidden/>
    <w:qFormat/>
    <w:locked/>
    <w:uiPriority w:val="0"/>
    <w:rPr>
      <w:rFonts w:ascii="Times New Roman" w:hAnsi="Times New Roman" w:eastAsia="宋体" w:cs="Times New Roman"/>
      <w:szCs w:val="20"/>
      <w:shd w:val="clear" w:color="auto" w:fill="000080"/>
    </w:rPr>
  </w:style>
  <w:style w:type="character" w:customStyle="1" w:styleId="3320">
    <w:name w:val="正文文本缩进 2 Char3"/>
    <w:basedOn w:val="133"/>
    <w:semiHidden/>
    <w:qFormat/>
    <w:locked/>
    <w:uiPriority w:val="0"/>
    <w:rPr>
      <w:rFonts w:ascii="宋体" w:hAnsi="Times New Roman" w:eastAsia="宋体" w:cs="Times New Roman"/>
      <w:sz w:val="28"/>
      <w:szCs w:val="20"/>
    </w:rPr>
  </w:style>
  <w:style w:type="character" w:customStyle="1" w:styleId="3321">
    <w:name w:val="批注主题 Char3"/>
    <w:basedOn w:val="3318"/>
    <w:semiHidden/>
    <w:qFormat/>
    <w:locked/>
    <w:uiPriority w:val="0"/>
    <w:rPr>
      <w:b/>
      <w:bCs/>
    </w:rPr>
  </w:style>
  <w:style w:type="character" w:customStyle="1" w:styleId="3322">
    <w:name w:val="正文首行缩进 Char3"/>
    <w:basedOn w:val="3316"/>
    <w:semiHidden/>
    <w:qFormat/>
    <w:locked/>
    <w:uiPriority w:val="0"/>
  </w:style>
  <w:style w:type="paragraph" w:customStyle="1" w:styleId="3323">
    <w:name w:val="z-窗体顶端3"/>
    <w:basedOn w:val="1"/>
    <w:next w:val="1"/>
    <w:link w:val="3324"/>
    <w:semiHidden/>
    <w:unhideWhenUsed/>
    <w:qFormat/>
    <w:uiPriority w:val="0"/>
    <w:pPr>
      <w:pBdr>
        <w:bottom w:val="single" w:color="auto" w:sz="6" w:space="1"/>
      </w:pBdr>
      <w:spacing w:line="240" w:lineRule="auto"/>
      <w:ind w:firstLine="0" w:firstLineChars="0"/>
      <w:jc w:val="center"/>
    </w:pPr>
    <w:rPr>
      <w:rFonts w:ascii="Arial" w:hAnsi="Arial" w:cs="Arial"/>
      <w:vanish/>
      <w:sz w:val="16"/>
      <w:szCs w:val="16"/>
    </w:rPr>
  </w:style>
  <w:style w:type="character" w:customStyle="1" w:styleId="3324">
    <w:name w:val="z-窗体顶端 Char2"/>
    <w:basedOn w:val="133"/>
    <w:link w:val="3323"/>
    <w:semiHidden/>
    <w:qFormat/>
    <w:uiPriority w:val="0"/>
    <w:rPr>
      <w:rFonts w:ascii="Arial" w:hAnsi="Arial" w:eastAsia="宋体" w:cs="Arial"/>
      <w:vanish/>
      <w:sz w:val="16"/>
      <w:szCs w:val="16"/>
    </w:rPr>
  </w:style>
  <w:style w:type="paragraph" w:customStyle="1" w:styleId="3325">
    <w:name w:val="z-窗体底端3"/>
    <w:basedOn w:val="1"/>
    <w:next w:val="1"/>
    <w:link w:val="3326"/>
    <w:semiHidden/>
    <w:unhideWhenUsed/>
    <w:qFormat/>
    <w:uiPriority w:val="0"/>
    <w:pPr>
      <w:pBdr>
        <w:top w:val="single" w:color="auto" w:sz="6" w:space="1"/>
      </w:pBdr>
      <w:spacing w:line="240" w:lineRule="auto"/>
      <w:ind w:firstLine="0" w:firstLineChars="0"/>
      <w:jc w:val="center"/>
    </w:pPr>
    <w:rPr>
      <w:rFonts w:ascii="Arial" w:hAnsi="Arial" w:cs="Arial"/>
      <w:vanish/>
      <w:sz w:val="16"/>
      <w:szCs w:val="16"/>
    </w:rPr>
  </w:style>
  <w:style w:type="character" w:customStyle="1" w:styleId="3326">
    <w:name w:val="z-窗体底端 Char1"/>
    <w:basedOn w:val="133"/>
    <w:link w:val="3325"/>
    <w:semiHidden/>
    <w:qFormat/>
    <w:uiPriority w:val="0"/>
    <w:rPr>
      <w:rFonts w:ascii="Arial" w:hAnsi="Arial" w:eastAsia="宋体" w:cs="Arial"/>
      <w:vanish/>
      <w:sz w:val="16"/>
      <w:szCs w:val="16"/>
    </w:rPr>
  </w:style>
  <w:style w:type="character" w:customStyle="1" w:styleId="3327">
    <w:name w:val="列表 Char1"/>
    <w:basedOn w:val="133"/>
    <w:qFormat/>
    <w:uiPriority w:val="0"/>
    <w:rPr>
      <w:rFonts w:hint="default" w:ascii="Times New Roman" w:hAnsi="Times New Roman" w:eastAsia="宋体" w:cs="Times New Roman"/>
      <w:kern w:val="0"/>
      <w:sz w:val="28"/>
      <w:szCs w:val="20"/>
    </w:rPr>
  </w:style>
  <w:style w:type="table" w:customStyle="1" w:styleId="3328">
    <w:name w:val="三所表格要求格式"/>
    <w:basedOn w:val="90"/>
    <w:qFormat/>
    <w:uiPriority w:val="0"/>
    <w:pPr>
      <w:jc w:val="center"/>
    </w:pPr>
    <w:tblPr>
      <w:tblBorders>
        <w:top w:val="single" w:color="auto" w:sz="12" w:space="0"/>
        <w:bottom w:val="single" w:color="auto" w:sz="12" w:space="0"/>
        <w:insideH w:val="dotted" w:color="auto" w:sz="8" w:space="0"/>
        <w:insideV w:val="dotted" w:color="auto" w:sz="8" w:space="0"/>
      </w:tblBorders>
      <w:tblCellMar>
        <w:top w:w="0" w:type="dxa"/>
        <w:left w:w="108" w:type="dxa"/>
        <w:bottom w:w="0" w:type="dxa"/>
        <w:right w:w="108" w:type="dxa"/>
      </w:tblCellMar>
    </w:tblPr>
    <w:tcPr>
      <w:vAlign w:val="center"/>
    </w:tcPr>
    <w:tblStylePr w:type="firstRow">
      <w:tcPr>
        <w:tcBorders>
          <w:top w:val="single" w:color="auto" w:sz="12" w:space="0"/>
          <w:left w:val="nil"/>
          <w:bottom w:val="single" w:color="auto" w:sz="12" w:space="0"/>
          <w:right w:val="nil"/>
          <w:insideH w:val="nil"/>
          <w:insideV w:val="dotted" w:sz="8" w:space="0"/>
          <w:tl2br w:val="nil"/>
          <w:tr2bl w:val="nil"/>
        </w:tcBorders>
      </w:tcPr>
    </w:tblStylePr>
  </w:style>
  <w:style w:type="table" w:customStyle="1" w:styleId="3329">
    <w:name w:val="000"/>
    <w:basedOn w:val="88"/>
    <w:qFormat/>
    <w:uiPriority w:val="0"/>
    <w:pPr>
      <w:jc w:val="center"/>
    </w:pPr>
    <w:rPr>
      <w:rFonts w:ascii="Times New Roman" w:hAnsi="Times New Roman" w:eastAsia="宋体" w:cs="Times New Roman"/>
      <w:sz w:val="18"/>
    </w:rPr>
    <w:tblP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3330">
    <w:name w:val="三线表"/>
    <w:basedOn w:val="88"/>
    <w:qFormat/>
    <w:uiPriority w:val="0"/>
    <w:pPr>
      <w:spacing w:line="360" w:lineRule="exact"/>
      <w:jc w:val="center"/>
    </w:pPr>
    <w:rPr>
      <w:rFonts w:ascii="宋体" w:hAnsi="Times New Roman" w:eastAsia="宋体" w:cs="Times New Roman"/>
    </w:rPr>
    <w:tblPr>
      <w:tblBorders>
        <w:top w:val="single" w:color="auto" w:sz="12" w:space="0"/>
        <w:bottom w:val="single" w:color="auto" w:sz="12" w:space="0"/>
        <w:insideH w:val="dotted" w:color="auto" w:sz="4" w:space="0"/>
        <w:insideV w:val="dotted" w:color="auto" w:sz="4" w:space="0"/>
      </w:tblBorders>
      <w:tblCellMar>
        <w:top w:w="0" w:type="dxa"/>
        <w:left w:w="108" w:type="dxa"/>
        <w:bottom w:w="0" w:type="dxa"/>
        <w:right w:w="108" w:type="dxa"/>
      </w:tblCellMar>
    </w:tblPr>
    <w:tcPr>
      <w:vAlign w:val="center"/>
    </w:tcPr>
  </w:style>
  <w:style w:type="table" w:customStyle="1" w:styleId="3331">
    <w:name w:val="表13"/>
    <w:basedOn w:val="88"/>
    <w:qFormat/>
    <w:uiPriority w:val="0"/>
    <w:pPr>
      <w:spacing w:line="260" w:lineRule="exact"/>
      <w:jc w:val="center"/>
    </w:pPr>
    <w:rPr>
      <w:rFonts w:ascii="宋体" w:hAnsi="Times New Roman" w:eastAsia="宋体" w:cs="Times New Roman"/>
    </w:rPr>
    <w:tblPr>
      <w:tblBorders>
        <w:top w:val="single" w:color="auto" w:sz="12" w:space="0"/>
        <w:bottom w:val="single" w:color="auto" w:sz="12" w:space="0"/>
        <w:insideH w:val="dotted" w:color="auto" w:sz="8" w:space="0"/>
        <w:insideV w:val="dotted" w:color="auto" w:sz="8" w:space="0"/>
      </w:tblBorders>
      <w:tblCellMar>
        <w:top w:w="0" w:type="dxa"/>
        <w:left w:w="108" w:type="dxa"/>
        <w:bottom w:w="0" w:type="dxa"/>
        <w:right w:w="108" w:type="dxa"/>
      </w:tblCellMar>
    </w:tblPr>
    <w:tcPr>
      <w:vAlign w:val="center"/>
    </w:tcPr>
  </w:style>
  <w:style w:type="table" w:customStyle="1" w:styleId="3332">
    <w:name w:val="典雅型1"/>
    <w:basedOn w:val="88"/>
    <w:semiHidden/>
    <w:qFormat/>
    <w:uiPriority w:val="0"/>
    <w:pPr>
      <w:widowControl w:val="0"/>
      <w:jc w:val="both"/>
    </w:pPr>
    <w:rPr>
      <w:rFonts w:ascii="Calibri" w:hAnsi="Calibri"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3333">
    <w:name w:val="HIT-EIA"/>
    <w:basedOn w:val="95"/>
    <w:qFormat/>
    <w:uiPriority w:val="0"/>
    <w:pPr>
      <w:jc w:val="center"/>
    </w:pPr>
    <w:rPr>
      <w:rFonts w:ascii="Times New Roman" w:hAnsi="Times New Roman"/>
      <w:sz w:val="21"/>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34">
    <w:name w:val="环评"/>
    <w:basedOn w:val="88"/>
    <w:qFormat/>
    <w:uiPriority w:val="0"/>
    <w:rPr>
      <w:rFonts w:ascii="Times New Roman" w:hAnsi="Times New Roman" w:eastAsia="宋体" w:cs="Times New Roman"/>
    </w:rPr>
    <w:tblPr>
      <w:tblCellMar>
        <w:top w:w="0" w:type="dxa"/>
        <w:left w:w="108" w:type="dxa"/>
        <w:bottom w:w="0" w:type="dxa"/>
        <w:right w:w="108" w:type="dxa"/>
      </w:tblCellMar>
    </w:tblPr>
  </w:style>
  <w:style w:type="table" w:customStyle="1" w:styleId="3335">
    <w:name w:val="表格样式100"/>
    <w:basedOn w:val="88"/>
    <w:semiHidden/>
    <w:qFormat/>
    <w:uiPriority w:val="0"/>
    <w:pPr>
      <w:widowControl w:val="0"/>
      <w:overflowPunct w:val="0"/>
      <w:topLinePunct/>
      <w:autoSpaceDE w:val="0"/>
      <w:autoSpaceDN w:val="0"/>
      <w:adjustRightInd w:val="0"/>
      <w:snapToGrid w:val="0"/>
      <w:spacing w:line="400" w:lineRule="exact"/>
      <w:jc w:val="center"/>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3336">
    <w:name w:val="投标表格"/>
    <w:basedOn w:val="88"/>
    <w:qFormat/>
    <w:uiPriority w:val="0"/>
    <w:rPr>
      <w:rFonts w:ascii="Arial" w:hAnsi="Arial" w:eastAsia="宋体" w:cs="Times New Roman"/>
      <w:sz w:val="24"/>
      <w:szCs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blStylePr w:type="firstRow">
      <w:pPr>
        <w:wordWrap/>
        <w:spacing w:line="400" w:lineRule="exact"/>
        <w:jc w:val="center"/>
      </w:pPr>
      <w:rPr>
        <w:rFonts w:hint="default" w:ascii="Symbol" w:hAnsi="Symbol" w:eastAsia="Cordia New"/>
        <w:b/>
        <w:i w:val="0"/>
        <w:sz w:val="24"/>
        <w:szCs w:val="24"/>
      </w:rPr>
      <w:tcPr>
        <w:tcBorders>
          <w:top w:val="single" w:color="auto" w:sz="12" w:space="0"/>
          <w:left w:val="single" w:color="auto" w:sz="12" w:space="0"/>
          <w:bottom w:val="single" w:color="auto" w:sz="4" w:space="0"/>
          <w:right w:val="single" w:color="auto" w:sz="12" w:space="0"/>
          <w:insideH w:val="nil"/>
          <w:insideV w:val="single" w:sz="4" w:space="0"/>
          <w:tl2br w:val="nil"/>
          <w:tr2bl w:val="nil"/>
        </w:tcBorders>
        <w:shd w:val="clear" w:color="auto" w:fill="B3B3B3"/>
        <w:vAlign w:val="center"/>
      </w:tcPr>
    </w:tblStylePr>
    <w:tblStylePr w:type="firstCol">
      <w:pPr>
        <w:jc w:val="center"/>
      </w:pPr>
      <w:tcPr>
        <w:vAlign w:val="center"/>
      </w:tcPr>
    </w:tblStylePr>
  </w:style>
  <w:style w:type="table" w:customStyle="1" w:styleId="3337">
    <w:name w:val="三线表1"/>
    <w:basedOn w:val="88"/>
    <w:qFormat/>
    <w:uiPriority w:val="0"/>
    <w:pPr>
      <w:ind w:firstLine="200" w:firstLineChars="200"/>
      <w:jc w:val="both"/>
    </w:pPr>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338">
    <w:name w:val="三线表2"/>
    <w:basedOn w:val="88"/>
    <w:qFormat/>
    <w:uiPriority w:val="0"/>
    <w:pPr>
      <w:widowControl w:val="0"/>
      <w:spacing w:line="360" w:lineRule="auto"/>
      <w:ind w:firstLine="48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9">
    <w:name w:val="表格样式777"/>
    <w:basedOn w:val="89"/>
    <w:qFormat/>
    <w:uiPriority w:val="0"/>
    <w:pPr>
      <w:widowControl w:val="0"/>
      <w:jc w:val="center"/>
    </w:pPr>
    <w:rPr>
      <w:rFonts w:ascii="Calibri" w:hAnsi="Calibri" w:eastAsia="Times New Roman" w:cs="Times New Roman"/>
      <w:sz w:val="18"/>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3340">
    <w:name w:val="word表格"/>
    <w:basedOn w:val="88"/>
    <w:qFormat/>
    <w:uiPriority w:val="0"/>
    <w:pPr>
      <w:jc w:val="center"/>
    </w:pPr>
    <w:rPr>
      <w:rFonts w:ascii="Times New Roman" w:hAnsi="Times New Roman" w:eastAsia="宋体" w:cs="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3341">
    <w:name w:val="www"/>
    <w:basedOn w:val="122"/>
    <w:qFormat/>
    <w:uiPriority w:val="0"/>
    <w:pPr>
      <w:jc w:val="center"/>
    </w:pPr>
    <w:rPr>
      <w:rFonts w:ascii="Times New Roman" w:hAnsi="Times New Roman" w:eastAsia="仿宋_GB2312"/>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paragraph" w:customStyle="1" w:styleId="3342">
    <w:name w:val="样式 样式 标题 4款标题1.1.1.1标题 4 Char标题 4 Char CharL4 + 宋体 小四 非加粗1 + 段前:..."/>
    <w:basedOn w:val="1690"/>
    <w:qFormat/>
    <w:uiPriority w:val="0"/>
    <w:rPr>
      <w:rFonts w:cs="宋体"/>
      <w:szCs w:val="20"/>
    </w:rPr>
  </w:style>
  <w:style w:type="paragraph" w:customStyle="1" w:styleId="3343">
    <w:name w:val="CM11"/>
    <w:basedOn w:val="157"/>
    <w:next w:val="157"/>
    <w:qFormat/>
    <w:uiPriority w:val="0"/>
    <w:pPr>
      <w:spacing w:line="468" w:lineRule="atLeast"/>
    </w:pPr>
    <w:rPr>
      <w:rFonts w:ascii="黑体" w:hAnsi="Times New Roman" w:eastAsia="黑体" w:cs="Times New Roman"/>
      <w:color w:val="auto"/>
    </w:rPr>
  </w:style>
  <w:style w:type="paragraph" w:customStyle="1" w:styleId="3344">
    <w:name w:val="CM9"/>
    <w:basedOn w:val="157"/>
    <w:next w:val="157"/>
    <w:qFormat/>
    <w:uiPriority w:val="0"/>
    <w:pPr>
      <w:spacing w:line="468" w:lineRule="atLeast"/>
    </w:pPr>
    <w:rPr>
      <w:rFonts w:ascii="黑体" w:hAnsi="Times New Roman" w:eastAsia="黑体" w:cs="Times New Roman"/>
      <w:color w:val="auto"/>
    </w:rPr>
  </w:style>
  <w:style w:type="paragraph" w:customStyle="1" w:styleId="3345">
    <w:name w:val="CM16"/>
    <w:basedOn w:val="157"/>
    <w:next w:val="157"/>
    <w:qFormat/>
    <w:uiPriority w:val="0"/>
    <w:pPr>
      <w:spacing w:after="50"/>
    </w:pPr>
    <w:rPr>
      <w:rFonts w:hAnsi="Times New Roman" w:cs="Times New Roman"/>
      <w:color w:val="auto"/>
    </w:rPr>
  </w:style>
  <w:style w:type="paragraph" w:customStyle="1" w:styleId="3346">
    <w:name w:val="CM4"/>
    <w:basedOn w:val="157"/>
    <w:next w:val="157"/>
    <w:qFormat/>
    <w:uiPriority w:val="0"/>
    <w:pPr>
      <w:spacing w:line="468" w:lineRule="atLeast"/>
    </w:pPr>
    <w:rPr>
      <w:rFonts w:ascii="黑体" w:hAnsi="Times New Roman" w:eastAsia="黑体" w:cs="Times New Roman"/>
      <w:color w:val="auto"/>
    </w:rPr>
  </w:style>
  <w:style w:type="paragraph" w:customStyle="1" w:styleId="3347">
    <w:name w:val="CM15"/>
    <w:basedOn w:val="157"/>
    <w:next w:val="157"/>
    <w:qFormat/>
    <w:uiPriority w:val="0"/>
    <w:pPr>
      <w:spacing w:after="97"/>
    </w:pPr>
    <w:rPr>
      <w:rFonts w:hAnsi="Times New Roman" w:cs="Times New Roman"/>
      <w:color w:val="auto"/>
    </w:rPr>
  </w:style>
  <w:style w:type="paragraph" w:customStyle="1" w:styleId="3348">
    <w:name w:val="CM7"/>
    <w:basedOn w:val="157"/>
    <w:next w:val="157"/>
    <w:qFormat/>
    <w:uiPriority w:val="0"/>
    <w:rPr>
      <w:rFonts w:ascii="黑体" w:hAnsi="Times New Roman" w:eastAsia="黑体" w:cs="Times New Roman"/>
      <w:color w:val="auto"/>
    </w:rPr>
  </w:style>
  <w:style w:type="paragraph" w:customStyle="1" w:styleId="3349">
    <w:name w:val="表格后样式"/>
    <w:basedOn w:val="180"/>
    <w:semiHidden/>
    <w:qFormat/>
    <w:uiPriority w:val="0"/>
    <w:pPr>
      <w:adjustRightInd/>
      <w:spacing w:line="240" w:lineRule="auto"/>
      <w:ind w:firstLine="480" w:firstLineChars="200"/>
    </w:pPr>
    <w:rPr>
      <w:rFonts w:hint="eastAsia" w:ascii="Times New Roman" w:hAnsi="Times New Roman"/>
      <w:color w:val="000000"/>
      <w:kern w:val="0"/>
      <w:sz w:val="21"/>
    </w:rPr>
  </w:style>
  <w:style w:type="paragraph" w:customStyle="1" w:styleId="3350">
    <w:name w:val="封皮字体3"/>
    <w:basedOn w:val="2416"/>
    <w:qFormat/>
    <w:uiPriority w:val="0"/>
    <w:pPr>
      <w:spacing w:line="720" w:lineRule="auto"/>
    </w:pPr>
    <w:rPr>
      <w:sz w:val="30"/>
    </w:rPr>
  </w:style>
  <w:style w:type="paragraph" w:customStyle="1" w:styleId="3351">
    <w:name w:val="正文样式2"/>
    <w:basedOn w:val="178"/>
    <w:semiHidden/>
    <w:qFormat/>
    <w:uiPriority w:val="0"/>
    <w:pPr>
      <w:spacing w:line="240" w:lineRule="exact"/>
      <w:ind w:firstLine="420"/>
    </w:pPr>
    <w:rPr>
      <w:rFonts w:hint="eastAsia" w:hAnsi="宋体" w:cs="Courier New"/>
      <w:bCs/>
      <w:color w:val="000000"/>
      <w:sz w:val="21"/>
      <w:szCs w:val="24"/>
    </w:rPr>
  </w:style>
  <w:style w:type="paragraph" w:customStyle="1" w:styleId="3352">
    <w:name w:val="样式 样式18 + 红色 行距: 固定值 26 磅"/>
    <w:basedOn w:val="1528"/>
    <w:qFormat/>
    <w:uiPriority w:val="0"/>
    <w:pPr>
      <w:tabs>
        <w:tab w:val="clear" w:pos="1800"/>
      </w:tabs>
      <w:spacing w:line="520" w:lineRule="exact"/>
    </w:pPr>
    <w:rPr>
      <w:color w:val="FF0000"/>
    </w:rPr>
  </w:style>
  <w:style w:type="paragraph" w:customStyle="1" w:styleId="3353">
    <w:name w:val="样式 样式18 + 黑色 行距: 固定值 23 磅"/>
    <w:basedOn w:val="1528"/>
    <w:qFormat/>
    <w:uiPriority w:val="0"/>
    <w:pPr>
      <w:spacing w:line="460" w:lineRule="exact"/>
      <w:ind w:left="0"/>
    </w:pPr>
    <w:rPr>
      <w:color w:val="000000"/>
    </w:rPr>
  </w:style>
  <w:style w:type="paragraph" w:customStyle="1" w:styleId="3354">
    <w:name w:val="样式 样式 标题 1 + 宋体 小四 加粗 + 行距: 1.5 倍行距"/>
    <w:basedOn w:val="907"/>
    <w:semiHidden/>
    <w:qFormat/>
    <w:uiPriority w:val="0"/>
    <w:pPr>
      <w:spacing w:line="520" w:lineRule="exact"/>
    </w:pPr>
    <w:rPr>
      <w:rFonts w:cs="宋体"/>
      <w:szCs w:val="20"/>
    </w:rPr>
  </w:style>
  <w:style w:type="paragraph" w:customStyle="1" w:styleId="3355">
    <w:name w:val="样式 表格文字统一样式 + Arial 小五 非加粗 自动设置 行距: 单倍行距1"/>
    <w:basedOn w:val="1657"/>
    <w:qFormat/>
    <w:uiPriority w:val="0"/>
    <w:rPr>
      <w:rFonts w:ascii="Batang" w:hAnsi="Batang"/>
    </w:rPr>
  </w:style>
  <w:style w:type="paragraph" w:customStyle="1" w:styleId="3356">
    <w:name w:val="样式 样式 表格文字统一样式 + Arial 小五 非加粗 自动设置 行距: 单倍行距1 + 段后: 0.5 行1"/>
    <w:basedOn w:val="3355"/>
    <w:qFormat/>
    <w:uiPriority w:val="0"/>
  </w:style>
  <w:style w:type="paragraph" w:customStyle="1" w:styleId="3357">
    <w:name w:val="样式 样式 表格文字统一样式 + Arial 小五 非加粗 自动设置 行距: 单倍行距1 + 段后: 0.5 行"/>
    <w:basedOn w:val="3355"/>
    <w:qFormat/>
    <w:uiPriority w:val="0"/>
  </w:style>
  <w:style w:type="character" w:customStyle="1" w:styleId="3358">
    <w:name w:val="样式6 Char1"/>
    <w:basedOn w:val="2993"/>
    <w:semiHidden/>
    <w:qFormat/>
    <w:uiPriority w:val="0"/>
    <w:rPr>
      <w:rFonts w:ascii="宋体" w:hAnsi="宋体" w:eastAsia="宋体"/>
    </w:rPr>
  </w:style>
  <w:style w:type="paragraph" w:customStyle="1" w:styleId="3359">
    <w:name w:val="表内小4"/>
    <w:basedOn w:val="376"/>
    <w:qFormat/>
    <w:uiPriority w:val="0"/>
    <w:pPr>
      <w:ind w:left="240" w:hanging="240"/>
    </w:pPr>
    <w:rPr>
      <w:sz w:val="18"/>
      <w:szCs w:val="18"/>
    </w:rPr>
  </w:style>
  <w:style w:type="paragraph" w:customStyle="1" w:styleId="3360">
    <w:name w:val="表格04"/>
    <w:basedOn w:val="1774"/>
    <w:qFormat/>
    <w:uiPriority w:val="0"/>
    <w:pPr>
      <w:snapToGrid w:val="0"/>
      <w:spacing w:before="0" w:line="360" w:lineRule="atLeast"/>
    </w:pPr>
  </w:style>
  <w:style w:type="paragraph" w:customStyle="1" w:styleId="3361">
    <w:name w:val="说明-表格用字1"/>
    <w:basedOn w:val="1566"/>
    <w:qFormat/>
    <w:uiPriority w:val="0"/>
  </w:style>
  <w:style w:type="paragraph" w:customStyle="1" w:styleId="3362">
    <w:name w:val="1说明"/>
    <w:basedOn w:val="1873"/>
    <w:qFormat/>
    <w:uiPriority w:val="0"/>
    <w:rPr>
      <w:bCs w:val="0"/>
      <w:kern w:val="2"/>
      <w:sz w:val="21"/>
    </w:rPr>
  </w:style>
  <w:style w:type="paragraph" w:customStyle="1" w:styleId="3363">
    <w:name w:val="表头名"/>
    <w:basedOn w:val="1641"/>
    <w:qFormat/>
    <w:uiPriority w:val="0"/>
  </w:style>
  <w:style w:type="paragraph" w:customStyle="1" w:styleId="3364">
    <w:name w:val="附录标识"/>
    <w:basedOn w:val="714"/>
    <w:qFormat/>
    <w:uiPriority w:val="0"/>
    <w:pPr>
      <w:tabs>
        <w:tab w:val="left" w:pos="6405"/>
        <w:tab w:val="clear" w:pos="903"/>
      </w:tabs>
      <w:spacing w:after="200"/>
      <w:ind w:left="0" w:firstLine="0"/>
    </w:pPr>
    <w:rPr>
      <w:sz w:val="21"/>
    </w:rPr>
  </w:style>
  <w:style w:type="paragraph" w:customStyle="1" w:styleId="3365">
    <w:name w:val="样式 样式 标题 2标题2二级 标题 2H2h2第一层条标题 2 Char节标题节11 Char标题 2 Cha...1 +"/>
    <w:basedOn w:val="1606"/>
    <w:qFormat/>
    <w:uiPriority w:val="0"/>
  </w:style>
  <w:style w:type="paragraph" w:customStyle="1" w:styleId="3366">
    <w:name w:val="样式 样式 样式 标题 2标题2二级 标题 2H2h2第一层条标题 2 Char节标题节11 Char标题 2 Cha...1 ..."/>
    <w:basedOn w:val="3365"/>
    <w:qFormat/>
    <w:uiPriority w:val="0"/>
  </w:style>
  <w:style w:type="paragraph" w:customStyle="1" w:styleId="3367">
    <w:name w:val="Company Name One"/>
    <w:basedOn w:val="1553"/>
    <w:next w:val="1"/>
    <w:qFormat/>
    <w:uiPriority w:val="0"/>
  </w:style>
  <w:style w:type="paragraph" w:customStyle="1" w:styleId="3368">
    <w:name w:val="样式 样式 样式9 + 段前: 0.5 行 段后: 0.5 行 + 段前: 1 行 段后: 0.5 行"/>
    <w:basedOn w:val="1514"/>
    <w:qFormat/>
    <w:uiPriority w:val="0"/>
  </w:style>
  <w:style w:type="paragraph" w:customStyle="1" w:styleId="3369">
    <w:name w:val="样式 样式 样式 样式9 + 段前: 0.5 行 段后: 0.5 行 + 段前: 1 行 段后: 0.5 行 + 段前: 1 行..."/>
    <w:basedOn w:val="3368"/>
    <w:qFormat/>
    <w:uiPriority w:val="0"/>
  </w:style>
  <w:style w:type="paragraph" w:customStyle="1" w:styleId="3370">
    <w:name w:val="样式 样式 样式 样式 样式9 + 段前: 0.5 行 段后: 0.5 行 + 段前: 1 行 段后: 0.5 行 + 段前: ..."/>
    <w:basedOn w:val="3369"/>
    <w:qFormat/>
    <w:uiPriority w:val="0"/>
  </w:style>
  <w:style w:type="paragraph" w:customStyle="1" w:styleId="3371">
    <w:name w:val="样式 样式 样式 样式 样式 样式9 + 段前: 0.5 行 段后: 0.5 行 + 段前: 1 行 段后: 0.5 行 + 段..."/>
    <w:basedOn w:val="3370"/>
    <w:qFormat/>
    <w:uiPriority w:val="0"/>
    <w:pPr>
      <w:jc w:val="left"/>
    </w:pPr>
  </w:style>
  <w:style w:type="paragraph" w:customStyle="1" w:styleId="3372">
    <w:name w:val="样式 样式 样式 样式 样式 样式 样式9 + 段前: 0.5 行 段后: 0.5 行 + 段前: 1 行 段后: 0.5 行 ..."/>
    <w:basedOn w:val="3371"/>
    <w:qFormat/>
    <w:uiPriority w:val="0"/>
  </w:style>
  <w:style w:type="paragraph" w:customStyle="1" w:styleId="3373">
    <w:name w:val="样式 样式 样式 样式 样式 样式 样式 样式9 + 段前: 0.5 行 段后: 0.5 行 + 段前: 1 行 段后: 0.5...2"/>
    <w:basedOn w:val="3372"/>
    <w:qFormat/>
    <w:uiPriority w:val="0"/>
    <w:rPr>
      <w:color w:val="000000"/>
    </w:rPr>
  </w:style>
  <w:style w:type="paragraph" w:customStyle="1" w:styleId="3374">
    <w:name w:val="样式 样式 样式 样式 样式 样式 样式 样式9 + 段前: 0.5 行 段后: 0.5 行 + 段前: 1 行 段后: 0.5...3"/>
    <w:basedOn w:val="3372"/>
    <w:qFormat/>
    <w:uiPriority w:val="0"/>
    <w:pPr>
      <w:tabs>
        <w:tab w:val="left" w:pos="567"/>
      </w:tabs>
    </w:pPr>
    <w:rPr>
      <w:color w:val="000000"/>
    </w:rPr>
  </w:style>
  <w:style w:type="paragraph" w:customStyle="1" w:styleId="3375">
    <w:name w:val="样式 样式 样式 样式 样式 样式 样式 样式9 + 段前: 0.5 行 段后: 0.5 行 + 段前: 1 行 段后: 0.5...1"/>
    <w:basedOn w:val="3372"/>
    <w:qFormat/>
    <w:uiPriority w:val="0"/>
    <w:rPr>
      <w:color w:val="000000"/>
    </w:rPr>
  </w:style>
  <w:style w:type="paragraph" w:customStyle="1" w:styleId="3376">
    <w:name w:val="样式 样式 样式 样式 样式9 + 段前: 0.5 行 段后: 0.5 行 + 段前: 1 行 段后: 0.5 行 + 段前: ...1"/>
    <w:basedOn w:val="3369"/>
    <w:qFormat/>
    <w:uiPriority w:val="0"/>
    <w:pPr>
      <w:tabs>
        <w:tab w:val="left" w:pos="567"/>
      </w:tabs>
    </w:pPr>
  </w:style>
  <w:style w:type="paragraph" w:customStyle="1" w:styleId="3377">
    <w:name w:val="表头6"/>
    <w:basedOn w:val="1868"/>
    <w:qFormat/>
    <w:uiPriority w:val="0"/>
    <w:pPr>
      <w:tabs>
        <w:tab w:val="left" w:pos="843"/>
        <w:tab w:val="left" w:pos="1774"/>
        <w:tab w:val="clear" w:pos="625"/>
      </w:tabs>
      <w:ind w:left="992" w:leftChars="0" w:hanging="363"/>
    </w:pPr>
  </w:style>
  <w:style w:type="paragraph" w:customStyle="1" w:styleId="3378">
    <w:name w:val="表头8"/>
    <w:basedOn w:val="3377"/>
    <w:qFormat/>
    <w:uiPriority w:val="0"/>
    <w:pPr>
      <w:tabs>
        <w:tab w:val="left" w:pos="903"/>
        <w:tab w:val="left" w:pos="1728"/>
        <w:tab w:val="clear" w:pos="843"/>
        <w:tab w:val="clear" w:pos="1774"/>
      </w:tabs>
      <w:ind w:left="845"/>
    </w:pPr>
  </w:style>
  <w:style w:type="paragraph" w:customStyle="1" w:styleId="3379">
    <w:name w:val="样式 样式 标题 2h22Header 2nd PageA.B.C.h2 main h标题2 + 仿宋_GB2312 行距......1"/>
    <w:basedOn w:val="2199"/>
    <w:qFormat/>
    <w:uiPriority w:val="0"/>
    <w:pPr>
      <w:ind w:firstLine="454"/>
    </w:pPr>
    <w:rPr>
      <w:b/>
      <w:bCs/>
    </w:rPr>
  </w:style>
  <w:style w:type="paragraph" w:customStyle="1" w:styleId="3380">
    <w:name w:val="附录一级条标题"/>
    <w:basedOn w:val="798"/>
    <w:next w:val="6"/>
    <w:qFormat/>
    <w:uiPriority w:val="0"/>
    <w:pPr>
      <w:tabs>
        <w:tab w:val="left" w:pos="828"/>
      </w:tabs>
      <w:autoSpaceDN w:val="0"/>
      <w:spacing w:beforeLines="0" w:afterLines="0"/>
      <w:ind w:left="828" w:hanging="240"/>
      <w:outlineLvl w:val="2"/>
    </w:pPr>
  </w:style>
  <w:style w:type="paragraph" w:customStyle="1" w:styleId="3381">
    <w:name w:val="附录二级条标题"/>
    <w:basedOn w:val="3380"/>
    <w:next w:val="6"/>
    <w:qFormat/>
    <w:uiPriority w:val="0"/>
    <w:pPr>
      <w:tabs>
        <w:tab w:val="left" w:pos="360"/>
        <w:tab w:val="clear" w:pos="828"/>
      </w:tabs>
      <w:ind w:left="360" w:hanging="360"/>
      <w:outlineLvl w:val="3"/>
    </w:pPr>
  </w:style>
  <w:style w:type="paragraph" w:customStyle="1" w:styleId="3382">
    <w:name w:val="附录三级条标题"/>
    <w:basedOn w:val="3381"/>
    <w:next w:val="6"/>
    <w:qFormat/>
    <w:uiPriority w:val="0"/>
    <w:pPr>
      <w:tabs>
        <w:tab w:val="left" w:pos="1068"/>
        <w:tab w:val="clear" w:pos="360"/>
      </w:tabs>
      <w:ind w:left="1068"/>
      <w:outlineLvl w:val="4"/>
    </w:pPr>
  </w:style>
  <w:style w:type="paragraph" w:customStyle="1" w:styleId="3383">
    <w:name w:val="附录四级条标题"/>
    <w:basedOn w:val="3382"/>
    <w:next w:val="6"/>
    <w:qFormat/>
    <w:uiPriority w:val="0"/>
    <w:pPr>
      <w:tabs>
        <w:tab w:val="left" w:pos="960"/>
        <w:tab w:val="clear" w:pos="1068"/>
      </w:tabs>
      <w:ind w:left="960"/>
      <w:outlineLvl w:val="5"/>
    </w:pPr>
  </w:style>
  <w:style w:type="paragraph" w:customStyle="1" w:styleId="3384">
    <w:name w:val="附录五级条标题"/>
    <w:basedOn w:val="3383"/>
    <w:next w:val="6"/>
    <w:qFormat/>
    <w:uiPriority w:val="0"/>
    <w:pPr>
      <w:tabs>
        <w:tab w:val="left" w:pos="435"/>
        <w:tab w:val="clear" w:pos="960"/>
      </w:tabs>
      <w:ind w:left="435" w:hanging="165"/>
      <w:outlineLvl w:val="6"/>
    </w:pPr>
  </w:style>
  <w:style w:type="paragraph" w:customStyle="1" w:styleId="3385">
    <w:name w:val="样式 标题2-自建 +"/>
    <w:basedOn w:val="643"/>
    <w:qFormat/>
    <w:uiPriority w:val="0"/>
    <w:pPr>
      <w:spacing w:line="900" w:lineRule="exact"/>
    </w:pPr>
  </w:style>
  <w:style w:type="paragraph" w:customStyle="1" w:styleId="3386">
    <w:name w:val="Section Subtitle"/>
    <w:basedOn w:val="1574"/>
    <w:next w:val="1"/>
    <w:qFormat/>
    <w:uiPriority w:val="0"/>
    <w:pPr>
      <w:pBdr>
        <w:top w:val="none" w:color="auto" w:sz="0" w:space="0"/>
      </w:pBdr>
    </w:pPr>
    <w:rPr>
      <w:b w:val="0"/>
      <w:spacing w:val="0"/>
      <w:position w:val="6"/>
    </w:rPr>
  </w:style>
  <w:style w:type="paragraph" w:customStyle="1" w:styleId="3387">
    <w:name w:val="样式 样式3 + 段前: 0.5 行"/>
    <w:basedOn w:val="816"/>
    <w:semiHidden/>
    <w:qFormat/>
    <w:uiPriority w:val="0"/>
    <w:pPr>
      <w:pBdr>
        <w:top w:val="none" w:color="auto" w:sz="0" w:space="0"/>
      </w:pBdr>
      <w:tabs>
        <w:tab w:val="center" w:pos="4649"/>
        <w:tab w:val="right" w:pos="9072"/>
        <w:tab w:val="clear" w:pos="4153"/>
        <w:tab w:val="clear" w:pos="8306"/>
      </w:tabs>
      <w:adjustRightInd w:val="0"/>
      <w:spacing w:beforeLines="50" w:line="360" w:lineRule="auto"/>
      <w:jc w:val="left"/>
      <w:outlineLvl w:val="2"/>
    </w:pPr>
    <w:rPr>
      <w:rFonts w:ascii="宋体" w:hAnsi="宋体" w:eastAsia="宋体" w:cs="宋体"/>
      <w:b/>
      <w:bCs/>
      <w:kern w:val="0"/>
    </w:rPr>
  </w:style>
  <w:style w:type="paragraph" w:customStyle="1" w:styleId="3388">
    <w:name w:val="样式4 + 段前: 0.5 行 段后: 0.5 行1"/>
    <w:basedOn w:val="830"/>
    <w:semiHidden/>
    <w:qFormat/>
    <w:uiPriority w:val="0"/>
    <w:pPr>
      <w:tabs>
        <w:tab w:val="left" w:pos="1086"/>
        <w:tab w:val="clear" w:pos="987"/>
        <w:tab w:val="clear" w:pos="1296"/>
      </w:tabs>
      <w:spacing w:afterLines="50"/>
      <w:ind w:left="1086" w:hanging="576"/>
    </w:pPr>
    <w:rPr>
      <w:rFonts w:hAnsi="宋体" w:cs="宋体"/>
      <w:bCs/>
      <w:sz w:val="28"/>
      <w:szCs w:val="20"/>
    </w:rPr>
  </w:style>
  <w:style w:type="paragraph" w:customStyle="1" w:styleId="3389">
    <w:name w:val="正文文字xin"/>
    <w:basedOn w:val="2393"/>
    <w:qFormat/>
    <w:uiPriority w:val="0"/>
    <w:pPr>
      <w:tabs>
        <w:tab w:val="clear" w:pos="283"/>
      </w:tabs>
    </w:pPr>
  </w:style>
  <w:style w:type="paragraph" w:customStyle="1" w:styleId="3390">
    <w:name w:val="样式6 + 段前: 0.5 行 段后: 0.5 行"/>
    <w:basedOn w:val="416"/>
    <w:semiHidden/>
    <w:qFormat/>
    <w:uiPriority w:val="0"/>
    <w:pPr>
      <w:tabs>
        <w:tab w:val="left" w:pos="1260"/>
        <w:tab w:val="left" w:pos="1900"/>
        <w:tab w:val="clear" w:pos="3930"/>
        <w:tab w:val="clear" w:pos="6047"/>
      </w:tabs>
      <w:adjustRightInd w:val="0"/>
      <w:spacing w:beforeLines="50" w:afterLines="50" w:line="360" w:lineRule="auto"/>
      <w:ind w:left="1260" w:hanging="720" w:firstLineChars="0"/>
      <w:outlineLvl w:val="2"/>
    </w:pPr>
    <w:rPr>
      <w:rFonts w:ascii="Times New Roman" w:cs="宋体"/>
      <w:bCs w:val="0"/>
      <w:sz w:val="21"/>
      <w:szCs w:val="20"/>
      <w:lang w:val="en-US"/>
    </w:rPr>
  </w:style>
  <w:style w:type="paragraph" w:customStyle="1" w:styleId="3391">
    <w:name w:val="样式 样式7 + 小四"/>
    <w:basedOn w:val="2749"/>
    <w:qFormat/>
    <w:uiPriority w:val="0"/>
    <w:pPr>
      <w:keepNext/>
      <w:keepLines/>
      <w:tabs>
        <w:tab w:val="left" w:pos="560"/>
      </w:tabs>
      <w:adjustRightInd w:val="0"/>
      <w:snapToGrid w:val="0"/>
      <w:spacing w:before="240" w:line="480" w:lineRule="exact"/>
      <w:jc w:val="left"/>
      <w:outlineLvl w:val="2"/>
    </w:pPr>
    <w:rPr>
      <w:rFonts w:ascii="宋体" w:hAnsi="宋体"/>
      <w:b/>
      <w:sz w:val="24"/>
    </w:rPr>
  </w:style>
  <w:style w:type="paragraph" w:customStyle="1" w:styleId="3392">
    <w:name w:val="列表项目符号1.缩2"/>
    <w:basedOn w:val="300"/>
    <w:qFormat/>
    <w:uiPriority w:val="0"/>
    <w:pPr>
      <w:tabs>
        <w:tab w:val="left" w:pos="945"/>
      </w:tabs>
      <w:spacing w:line="360" w:lineRule="auto"/>
      <w:ind w:left="0" w:firstLine="425"/>
    </w:pPr>
    <w:rPr>
      <w:sz w:val="24"/>
      <w:szCs w:val="24"/>
    </w:rPr>
  </w:style>
  <w:style w:type="character" w:customStyle="1" w:styleId="3393">
    <w:name w:val="杨2 Char Char"/>
    <w:basedOn w:val="2801"/>
    <w:qFormat/>
    <w:uiPriority w:val="0"/>
    <w:rPr>
      <w:rFonts w:hint="eastAsia" w:ascii="黑体" w:eastAsia="黑体"/>
      <w:sz w:val="24"/>
      <w:szCs w:val="24"/>
    </w:rPr>
  </w:style>
  <w:style w:type="character" w:customStyle="1" w:styleId="3394">
    <w:name w:val="杨1 Char Char"/>
    <w:basedOn w:val="2801"/>
    <w:qFormat/>
    <w:uiPriority w:val="0"/>
    <w:rPr>
      <w:rFonts w:hint="eastAsia" w:ascii="黑体" w:eastAsia="黑体"/>
      <w:sz w:val="28"/>
      <w:szCs w:val="28"/>
    </w:rPr>
  </w:style>
  <w:style w:type="paragraph" w:customStyle="1" w:styleId="3395">
    <w:name w:val="样式12"/>
    <w:basedOn w:val="439"/>
    <w:semiHidden/>
    <w:qFormat/>
    <w:uiPriority w:val="0"/>
    <w:pPr>
      <w:pBdr>
        <w:bottom w:val="thinThickSmallGap" w:color="auto" w:sz="24" w:space="1"/>
      </w:pBdr>
      <w:tabs>
        <w:tab w:val="center" w:pos="4153"/>
        <w:tab w:val="right" w:pos="8306"/>
      </w:tabs>
      <w:snapToGrid w:val="0"/>
      <w:spacing w:before="120" w:after="120" w:line="340" w:lineRule="exact"/>
      <w:ind w:firstLine="0"/>
      <w:jc w:val="center"/>
    </w:pPr>
    <w:rPr>
      <w:rFonts w:hAnsi="宋体"/>
      <w:color w:val="000000"/>
      <w:sz w:val="18"/>
      <w:szCs w:val="18"/>
    </w:rPr>
  </w:style>
  <w:style w:type="paragraph" w:customStyle="1" w:styleId="3396">
    <w:name w:val="样式 样本 + (中文) 宋体 四号 首行缩进:  2 字符"/>
    <w:basedOn w:val="1909"/>
    <w:qFormat/>
    <w:uiPriority w:val="0"/>
  </w:style>
  <w:style w:type="paragraph" w:customStyle="1" w:styleId="3397">
    <w:name w:val="图片居中"/>
    <w:basedOn w:val="521"/>
    <w:next w:val="521"/>
    <w:qFormat/>
    <w:uiPriority w:val="0"/>
    <w:pPr>
      <w:spacing w:line="240" w:lineRule="auto"/>
      <w:ind w:firstLine="482" w:firstLineChars="0"/>
      <w:jc w:val="center"/>
    </w:pPr>
    <w:rPr>
      <w:rFonts w:eastAsia="Times New Roman" w:cs="Times New Roman"/>
      <w:spacing w:val="5"/>
      <w:kern w:val="0"/>
      <w:sz w:val="21"/>
      <w:szCs w:val="20"/>
    </w:rPr>
  </w:style>
  <w:style w:type="paragraph" w:customStyle="1" w:styleId="3398">
    <w:name w:val="样式19"/>
    <w:basedOn w:val="1525"/>
    <w:qFormat/>
    <w:uiPriority w:val="0"/>
    <w:pPr>
      <w:tabs>
        <w:tab w:val="left" w:pos="0"/>
        <w:tab w:val="clear" w:pos="927"/>
      </w:tabs>
      <w:spacing w:beforeLines="0"/>
      <w:ind w:firstLine="0"/>
    </w:pPr>
  </w:style>
  <w:style w:type="paragraph" w:customStyle="1" w:styleId="3399">
    <w:name w:val="样式 样式 首行缩进:  2 字符 行距: 固定值 30 磅 + 首行缩进:  2 字符"/>
    <w:basedOn w:val="1520"/>
    <w:qFormat/>
    <w:uiPriority w:val="0"/>
    <w:pPr>
      <w:spacing w:line="480" w:lineRule="exact"/>
    </w:pPr>
  </w:style>
  <w:style w:type="paragraph" w:customStyle="1" w:styleId="3400">
    <w:name w:val="T表格小"/>
    <w:basedOn w:val="652"/>
    <w:semiHidden/>
    <w:qFormat/>
    <w:uiPriority w:val="0"/>
    <w:pPr>
      <w:widowControl w:val="0"/>
    </w:pPr>
    <w:rPr>
      <w:rFonts w:ascii="宋体"/>
      <w:b/>
      <w:bCs/>
      <w:kern w:val="2"/>
      <w:sz w:val="24"/>
      <w:szCs w:val="24"/>
    </w:rPr>
  </w:style>
  <w:style w:type="paragraph" w:customStyle="1" w:styleId="3401">
    <w:name w:val="样式 样式 标题 2 + 宋体 行距: 固定值 30 磅 + 字距调整三号"/>
    <w:basedOn w:val="896"/>
    <w:semiHidden/>
    <w:qFormat/>
    <w:uiPriority w:val="0"/>
    <w:rPr>
      <w:kern w:val="32"/>
    </w:rPr>
  </w:style>
  <w:style w:type="paragraph" w:customStyle="1" w:styleId="3402">
    <w:name w:val="样式 样式 样式 标题 3标题3H3h33rd level第二层条头小标题小节标题标题 3 Char Char一海港标... +..."/>
    <w:basedOn w:val="2222"/>
    <w:qFormat/>
    <w:uiPriority w:val="0"/>
  </w:style>
  <w:style w:type="paragraph" w:customStyle="1" w:styleId="3403">
    <w:name w:val="样式 样式 样式 样式 标题 3标题3H3h33rd level第二层条头小标题小节标题标题 3 Char Char一海港标....."/>
    <w:basedOn w:val="3402"/>
    <w:qFormat/>
    <w:uiPriority w:val="0"/>
  </w:style>
  <w:style w:type="paragraph" w:customStyle="1" w:styleId="3404">
    <w:name w:val="样式 表格文字居中 + 左 首行缩进:  0 厘米"/>
    <w:basedOn w:val="1429"/>
    <w:qFormat/>
    <w:uiPriority w:val="0"/>
    <w:pPr>
      <w:keepNext/>
      <w:widowControl w:val="0"/>
      <w:tabs>
        <w:tab w:val="left" w:pos="628"/>
        <w:tab w:val="clear" w:pos="-1843"/>
        <w:tab w:val="clear" w:pos="1458"/>
        <w:tab w:val="clear" w:pos="1727"/>
        <w:tab w:val="clear" w:pos="1884"/>
      </w:tabs>
      <w:adjustRightInd w:val="0"/>
      <w:spacing w:line="240" w:lineRule="auto"/>
      <w:jc w:val="left"/>
      <w:outlineLvl w:val="9"/>
    </w:pPr>
    <w:rPr>
      <w:rFonts w:ascii="宋体" w:hAnsi="宋体" w:cs="宋体"/>
      <w:bCs/>
      <w:sz w:val="24"/>
      <w:szCs w:val="20"/>
    </w:rPr>
  </w:style>
  <w:style w:type="paragraph" w:customStyle="1" w:styleId="3405">
    <w:name w:val="表注-西江"/>
    <w:basedOn w:val="2412"/>
    <w:qFormat/>
    <w:uiPriority w:val="0"/>
    <w:pPr>
      <w:spacing w:before="120"/>
      <w:jc w:val="both"/>
    </w:pPr>
    <w:rPr>
      <w:rFonts w:ascii="宋体" w:hAnsi="宋体"/>
      <w:sz w:val="21"/>
      <w:szCs w:val="21"/>
    </w:rPr>
  </w:style>
  <w:style w:type="paragraph" w:customStyle="1" w:styleId="3406">
    <w:name w:val="样式 样式 标题 3 + 首行缩进:  2 字符 段前: 6 磅 段后: 6 磅 行距: 最小值 24 磅 + 首行缩进:  1..."/>
    <w:basedOn w:val="1801"/>
    <w:qFormat/>
    <w:uiPriority w:val="0"/>
    <w:pPr>
      <w:ind w:firstLine="280"/>
    </w:pPr>
    <w:rPr>
      <w:rFonts w:cs="宋体"/>
      <w:b w:val="0"/>
    </w:rPr>
  </w:style>
  <w:style w:type="paragraph" w:customStyle="1" w:styleId="3407">
    <w:name w:val="文字1"/>
    <w:basedOn w:val="1029"/>
    <w:semiHidden/>
    <w:qFormat/>
    <w:uiPriority w:val="0"/>
    <w:pPr>
      <w:ind w:left="181" w:leftChars="86" w:firstLine="480" w:firstLineChars="200"/>
    </w:pPr>
  </w:style>
  <w:style w:type="paragraph" w:customStyle="1" w:styleId="3408">
    <w:name w:val="副标题4"/>
    <w:basedOn w:val="2234"/>
    <w:qFormat/>
    <w:uiPriority w:val="0"/>
    <w:pPr>
      <w:tabs>
        <w:tab w:val="left" w:pos="1275"/>
        <w:tab w:val="left" w:pos="2100"/>
        <w:tab w:val="left" w:pos="2580"/>
        <w:tab w:val="clear" w:pos="672"/>
        <w:tab w:val="clear" w:pos="720"/>
        <w:tab w:val="clear" w:pos="2160"/>
      </w:tabs>
      <w:ind w:left="1275" w:hanging="705"/>
      <w:outlineLvl w:val="4"/>
    </w:pPr>
  </w:style>
  <w:style w:type="paragraph" w:customStyle="1" w:styleId="3409">
    <w:name w:val="表格02左"/>
    <w:basedOn w:val="1475"/>
    <w:qFormat/>
    <w:uiPriority w:val="0"/>
    <w:pPr>
      <w:jc w:val="left"/>
    </w:pPr>
  </w:style>
  <w:style w:type="paragraph" w:customStyle="1" w:styleId="3410">
    <w:name w:val="表头0"/>
    <w:basedOn w:val="1645"/>
    <w:qFormat/>
    <w:uiPriority w:val="0"/>
    <w:pPr>
      <w:spacing w:line="240" w:lineRule="auto"/>
      <w:ind w:firstLine="0" w:firstLineChars="0"/>
      <w:jc w:val="center"/>
    </w:pPr>
  </w:style>
  <w:style w:type="paragraph" w:customStyle="1" w:styleId="3411">
    <w:name w:val="正式表格"/>
    <w:basedOn w:val="2305"/>
    <w:qFormat/>
    <w:uiPriority w:val="0"/>
    <w:pPr>
      <w:spacing w:before="60" w:after="60" w:line="240" w:lineRule="auto"/>
      <w:ind w:firstLine="0"/>
      <w:jc w:val="center"/>
    </w:pPr>
    <w:rPr>
      <w:rFonts w:hAnsi="宋体" w:cs="Times New Roman"/>
      <w:kern w:val="2"/>
      <w:sz w:val="24"/>
      <w:szCs w:val="24"/>
    </w:rPr>
  </w:style>
  <w:style w:type="table" w:customStyle="1" w:styleId="3412">
    <w:name w:val="Table Normal"/>
    <w:semiHidden/>
    <w:qFormat/>
    <w:uiPriority w:val="2"/>
    <w:pPr>
      <w:widowControl w:val="0"/>
    </w:pPr>
    <w:rPr>
      <w:rFonts w:eastAsia="Times New Roman"/>
      <w:sz w:val="22"/>
      <w:lang w:eastAsia="en-US"/>
    </w:rPr>
    <w:tblPr>
      <w:tblCellMar>
        <w:top w:w="0" w:type="dxa"/>
        <w:left w:w="0" w:type="dxa"/>
        <w:bottom w:w="0" w:type="dxa"/>
        <w:right w:w="0" w:type="dxa"/>
      </w:tblCellMar>
    </w:tblPr>
  </w:style>
  <w:style w:type="paragraph" w:customStyle="1" w:styleId="3413">
    <w:name w:val="标题 42"/>
    <w:basedOn w:val="1"/>
    <w:next w:val="1"/>
    <w:qFormat/>
    <w:uiPriority w:val="0"/>
    <w:pPr>
      <w:keepNext/>
      <w:keepLines/>
      <w:tabs>
        <w:tab w:val="left" w:pos="900"/>
        <w:tab w:val="left" w:pos="1080"/>
        <w:tab w:val="left" w:pos="1440"/>
      </w:tabs>
      <w:spacing w:before="120" w:after="120" w:line="440" w:lineRule="exact"/>
      <w:ind w:firstLine="562"/>
      <w:outlineLvl w:val="3"/>
    </w:pPr>
    <w:rPr>
      <w:b/>
      <w:sz w:val="28"/>
    </w:rPr>
  </w:style>
  <w:style w:type="character" w:customStyle="1" w:styleId="3414">
    <w:name w:val="不明显强调11"/>
    <w:qFormat/>
    <w:uiPriority w:val="0"/>
    <w:rPr>
      <w:i/>
      <w:color w:val="808080"/>
    </w:rPr>
  </w:style>
  <w:style w:type="character" w:customStyle="1" w:styleId="3415">
    <w:name w:val="明显参考11"/>
    <w:basedOn w:val="133"/>
    <w:qFormat/>
    <w:uiPriority w:val="0"/>
    <w:rPr>
      <w:b/>
      <w:bCs/>
      <w:smallCaps/>
      <w:color w:val="C0504D"/>
      <w:spacing w:val="5"/>
      <w:u w:val="single"/>
    </w:rPr>
  </w:style>
  <w:style w:type="table" w:customStyle="1" w:styleId="3416">
    <w:name w:val="TableGrid"/>
    <w:basedOn w:val="88"/>
    <w:qFormat/>
    <w:uiPriority w:val="0"/>
    <w:rPr>
      <w:rFonts w:ascii="等线" w:hAnsi="等线" w:eastAsia="等线" w:cs="等线"/>
    </w:rPr>
    <w:tblPr>
      <w:tblCellMar>
        <w:top w:w="0" w:type="dxa"/>
        <w:left w:w="0" w:type="dxa"/>
        <w:bottom w:w="0" w:type="dxa"/>
        <w:right w:w="0" w:type="dxa"/>
      </w:tblCellMar>
    </w:tblPr>
  </w:style>
  <w:style w:type="paragraph" w:customStyle="1" w:styleId="3417">
    <w:name w:val="hh正文"/>
    <w:basedOn w:val="1"/>
    <w:qFormat/>
    <w:uiPriority w:val="0"/>
    <w:pPr>
      <w:widowControl/>
      <w:jc w:val="left"/>
    </w:pPr>
    <w:rPr>
      <w:rFonts w:ascii="宋体" w:hAnsi="宋体" w:cs="宋体"/>
      <w:color w:val="000000"/>
      <w:kern w:val="0"/>
      <w:szCs w:val="24"/>
    </w:rPr>
  </w:style>
  <w:style w:type="character" w:customStyle="1" w:styleId="3418">
    <w:name w:val="我的表格 Char"/>
    <w:link w:val="3419"/>
    <w:qFormat/>
    <w:locked/>
    <w:uiPriority w:val="0"/>
  </w:style>
  <w:style w:type="paragraph" w:customStyle="1" w:styleId="3419">
    <w:name w:val="我的表格"/>
    <w:basedOn w:val="1"/>
    <w:link w:val="3418"/>
    <w:qFormat/>
    <w:uiPriority w:val="0"/>
    <w:pPr>
      <w:adjustRightInd w:val="0"/>
      <w:spacing w:line="240" w:lineRule="auto"/>
      <w:ind w:firstLine="0" w:firstLineChars="0"/>
      <w:jc w:val="center"/>
    </w:pPr>
    <w:rPr>
      <w:rFonts w:asciiTheme="minorHAnsi" w:hAnsiTheme="minorHAnsi" w:eastAsiaTheme="minorEastAsia"/>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37.wmf"/><Relationship Id="rId7" Type="http://schemas.openxmlformats.org/officeDocument/2006/relationships/footer" Target="footer2.xml"/><Relationship Id="rId69" Type="http://schemas.openxmlformats.org/officeDocument/2006/relationships/image" Target="media/image36.wmf"/><Relationship Id="rId68" Type="http://schemas.openxmlformats.org/officeDocument/2006/relationships/oleObject" Target="embeddings/oleObject19.bin"/><Relationship Id="rId67" Type="http://schemas.openxmlformats.org/officeDocument/2006/relationships/image" Target="media/image35.wmf"/><Relationship Id="rId66" Type="http://schemas.openxmlformats.org/officeDocument/2006/relationships/oleObject" Target="embeddings/oleObject18.bin"/><Relationship Id="rId65" Type="http://schemas.openxmlformats.org/officeDocument/2006/relationships/image" Target="media/image34.wmf"/><Relationship Id="rId64" Type="http://schemas.openxmlformats.org/officeDocument/2006/relationships/oleObject" Target="embeddings/oleObject17.bin"/><Relationship Id="rId63" Type="http://schemas.openxmlformats.org/officeDocument/2006/relationships/image" Target="media/image33.wmf"/><Relationship Id="rId62" Type="http://schemas.openxmlformats.org/officeDocument/2006/relationships/oleObject" Target="embeddings/oleObject16.bin"/><Relationship Id="rId61" Type="http://schemas.openxmlformats.org/officeDocument/2006/relationships/image" Target="media/image32.jpeg"/><Relationship Id="rId60" Type="http://schemas.openxmlformats.org/officeDocument/2006/relationships/image" Target="media/image31.wmf"/><Relationship Id="rId6" Type="http://schemas.openxmlformats.org/officeDocument/2006/relationships/footer" Target="footer1.xml"/><Relationship Id="rId59" Type="http://schemas.openxmlformats.org/officeDocument/2006/relationships/image" Target="media/image30.jpeg"/><Relationship Id="rId58" Type="http://schemas.openxmlformats.org/officeDocument/2006/relationships/image" Target="media/image29.wmf"/><Relationship Id="rId57" Type="http://schemas.openxmlformats.org/officeDocument/2006/relationships/image" Target="media/image28.jpeg"/><Relationship Id="rId56" Type="http://schemas.openxmlformats.org/officeDocument/2006/relationships/image" Target="media/image27.wmf"/><Relationship Id="rId55" Type="http://schemas.openxmlformats.org/officeDocument/2006/relationships/image" Target="media/image26.wmf"/><Relationship Id="rId54" Type="http://schemas.openxmlformats.org/officeDocument/2006/relationships/image" Target="media/image25.wmf"/><Relationship Id="rId53" Type="http://schemas.openxmlformats.org/officeDocument/2006/relationships/image" Target="media/image24.wmf"/><Relationship Id="rId52" Type="http://schemas.openxmlformats.org/officeDocument/2006/relationships/image" Target="media/image23.wmf"/><Relationship Id="rId51" Type="http://schemas.openxmlformats.org/officeDocument/2006/relationships/image" Target="media/image22.wmf"/><Relationship Id="rId50" Type="http://schemas.openxmlformats.org/officeDocument/2006/relationships/image" Target="media/image21.wmf"/><Relationship Id="rId5" Type="http://schemas.openxmlformats.org/officeDocument/2006/relationships/header" Target="header3.xml"/><Relationship Id="rId49" Type="http://schemas.openxmlformats.org/officeDocument/2006/relationships/image" Target="media/image20.wmf"/><Relationship Id="rId48" Type="http://schemas.openxmlformats.org/officeDocument/2006/relationships/image" Target="media/image19.wmf"/><Relationship Id="rId47" Type="http://schemas.openxmlformats.org/officeDocument/2006/relationships/image" Target="media/image18.emf"/><Relationship Id="rId46" Type="http://schemas.openxmlformats.org/officeDocument/2006/relationships/image" Target="media/image17.wmf"/><Relationship Id="rId45" Type="http://schemas.openxmlformats.org/officeDocument/2006/relationships/oleObject" Target="embeddings/oleObject15.bin"/><Relationship Id="rId44" Type="http://schemas.openxmlformats.org/officeDocument/2006/relationships/image" Target="media/image16.emf"/><Relationship Id="rId43" Type="http://schemas.openxmlformats.org/officeDocument/2006/relationships/oleObject" Target="embeddings/oleObject14.bin"/><Relationship Id="rId42" Type="http://schemas.openxmlformats.org/officeDocument/2006/relationships/image" Target="media/image15.emf"/><Relationship Id="rId41" Type="http://schemas.openxmlformats.org/officeDocument/2006/relationships/oleObject" Target="embeddings/oleObject13.bin"/><Relationship Id="rId40" Type="http://schemas.openxmlformats.org/officeDocument/2006/relationships/image" Target="media/image14.e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3.emf"/><Relationship Id="rId37" Type="http://schemas.openxmlformats.org/officeDocument/2006/relationships/oleObject" Target="embeddings/oleObject11.bin"/><Relationship Id="rId36" Type="http://schemas.openxmlformats.org/officeDocument/2006/relationships/image" Target="media/image12.emf"/><Relationship Id="rId35" Type="http://schemas.openxmlformats.org/officeDocument/2006/relationships/oleObject" Target="embeddings/oleObject10.bin"/><Relationship Id="rId34" Type="http://schemas.openxmlformats.org/officeDocument/2006/relationships/image" Target="media/image11.emf"/><Relationship Id="rId33" Type="http://schemas.openxmlformats.org/officeDocument/2006/relationships/oleObject" Target="embeddings/oleObject9.bin"/><Relationship Id="rId32" Type="http://schemas.openxmlformats.org/officeDocument/2006/relationships/image" Target="media/image10.emf"/><Relationship Id="rId31" Type="http://schemas.openxmlformats.org/officeDocument/2006/relationships/oleObject" Target="embeddings/oleObject8.bin"/><Relationship Id="rId30" Type="http://schemas.openxmlformats.org/officeDocument/2006/relationships/image" Target="media/image9.e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8.emf"/><Relationship Id="rId27" Type="http://schemas.openxmlformats.org/officeDocument/2006/relationships/oleObject" Target="embeddings/oleObject6.bin"/><Relationship Id="rId26" Type="http://schemas.openxmlformats.org/officeDocument/2006/relationships/image" Target="media/image7.emf"/><Relationship Id="rId25" Type="http://schemas.openxmlformats.org/officeDocument/2006/relationships/oleObject" Target="embeddings/oleObject5.bin"/><Relationship Id="rId24" Type="http://schemas.openxmlformats.org/officeDocument/2006/relationships/image" Target="media/image6.emf"/><Relationship Id="rId23" Type="http://schemas.openxmlformats.org/officeDocument/2006/relationships/oleObject" Target="embeddings/oleObject4.bin"/><Relationship Id="rId22" Type="http://schemas.openxmlformats.org/officeDocument/2006/relationships/image" Target="media/image5.emf"/><Relationship Id="rId21" Type="http://schemas.openxmlformats.org/officeDocument/2006/relationships/oleObject" Target="embeddings/oleObject3.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wmf"/><Relationship Id="rId17" Type="http://schemas.openxmlformats.org/officeDocument/2006/relationships/oleObject" Target="embeddings/oleObject1.bin"/><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173"/>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066"/>
    <customShpInfo spid="_x0000_s1153"/>
    <customShpInfo spid="_x0000_s1155"/>
    <customShpInfo spid="_x0000_s1156"/>
    <customShpInfo spid="_x0000_s11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09183A-02DF-4067-AC97-282A893D90C9}">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279</Pages>
  <Words>32444</Words>
  <Characters>184936</Characters>
  <Lines>1541</Lines>
  <Paragraphs>433</Paragraphs>
  <TotalTime>0</TotalTime>
  <ScaleCrop>false</ScaleCrop>
  <LinksUpToDate>false</LinksUpToDate>
  <CharactersWithSpaces>216947</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2019-07-16T07:50:00Z</dcterms:created>
  <dc:creator>Sky123.Org</dc:creator>
  <cp:lastModifiedBy>Administrator</cp:lastModifiedBy>
  <cp:lastPrinted>2019-07-11T10:03:00Z</cp:lastPrinted>
  <dcterms:modified xsi:type="dcterms:W3CDTF">2019-11-05T05:54:46Z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